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CF90D">
      <w:pPr>
        <w:pStyle w:val="8"/>
        <w:jc w:val="center"/>
        <w:outlineLvl w:val="1"/>
      </w:pPr>
      <w:r>
        <w:rPr>
          <w:rFonts w:ascii="仿宋_GB2312" w:hAnsi="仿宋_GB2312" w:eastAsia="仿宋_GB2312" w:cs="仿宋_GB2312"/>
          <w:b/>
          <w:sz w:val="36"/>
        </w:rPr>
        <w:t xml:space="preserve"> 招标项目技术、服务、商务及其他要求</w:t>
      </w:r>
    </w:p>
    <w:p w14:paraId="3C4DB205">
      <w:pPr>
        <w:pStyle w:val="8"/>
        <w:ind w:firstLine="480"/>
      </w:pPr>
      <w:r>
        <w:rPr>
          <w:rFonts w:ascii="仿宋_GB2312" w:hAnsi="仿宋_GB2312" w:eastAsia="仿宋_GB2312" w:cs="仿宋_GB2312"/>
        </w:rPr>
        <w:t xml:space="preserve"> （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37A7EDCE">
      <w:pPr>
        <w:pStyle w:val="8"/>
        <w:ind w:firstLine="480"/>
      </w:pPr>
      <w:r>
        <w:rPr>
          <w:rFonts w:ascii="仿宋_GB2312" w:hAnsi="仿宋_GB2312" w:eastAsia="仿宋_GB2312" w:cs="仿宋_GB2312"/>
        </w:rPr>
        <w:t xml:space="preserve"> （注：当采购包的评标方法为最低评标价法时带“★”的参数需求为实质性要求，供应商必须响应并满足的参数需求，采购人、采购代理机构应当根据项目实际需求合理设定，并明确具体要求。）</w:t>
      </w:r>
    </w:p>
    <w:p w14:paraId="31C1C869">
      <w:pPr>
        <w:pStyle w:val="8"/>
        <w:outlineLvl w:val="2"/>
      </w:pPr>
      <w:r>
        <w:rPr>
          <w:rFonts w:ascii="仿宋_GB2312" w:hAnsi="仿宋_GB2312" w:eastAsia="仿宋_GB2312" w:cs="仿宋_GB2312"/>
          <w:b/>
          <w:sz w:val="28"/>
        </w:rPr>
        <w:t>3.1采购项目概况</w:t>
      </w:r>
    </w:p>
    <w:p w14:paraId="0E65A772">
      <w:pPr>
        <w:pStyle w:val="8"/>
        <w:ind w:firstLine="480"/>
      </w:pPr>
      <w:r>
        <w:rPr>
          <w:rFonts w:ascii="仿宋_GB2312" w:hAnsi="仿宋_GB2312" w:eastAsia="仿宋_GB2312" w:cs="仿宋_GB2312"/>
          <w:color w:val="000000"/>
        </w:rPr>
        <w:t>采购包1(宠物外科与产科实训室)为满足宠物医疗行业人才需求，提升宠物医疗相关专业实践教学水平，建设宠物临床综合实训室。实训室参照宠物医院标准布局，设诊断、检验、护理等功能区，主要承担宠物诊疗、检验、护理等实训教学，开展临床检查、化验、输液护理等实操训练，强化学生技能与临床思维。实训室兼具教学、实训、考核、社会培训功能，推动岗课赛证融合，为行业培养高素质技术技能型人才。采购包含：宠物呼吸麻醉机、制氧机、外科手术器械套装、超声刀能量平台、无影灯、高清手术示教系统、器械柜、功能区标准化改造等设施设备一批，要求所有货物（产品）质量合格、安装调试到位、验收合格达到交钥匙条件。</w:t>
      </w:r>
    </w:p>
    <w:p w14:paraId="263436F4">
      <w:pPr>
        <w:pStyle w:val="8"/>
        <w:ind w:firstLine="480"/>
      </w:pPr>
      <w:r>
        <w:rPr>
          <w:rFonts w:ascii="仿宋_GB2312" w:hAnsi="仿宋_GB2312" w:eastAsia="仿宋_GB2312" w:cs="仿宋_GB2312"/>
          <w:color w:val="000000"/>
        </w:rPr>
        <w:t>采购包2(宠物临床综合实训室)对标宠物医疗行业标准，建设集教学、实训、考核于一体的宠物外科手术室与综合实训室。按三区分离规范布局，配备手术、麻醉、监护、消毒灭菌及实训教学设备，支撑无菌操作、外科手术、麻醉监护等核心技能训练。融入理实一体化与仿真实训，强化岗课赛证融合，完善安全与生物安全管理，提升学生临床实操能力，打造符合高职人才培养与行业需求的现代化实训平台。采购包含：动物B超仪、动物尿液分析仪、动物全自动生化分析仪、输液泵、裂隙灯、压力蒸汽灭菌器、犬静脉输液模型、核酸提取仪、全自动凝胶成像系统、教学一体机、功能区标准化改造、设备搬迁等设施设备一批，要求所有货物（产品）质量合格、安装调试到位、验收合格达到交钥匙条件。</w:t>
      </w:r>
    </w:p>
    <w:p w14:paraId="15A2EC3A">
      <w:pPr>
        <w:pStyle w:val="8"/>
        <w:outlineLvl w:val="2"/>
      </w:pPr>
      <w:r>
        <w:rPr>
          <w:rFonts w:ascii="仿宋_GB2312" w:hAnsi="仿宋_GB2312" w:eastAsia="仿宋_GB2312" w:cs="仿宋_GB2312"/>
          <w:b/>
          <w:sz w:val="28"/>
        </w:rPr>
        <w:t>3.2采购内容</w:t>
      </w:r>
    </w:p>
    <w:p w14:paraId="025109D3">
      <w:pPr>
        <w:pStyle w:val="8"/>
      </w:pPr>
      <w:r>
        <w:rPr>
          <w:rFonts w:ascii="仿宋_GB2312" w:hAnsi="仿宋_GB2312" w:eastAsia="仿宋_GB2312" w:cs="仿宋_GB2312"/>
        </w:rPr>
        <w:t>采购包1：</w:t>
      </w:r>
    </w:p>
    <w:p w14:paraId="3E099CA8">
      <w:pPr>
        <w:pStyle w:val="8"/>
      </w:pPr>
      <w:r>
        <w:rPr>
          <w:rFonts w:ascii="仿宋_GB2312" w:hAnsi="仿宋_GB2312" w:eastAsia="仿宋_GB2312" w:cs="仿宋_GB2312"/>
        </w:rPr>
        <w:t>采购包预算金额（元）: 900,000.00</w:t>
      </w:r>
    </w:p>
    <w:p w14:paraId="17FA7475">
      <w:pPr>
        <w:pStyle w:val="8"/>
      </w:pPr>
      <w:r>
        <w:rPr>
          <w:rFonts w:ascii="仿宋_GB2312" w:hAnsi="仿宋_GB2312" w:eastAsia="仿宋_GB2312" w:cs="仿宋_GB2312"/>
        </w:rPr>
        <w:t>采购包最高限价（元）: 900,000.00</w:t>
      </w:r>
    </w:p>
    <w:p w14:paraId="68F054C1">
      <w:pPr>
        <w:pStyle w:val="8"/>
      </w:pPr>
      <w:r>
        <w:rPr>
          <w:rFonts w:ascii="仿宋_GB2312" w:hAnsi="仿宋_GB2312" w:eastAsia="仿宋_GB2312" w:cs="仿宋_GB2312"/>
        </w:rPr>
        <w:t>供应商报价不允许超过标的金额</w:t>
      </w:r>
    </w:p>
    <w:p w14:paraId="3683D3C2">
      <w:pPr>
        <w:pStyle w:val="8"/>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644F81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42645F77">
            <w:pPr>
              <w:pStyle w:val="8"/>
            </w:pPr>
            <w:r>
              <w:rPr>
                <w:rFonts w:ascii="仿宋_GB2312" w:hAnsi="仿宋_GB2312" w:eastAsia="仿宋_GB2312" w:cs="仿宋_GB2312"/>
              </w:rPr>
              <w:t>序号</w:t>
            </w:r>
          </w:p>
        </w:tc>
        <w:tc>
          <w:tcPr>
            <w:tcW w:w="755" w:type="dxa"/>
          </w:tcPr>
          <w:p w14:paraId="15D6EE0B">
            <w:pPr>
              <w:pStyle w:val="8"/>
            </w:pPr>
            <w:r>
              <w:rPr>
                <w:rFonts w:ascii="仿宋_GB2312" w:hAnsi="仿宋_GB2312" w:eastAsia="仿宋_GB2312" w:cs="仿宋_GB2312"/>
              </w:rPr>
              <w:t>标的名称</w:t>
            </w:r>
          </w:p>
        </w:tc>
        <w:tc>
          <w:tcPr>
            <w:tcW w:w="755" w:type="dxa"/>
          </w:tcPr>
          <w:p w14:paraId="36512E34">
            <w:pPr>
              <w:pStyle w:val="8"/>
            </w:pPr>
            <w:r>
              <w:rPr>
                <w:rFonts w:ascii="仿宋_GB2312" w:hAnsi="仿宋_GB2312" w:eastAsia="仿宋_GB2312" w:cs="仿宋_GB2312"/>
              </w:rPr>
              <w:t>数量</w:t>
            </w:r>
          </w:p>
        </w:tc>
        <w:tc>
          <w:tcPr>
            <w:tcW w:w="755" w:type="dxa"/>
          </w:tcPr>
          <w:p w14:paraId="296DD67B">
            <w:pPr>
              <w:pStyle w:val="8"/>
            </w:pPr>
            <w:r>
              <w:rPr>
                <w:rFonts w:ascii="仿宋_GB2312" w:hAnsi="仿宋_GB2312" w:eastAsia="仿宋_GB2312" w:cs="仿宋_GB2312"/>
              </w:rPr>
              <w:t>标的金额 （元）</w:t>
            </w:r>
          </w:p>
        </w:tc>
        <w:tc>
          <w:tcPr>
            <w:tcW w:w="755" w:type="dxa"/>
          </w:tcPr>
          <w:p w14:paraId="446F409F">
            <w:pPr>
              <w:pStyle w:val="8"/>
            </w:pPr>
            <w:r>
              <w:rPr>
                <w:rFonts w:ascii="仿宋_GB2312" w:hAnsi="仿宋_GB2312" w:eastAsia="仿宋_GB2312" w:cs="仿宋_GB2312"/>
              </w:rPr>
              <w:t>计量单位</w:t>
            </w:r>
          </w:p>
        </w:tc>
        <w:tc>
          <w:tcPr>
            <w:tcW w:w="755" w:type="dxa"/>
          </w:tcPr>
          <w:p w14:paraId="49C36DF7">
            <w:pPr>
              <w:pStyle w:val="8"/>
            </w:pPr>
            <w:r>
              <w:rPr>
                <w:rFonts w:ascii="仿宋_GB2312" w:hAnsi="仿宋_GB2312" w:eastAsia="仿宋_GB2312" w:cs="仿宋_GB2312"/>
              </w:rPr>
              <w:t>所属行业</w:t>
            </w:r>
          </w:p>
        </w:tc>
        <w:tc>
          <w:tcPr>
            <w:tcW w:w="755" w:type="dxa"/>
          </w:tcPr>
          <w:p w14:paraId="777F31F7">
            <w:pPr>
              <w:pStyle w:val="8"/>
            </w:pPr>
            <w:r>
              <w:rPr>
                <w:rFonts w:ascii="仿宋_GB2312" w:hAnsi="仿宋_GB2312" w:eastAsia="仿宋_GB2312" w:cs="仿宋_GB2312"/>
              </w:rPr>
              <w:t>是否核心产品</w:t>
            </w:r>
          </w:p>
        </w:tc>
        <w:tc>
          <w:tcPr>
            <w:tcW w:w="755" w:type="dxa"/>
          </w:tcPr>
          <w:p w14:paraId="423D58C4">
            <w:pPr>
              <w:pStyle w:val="8"/>
            </w:pPr>
            <w:r>
              <w:rPr>
                <w:rFonts w:ascii="仿宋_GB2312" w:hAnsi="仿宋_GB2312" w:eastAsia="仿宋_GB2312" w:cs="仿宋_GB2312"/>
              </w:rPr>
              <w:t>是否允许进口产品</w:t>
            </w:r>
          </w:p>
        </w:tc>
        <w:tc>
          <w:tcPr>
            <w:tcW w:w="755" w:type="dxa"/>
          </w:tcPr>
          <w:p w14:paraId="3036C080">
            <w:pPr>
              <w:pStyle w:val="8"/>
            </w:pPr>
            <w:r>
              <w:rPr>
                <w:rFonts w:ascii="仿宋_GB2312" w:hAnsi="仿宋_GB2312" w:eastAsia="仿宋_GB2312" w:cs="仿宋_GB2312"/>
              </w:rPr>
              <w:t>是否属于节能产品</w:t>
            </w:r>
          </w:p>
        </w:tc>
        <w:tc>
          <w:tcPr>
            <w:tcW w:w="755" w:type="dxa"/>
          </w:tcPr>
          <w:p w14:paraId="58A16E54">
            <w:pPr>
              <w:pStyle w:val="8"/>
            </w:pPr>
            <w:r>
              <w:rPr>
                <w:rFonts w:ascii="仿宋_GB2312" w:hAnsi="仿宋_GB2312" w:eastAsia="仿宋_GB2312" w:cs="仿宋_GB2312"/>
              </w:rPr>
              <w:t>是否属于环境标志产品</w:t>
            </w:r>
          </w:p>
        </w:tc>
        <w:tc>
          <w:tcPr>
            <w:tcW w:w="755" w:type="dxa"/>
          </w:tcPr>
          <w:p w14:paraId="366FB87E">
            <w:pPr>
              <w:pStyle w:val="8"/>
            </w:pPr>
            <w:r>
              <w:rPr>
                <w:rFonts w:ascii="仿宋_GB2312" w:hAnsi="仿宋_GB2312" w:eastAsia="仿宋_GB2312" w:cs="仿宋_GB2312"/>
              </w:rPr>
              <w:t>是否实施本国产品政策</w:t>
            </w:r>
          </w:p>
        </w:tc>
      </w:tr>
      <w:tr w14:paraId="7B08C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45E44EE">
            <w:pPr>
              <w:pStyle w:val="8"/>
            </w:pPr>
            <w:r>
              <w:rPr>
                <w:rFonts w:ascii="仿宋_GB2312" w:hAnsi="仿宋_GB2312" w:eastAsia="仿宋_GB2312" w:cs="仿宋_GB2312"/>
              </w:rPr>
              <w:t>1</w:t>
            </w:r>
          </w:p>
        </w:tc>
        <w:tc>
          <w:tcPr>
            <w:tcW w:w="755" w:type="dxa"/>
          </w:tcPr>
          <w:p w14:paraId="58A94168">
            <w:pPr>
              <w:pStyle w:val="8"/>
            </w:pPr>
            <w:r>
              <w:rPr>
                <w:rFonts w:ascii="仿宋_GB2312" w:hAnsi="仿宋_GB2312" w:eastAsia="仿宋_GB2312" w:cs="仿宋_GB2312"/>
              </w:rPr>
              <w:t>宠物外科与产科实训室</w:t>
            </w:r>
          </w:p>
        </w:tc>
        <w:tc>
          <w:tcPr>
            <w:tcW w:w="755" w:type="dxa"/>
          </w:tcPr>
          <w:p w14:paraId="58AF1404">
            <w:pPr>
              <w:pStyle w:val="8"/>
              <w:jc w:val="right"/>
            </w:pPr>
            <w:r>
              <w:rPr>
                <w:rFonts w:ascii="仿宋_GB2312" w:hAnsi="仿宋_GB2312" w:eastAsia="仿宋_GB2312" w:cs="仿宋_GB2312"/>
              </w:rPr>
              <w:t>1.00</w:t>
            </w:r>
          </w:p>
        </w:tc>
        <w:tc>
          <w:tcPr>
            <w:tcW w:w="755" w:type="dxa"/>
          </w:tcPr>
          <w:p w14:paraId="2EC63F90">
            <w:pPr>
              <w:pStyle w:val="8"/>
              <w:jc w:val="right"/>
            </w:pPr>
            <w:r>
              <w:rPr>
                <w:rFonts w:ascii="仿宋_GB2312" w:hAnsi="仿宋_GB2312" w:eastAsia="仿宋_GB2312" w:cs="仿宋_GB2312"/>
              </w:rPr>
              <w:t>900,000.00</w:t>
            </w:r>
          </w:p>
        </w:tc>
        <w:tc>
          <w:tcPr>
            <w:tcW w:w="755" w:type="dxa"/>
          </w:tcPr>
          <w:p w14:paraId="27B0F2FC">
            <w:pPr>
              <w:pStyle w:val="8"/>
            </w:pPr>
            <w:r>
              <w:rPr>
                <w:rFonts w:ascii="仿宋_GB2312" w:hAnsi="仿宋_GB2312" w:eastAsia="仿宋_GB2312" w:cs="仿宋_GB2312"/>
              </w:rPr>
              <w:t>批</w:t>
            </w:r>
          </w:p>
        </w:tc>
        <w:tc>
          <w:tcPr>
            <w:tcW w:w="755" w:type="dxa"/>
          </w:tcPr>
          <w:p w14:paraId="192BFEF6">
            <w:pPr>
              <w:pStyle w:val="8"/>
            </w:pPr>
            <w:r>
              <w:rPr>
                <w:rFonts w:ascii="仿宋_GB2312" w:hAnsi="仿宋_GB2312" w:eastAsia="仿宋_GB2312" w:cs="仿宋_GB2312"/>
              </w:rPr>
              <w:t>工业</w:t>
            </w:r>
          </w:p>
        </w:tc>
        <w:tc>
          <w:tcPr>
            <w:tcW w:w="755" w:type="dxa"/>
          </w:tcPr>
          <w:p w14:paraId="5BB44FF3">
            <w:pPr>
              <w:pStyle w:val="8"/>
            </w:pPr>
            <w:r>
              <w:rPr>
                <w:rFonts w:ascii="仿宋_GB2312" w:hAnsi="仿宋_GB2312" w:eastAsia="仿宋_GB2312" w:cs="仿宋_GB2312"/>
              </w:rPr>
              <w:t>否</w:t>
            </w:r>
          </w:p>
        </w:tc>
        <w:tc>
          <w:tcPr>
            <w:tcW w:w="755" w:type="dxa"/>
          </w:tcPr>
          <w:p w14:paraId="3E7B77E0">
            <w:pPr>
              <w:pStyle w:val="8"/>
            </w:pPr>
            <w:r>
              <w:rPr>
                <w:rFonts w:ascii="仿宋_GB2312" w:hAnsi="仿宋_GB2312" w:eastAsia="仿宋_GB2312" w:cs="仿宋_GB2312"/>
              </w:rPr>
              <w:t>否</w:t>
            </w:r>
          </w:p>
        </w:tc>
        <w:tc>
          <w:tcPr>
            <w:tcW w:w="755" w:type="dxa"/>
          </w:tcPr>
          <w:p w14:paraId="0637C17B">
            <w:pPr>
              <w:pStyle w:val="8"/>
            </w:pPr>
            <w:r>
              <w:rPr>
                <w:rFonts w:ascii="仿宋_GB2312" w:hAnsi="仿宋_GB2312" w:eastAsia="仿宋_GB2312" w:cs="仿宋_GB2312"/>
              </w:rPr>
              <w:t>否</w:t>
            </w:r>
          </w:p>
        </w:tc>
        <w:tc>
          <w:tcPr>
            <w:tcW w:w="755" w:type="dxa"/>
          </w:tcPr>
          <w:p w14:paraId="4FF80C8F">
            <w:pPr>
              <w:pStyle w:val="8"/>
            </w:pPr>
            <w:r>
              <w:rPr>
                <w:rFonts w:ascii="仿宋_GB2312" w:hAnsi="仿宋_GB2312" w:eastAsia="仿宋_GB2312" w:cs="仿宋_GB2312"/>
              </w:rPr>
              <w:t>否</w:t>
            </w:r>
          </w:p>
        </w:tc>
        <w:tc>
          <w:tcPr>
            <w:tcW w:w="755" w:type="dxa"/>
          </w:tcPr>
          <w:p w14:paraId="56345430">
            <w:pPr>
              <w:pStyle w:val="8"/>
            </w:pPr>
            <w:r>
              <w:rPr>
                <w:rFonts w:ascii="仿宋_GB2312" w:hAnsi="仿宋_GB2312" w:eastAsia="仿宋_GB2312" w:cs="仿宋_GB2312"/>
              </w:rPr>
              <w:t>是</w:t>
            </w:r>
          </w:p>
        </w:tc>
      </w:tr>
    </w:tbl>
    <w:p w14:paraId="08012E8A">
      <w:pPr>
        <w:pStyle w:val="8"/>
      </w:pPr>
      <w:r>
        <w:rPr>
          <w:rFonts w:ascii="仿宋_GB2312" w:hAnsi="仿宋_GB2312" w:eastAsia="仿宋_GB2312" w:cs="仿宋_GB2312"/>
        </w:rPr>
        <w:t>采购包2：</w:t>
      </w:r>
    </w:p>
    <w:p w14:paraId="7A888ACB">
      <w:pPr>
        <w:pStyle w:val="8"/>
      </w:pPr>
      <w:r>
        <w:rPr>
          <w:rFonts w:ascii="仿宋_GB2312" w:hAnsi="仿宋_GB2312" w:eastAsia="仿宋_GB2312" w:cs="仿宋_GB2312"/>
        </w:rPr>
        <w:t>采购包预算金额（元）: 1,500,000.00</w:t>
      </w:r>
    </w:p>
    <w:p w14:paraId="04A7AFCB">
      <w:pPr>
        <w:pStyle w:val="8"/>
      </w:pPr>
      <w:r>
        <w:rPr>
          <w:rFonts w:ascii="仿宋_GB2312" w:hAnsi="仿宋_GB2312" w:eastAsia="仿宋_GB2312" w:cs="仿宋_GB2312"/>
        </w:rPr>
        <w:t>采购包最高限价（元）: 1,500,000.00</w:t>
      </w:r>
    </w:p>
    <w:p w14:paraId="265BAD25">
      <w:pPr>
        <w:pStyle w:val="8"/>
      </w:pPr>
      <w:r>
        <w:rPr>
          <w:rFonts w:ascii="仿宋_GB2312" w:hAnsi="仿宋_GB2312" w:eastAsia="仿宋_GB2312" w:cs="仿宋_GB2312"/>
        </w:rPr>
        <w:t>供应商报价不允许超过标的金额</w:t>
      </w:r>
    </w:p>
    <w:p w14:paraId="4ABCDA13">
      <w:pPr>
        <w:pStyle w:val="8"/>
      </w:pPr>
      <w:r>
        <w:rPr>
          <w:rFonts w:ascii="仿宋_GB2312" w:hAnsi="仿宋_GB2312" w:eastAsia="仿宋_GB2312" w:cs="仿宋_GB2312"/>
        </w:rPr>
        <w:t>（招单价的）供应商报价不允许超过标的单价</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07"/>
        <w:gridCol w:w="707"/>
        <w:gridCol w:w="736"/>
        <w:gridCol w:w="1416"/>
        <w:gridCol w:w="708"/>
        <w:gridCol w:w="708"/>
        <w:gridCol w:w="708"/>
        <w:gridCol w:w="708"/>
        <w:gridCol w:w="708"/>
        <w:gridCol w:w="708"/>
        <w:gridCol w:w="708"/>
      </w:tblGrid>
      <w:tr w14:paraId="2AC8ED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1A00523">
            <w:pPr>
              <w:pStyle w:val="8"/>
            </w:pPr>
            <w:r>
              <w:rPr>
                <w:rFonts w:ascii="仿宋_GB2312" w:hAnsi="仿宋_GB2312" w:eastAsia="仿宋_GB2312" w:cs="仿宋_GB2312"/>
              </w:rPr>
              <w:t>序号</w:t>
            </w:r>
          </w:p>
        </w:tc>
        <w:tc>
          <w:tcPr>
            <w:tcW w:w="755" w:type="dxa"/>
          </w:tcPr>
          <w:p w14:paraId="25E95175">
            <w:pPr>
              <w:pStyle w:val="8"/>
            </w:pPr>
            <w:r>
              <w:rPr>
                <w:rFonts w:ascii="仿宋_GB2312" w:hAnsi="仿宋_GB2312" w:eastAsia="仿宋_GB2312" w:cs="仿宋_GB2312"/>
              </w:rPr>
              <w:t>标的名称</w:t>
            </w:r>
          </w:p>
        </w:tc>
        <w:tc>
          <w:tcPr>
            <w:tcW w:w="755" w:type="dxa"/>
          </w:tcPr>
          <w:p w14:paraId="21B9C1E2">
            <w:pPr>
              <w:pStyle w:val="8"/>
            </w:pPr>
            <w:r>
              <w:rPr>
                <w:rFonts w:ascii="仿宋_GB2312" w:hAnsi="仿宋_GB2312" w:eastAsia="仿宋_GB2312" w:cs="仿宋_GB2312"/>
              </w:rPr>
              <w:t>数量</w:t>
            </w:r>
          </w:p>
        </w:tc>
        <w:tc>
          <w:tcPr>
            <w:tcW w:w="755" w:type="dxa"/>
          </w:tcPr>
          <w:p w14:paraId="2D78117A">
            <w:pPr>
              <w:pStyle w:val="8"/>
            </w:pPr>
            <w:r>
              <w:rPr>
                <w:rFonts w:ascii="仿宋_GB2312" w:hAnsi="仿宋_GB2312" w:eastAsia="仿宋_GB2312" w:cs="仿宋_GB2312"/>
              </w:rPr>
              <w:t>标的金额 （元）</w:t>
            </w:r>
          </w:p>
        </w:tc>
        <w:tc>
          <w:tcPr>
            <w:tcW w:w="755" w:type="dxa"/>
          </w:tcPr>
          <w:p w14:paraId="0E0D5E2B">
            <w:pPr>
              <w:pStyle w:val="8"/>
            </w:pPr>
            <w:r>
              <w:rPr>
                <w:rFonts w:ascii="仿宋_GB2312" w:hAnsi="仿宋_GB2312" w:eastAsia="仿宋_GB2312" w:cs="仿宋_GB2312"/>
              </w:rPr>
              <w:t>计量单位</w:t>
            </w:r>
          </w:p>
        </w:tc>
        <w:tc>
          <w:tcPr>
            <w:tcW w:w="755" w:type="dxa"/>
          </w:tcPr>
          <w:p w14:paraId="1D19B8A9">
            <w:pPr>
              <w:pStyle w:val="8"/>
            </w:pPr>
            <w:r>
              <w:rPr>
                <w:rFonts w:ascii="仿宋_GB2312" w:hAnsi="仿宋_GB2312" w:eastAsia="仿宋_GB2312" w:cs="仿宋_GB2312"/>
              </w:rPr>
              <w:t>所属行业</w:t>
            </w:r>
          </w:p>
        </w:tc>
        <w:tc>
          <w:tcPr>
            <w:tcW w:w="755" w:type="dxa"/>
          </w:tcPr>
          <w:p w14:paraId="5FBDAFF6">
            <w:pPr>
              <w:pStyle w:val="8"/>
            </w:pPr>
            <w:r>
              <w:rPr>
                <w:rFonts w:ascii="仿宋_GB2312" w:hAnsi="仿宋_GB2312" w:eastAsia="仿宋_GB2312" w:cs="仿宋_GB2312"/>
              </w:rPr>
              <w:t>是否核心产品</w:t>
            </w:r>
          </w:p>
        </w:tc>
        <w:tc>
          <w:tcPr>
            <w:tcW w:w="755" w:type="dxa"/>
          </w:tcPr>
          <w:p w14:paraId="638F1F9A">
            <w:pPr>
              <w:pStyle w:val="8"/>
            </w:pPr>
            <w:r>
              <w:rPr>
                <w:rFonts w:ascii="仿宋_GB2312" w:hAnsi="仿宋_GB2312" w:eastAsia="仿宋_GB2312" w:cs="仿宋_GB2312"/>
              </w:rPr>
              <w:t>是否允许进口产品</w:t>
            </w:r>
          </w:p>
        </w:tc>
        <w:tc>
          <w:tcPr>
            <w:tcW w:w="755" w:type="dxa"/>
          </w:tcPr>
          <w:p w14:paraId="0A36FDF8">
            <w:pPr>
              <w:pStyle w:val="8"/>
            </w:pPr>
            <w:r>
              <w:rPr>
                <w:rFonts w:ascii="仿宋_GB2312" w:hAnsi="仿宋_GB2312" w:eastAsia="仿宋_GB2312" w:cs="仿宋_GB2312"/>
              </w:rPr>
              <w:t>是否属于节能产品</w:t>
            </w:r>
          </w:p>
        </w:tc>
        <w:tc>
          <w:tcPr>
            <w:tcW w:w="755" w:type="dxa"/>
          </w:tcPr>
          <w:p w14:paraId="0FF47986">
            <w:pPr>
              <w:pStyle w:val="8"/>
            </w:pPr>
            <w:r>
              <w:rPr>
                <w:rFonts w:ascii="仿宋_GB2312" w:hAnsi="仿宋_GB2312" w:eastAsia="仿宋_GB2312" w:cs="仿宋_GB2312"/>
              </w:rPr>
              <w:t>是否属于环境标志产品</w:t>
            </w:r>
          </w:p>
        </w:tc>
        <w:tc>
          <w:tcPr>
            <w:tcW w:w="755" w:type="dxa"/>
          </w:tcPr>
          <w:p w14:paraId="4549D564">
            <w:pPr>
              <w:pStyle w:val="8"/>
            </w:pPr>
            <w:r>
              <w:rPr>
                <w:rFonts w:ascii="仿宋_GB2312" w:hAnsi="仿宋_GB2312" w:eastAsia="仿宋_GB2312" w:cs="仿宋_GB2312"/>
              </w:rPr>
              <w:t>是否实施本国产品政策</w:t>
            </w:r>
          </w:p>
        </w:tc>
      </w:tr>
      <w:tr w14:paraId="3F3799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3E2EBF15">
            <w:pPr>
              <w:pStyle w:val="8"/>
            </w:pPr>
            <w:r>
              <w:rPr>
                <w:rFonts w:ascii="仿宋_GB2312" w:hAnsi="仿宋_GB2312" w:eastAsia="仿宋_GB2312" w:cs="仿宋_GB2312"/>
              </w:rPr>
              <w:t>1</w:t>
            </w:r>
          </w:p>
        </w:tc>
        <w:tc>
          <w:tcPr>
            <w:tcW w:w="755" w:type="dxa"/>
          </w:tcPr>
          <w:p w14:paraId="5831E604">
            <w:pPr>
              <w:pStyle w:val="8"/>
            </w:pPr>
            <w:r>
              <w:rPr>
                <w:rFonts w:ascii="仿宋_GB2312" w:hAnsi="仿宋_GB2312" w:eastAsia="仿宋_GB2312" w:cs="仿宋_GB2312"/>
              </w:rPr>
              <w:t>宠物临床综合实训室</w:t>
            </w:r>
          </w:p>
        </w:tc>
        <w:tc>
          <w:tcPr>
            <w:tcW w:w="755" w:type="dxa"/>
          </w:tcPr>
          <w:p w14:paraId="2E244BE0">
            <w:pPr>
              <w:pStyle w:val="8"/>
              <w:jc w:val="right"/>
            </w:pPr>
            <w:r>
              <w:rPr>
                <w:rFonts w:ascii="仿宋_GB2312" w:hAnsi="仿宋_GB2312" w:eastAsia="仿宋_GB2312" w:cs="仿宋_GB2312"/>
              </w:rPr>
              <w:t>1.00</w:t>
            </w:r>
          </w:p>
        </w:tc>
        <w:tc>
          <w:tcPr>
            <w:tcW w:w="755" w:type="dxa"/>
          </w:tcPr>
          <w:p w14:paraId="1F0BD526">
            <w:pPr>
              <w:pStyle w:val="8"/>
              <w:jc w:val="right"/>
            </w:pPr>
            <w:r>
              <w:rPr>
                <w:rFonts w:ascii="仿宋_GB2312" w:hAnsi="仿宋_GB2312" w:eastAsia="仿宋_GB2312" w:cs="仿宋_GB2312"/>
              </w:rPr>
              <w:t>1,500,000.00</w:t>
            </w:r>
          </w:p>
        </w:tc>
        <w:tc>
          <w:tcPr>
            <w:tcW w:w="755" w:type="dxa"/>
          </w:tcPr>
          <w:p w14:paraId="3FC5A634">
            <w:pPr>
              <w:pStyle w:val="8"/>
            </w:pPr>
            <w:r>
              <w:rPr>
                <w:rFonts w:ascii="仿宋_GB2312" w:hAnsi="仿宋_GB2312" w:eastAsia="仿宋_GB2312" w:cs="仿宋_GB2312"/>
              </w:rPr>
              <w:t>批</w:t>
            </w:r>
          </w:p>
        </w:tc>
        <w:tc>
          <w:tcPr>
            <w:tcW w:w="755" w:type="dxa"/>
          </w:tcPr>
          <w:p w14:paraId="00D9E41C">
            <w:pPr>
              <w:pStyle w:val="8"/>
            </w:pPr>
            <w:r>
              <w:rPr>
                <w:rFonts w:ascii="仿宋_GB2312" w:hAnsi="仿宋_GB2312" w:eastAsia="仿宋_GB2312" w:cs="仿宋_GB2312"/>
              </w:rPr>
              <w:t>工业</w:t>
            </w:r>
          </w:p>
        </w:tc>
        <w:tc>
          <w:tcPr>
            <w:tcW w:w="755" w:type="dxa"/>
          </w:tcPr>
          <w:p w14:paraId="42C03B8B">
            <w:pPr>
              <w:pStyle w:val="8"/>
            </w:pPr>
            <w:r>
              <w:rPr>
                <w:rFonts w:ascii="仿宋_GB2312" w:hAnsi="仿宋_GB2312" w:eastAsia="仿宋_GB2312" w:cs="仿宋_GB2312"/>
              </w:rPr>
              <w:t>否</w:t>
            </w:r>
          </w:p>
        </w:tc>
        <w:tc>
          <w:tcPr>
            <w:tcW w:w="755" w:type="dxa"/>
          </w:tcPr>
          <w:p w14:paraId="41A3C455">
            <w:pPr>
              <w:pStyle w:val="8"/>
            </w:pPr>
            <w:r>
              <w:rPr>
                <w:rFonts w:ascii="仿宋_GB2312" w:hAnsi="仿宋_GB2312" w:eastAsia="仿宋_GB2312" w:cs="仿宋_GB2312"/>
              </w:rPr>
              <w:t>否</w:t>
            </w:r>
          </w:p>
        </w:tc>
        <w:tc>
          <w:tcPr>
            <w:tcW w:w="755" w:type="dxa"/>
          </w:tcPr>
          <w:p w14:paraId="520BB5DC">
            <w:pPr>
              <w:pStyle w:val="8"/>
            </w:pPr>
            <w:r>
              <w:rPr>
                <w:rFonts w:ascii="仿宋_GB2312" w:hAnsi="仿宋_GB2312" w:eastAsia="仿宋_GB2312" w:cs="仿宋_GB2312"/>
              </w:rPr>
              <w:t>否</w:t>
            </w:r>
          </w:p>
        </w:tc>
        <w:tc>
          <w:tcPr>
            <w:tcW w:w="755" w:type="dxa"/>
          </w:tcPr>
          <w:p w14:paraId="077A8AB4">
            <w:pPr>
              <w:pStyle w:val="8"/>
            </w:pPr>
            <w:r>
              <w:rPr>
                <w:rFonts w:ascii="仿宋_GB2312" w:hAnsi="仿宋_GB2312" w:eastAsia="仿宋_GB2312" w:cs="仿宋_GB2312"/>
              </w:rPr>
              <w:t>否</w:t>
            </w:r>
          </w:p>
        </w:tc>
        <w:tc>
          <w:tcPr>
            <w:tcW w:w="755" w:type="dxa"/>
          </w:tcPr>
          <w:p w14:paraId="7A10F987">
            <w:pPr>
              <w:pStyle w:val="8"/>
            </w:pPr>
            <w:r>
              <w:rPr>
                <w:rFonts w:ascii="仿宋_GB2312" w:hAnsi="仿宋_GB2312" w:eastAsia="仿宋_GB2312" w:cs="仿宋_GB2312"/>
              </w:rPr>
              <w:t>是</w:t>
            </w:r>
          </w:p>
        </w:tc>
      </w:tr>
    </w:tbl>
    <w:p w14:paraId="631B0655">
      <w:pPr>
        <w:pStyle w:val="8"/>
        <w:outlineLvl w:val="2"/>
      </w:pPr>
      <w:r>
        <w:rPr>
          <w:rFonts w:ascii="仿宋_GB2312" w:hAnsi="仿宋_GB2312" w:eastAsia="仿宋_GB2312" w:cs="仿宋_GB2312"/>
          <w:b/>
          <w:sz w:val="28"/>
        </w:rPr>
        <w:t>3.3技术要求</w:t>
      </w:r>
    </w:p>
    <w:p w14:paraId="7304B080">
      <w:pPr>
        <w:pStyle w:val="8"/>
      </w:pPr>
      <w:r>
        <w:rPr>
          <w:rFonts w:ascii="仿宋_GB2312" w:hAnsi="仿宋_GB2312" w:eastAsia="仿宋_GB2312" w:cs="仿宋_GB2312"/>
        </w:rPr>
        <w:t>采购包1：</w:t>
      </w:r>
    </w:p>
    <w:p w14:paraId="4BD75886">
      <w:pPr>
        <w:pStyle w:val="8"/>
      </w:pPr>
      <w:r>
        <w:rPr>
          <w:rFonts w:ascii="仿宋_GB2312" w:hAnsi="仿宋_GB2312" w:eastAsia="仿宋_GB2312" w:cs="仿宋_GB2312"/>
        </w:rPr>
        <w:t>标的名称：宠物外科与产科实训室</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6"/>
        <w:gridCol w:w="1111"/>
        <w:gridCol w:w="6390"/>
      </w:tblGrid>
      <w:tr w14:paraId="0C2ADF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6" w:type="dxa"/>
          </w:tcPr>
          <w:p w14:paraId="4BF961FD">
            <w:pPr>
              <w:pStyle w:val="8"/>
            </w:pPr>
            <w:r>
              <w:rPr>
                <w:rFonts w:ascii="仿宋_GB2312" w:hAnsi="仿宋_GB2312" w:eastAsia="仿宋_GB2312" w:cs="仿宋_GB2312"/>
              </w:rPr>
              <w:t xml:space="preserve"> 序号</w:t>
            </w:r>
          </w:p>
        </w:tc>
        <w:tc>
          <w:tcPr>
            <w:tcW w:w="1111" w:type="dxa"/>
          </w:tcPr>
          <w:p w14:paraId="0D9BB1D4">
            <w:pPr>
              <w:pStyle w:val="8"/>
            </w:pPr>
            <w:r>
              <w:rPr>
                <w:rFonts w:ascii="仿宋_GB2312" w:hAnsi="仿宋_GB2312" w:eastAsia="仿宋_GB2312" w:cs="仿宋_GB2312"/>
              </w:rPr>
              <w:t>参数性质</w:t>
            </w:r>
          </w:p>
        </w:tc>
        <w:tc>
          <w:tcPr>
            <w:tcW w:w="6390" w:type="dxa"/>
          </w:tcPr>
          <w:p w14:paraId="23C1DF87">
            <w:pPr>
              <w:pStyle w:val="8"/>
            </w:pPr>
            <w:r>
              <w:rPr>
                <w:rFonts w:ascii="仿宋_GB2312" w:hAnsi="仿宋_GB2312" w:eastAsia="仿宋_GB2312" w:cs="仿宋_GB2312"/>
              </w:rPr>
              <w:t xml:space="preserve"> 技术参数与性能指标</w:t>
            </w:r>
          </w:p>
        </w:tc>
      </w:tr>
      <w:tr w14:paraId="25C92D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6" w:type="dxa"/>
          </w:tcPr>
          <w:p w14:paraId="0715CFE0">
            <w:pPr>
              <w:pStyle w:val="8"/>
            </w:pPr>
            <w:r>
              <w:rPr>
                <w:rFonts w:ascii="仿宋_GB2312" w:hAnsi="仿宋_GB2312" w:eastAsia="仿宋_GB2312" w:cs="仿宋_GB2312"/>
              </w:rPr>
              <w:t>1</w:t>
            </w:r>
          </w:p>
        </w:tc>
        <w:tc>
          <w:tcPr>
            <w:tcW w:w="1111" w:type="dxa"/>
          </w:tcPr>
          <w:p w14:paraId="36E1E8C2"/>
        </w:tc>
        <w:tc>
          <w:tcPr>
            <w:tcW w:w="6390" w:type="dxa"/>
          </w:tcPr>
          <w:p w14:paraId="202EF675">
            <w:pPr>
              <w:pStyle w:val="8"/>
              <w:jc w:val="both"/>
              <w:rPr>
                <w:b w:val="0"/>
                <w:bCs/>
              </w:rPr>
            </w:pPr>
            <w:r>
              <w:rPr>
                <w:rFonts w:ascii="仿宋_GB2312" w:hAnsi="仿宋_GB2312" w:eastAsia="仿宋_GB2312" w:cs="仿宋_GB2312"/>
                <w:b w:val="0"/>
                <w:bCs/>
                <w:color w:val="000000"/>
                <w:sz w:val="22"/>
              </w:rPr>
              <w:t>1.采购需求及要求</w:t>
            </w:r>
          </w:p>
          <w:p w14:paraId="57C74F97">
            <w:pPr>
              <w:pStyle w:val="8"/>
              <w:ind w:firstLine="460"/>
              <w:jc w:val="both"/>
              <w:rPr>
                <w:b w:val="0"/>
                <w:bCs/>
              </w:rPr>
            </w:pPr>
            <w:r>
              <w:rPr>
                <w:rFonts w:ascii="仿宋_GB2312" w:hAnsi="仿宋_GB2312" w:eastAsia="仿宋_GB2312" w:cs="仿宋_GB2312"/>
                <w:b w:val="0"/>
                <w:bCs/>
                <w:color w:val="000000"/>
                <w:sz w:val="22"/>
              </w:rPr>
              <w:t>1.1采购需求清单：详见附件。本采购包核心产品为：宠物呼吸麻醉机。</w:t>
            </w:r>
          </w:p>
          <w:p w14:paraId="2A5CAADE">
            <w:pPr>
              <w:pStyle w:val="8"/>
              <w:spacing w:before="105" w:after="105"/>
              <w:ind w:right="90" w:firstLine="460"/>
              <w:jc w:val="both"/>
              <w:rPr>
                <w:b w:val="0"/>
                <w:bCs/>
              </w:rPr>
            </w:pPr>
            <w:r>
              <w:rPr>
                <w:rFonts w:ascii="仿宋_GB2312" w:hAnsi="仿宋_GB2312" w:eastAsia="仿宋_GB2312" w:cs="仿宋_GB2312"/>
                <w:b w:val="0"/>
                <w:bCs/>
                <w:color w:val="000000"/>
                <w:sz w:val="22"/>
              </w:rPr>
              <w:t>1.2质量标准及要求：（1）所有货物(产品)、服务符合国家、省、市（行业）强制性标准及采购人要求的合格标准。</w:t>
            </w:r>
          </w:p>
          <w:p w14:paraId="2F4FDB99">
            <w:pPr>
              <w:pStyle w:val="8"/>
              <w:spacing w:before="105" w:after="105"/>
              <w:ind w:firstLine="460"/>
              <w:jc w:val="left"/>
              <w:rPr>
                <w:b w:val="0"/>
                <w:bCs/>
              </w:rPr>
            </w:pPr>
            <w:r>
              <w:rPr>
                <w:rFonts w:ascii="仿宋_GB2312" w:hAnsi="仿宋_GB2312" w:eastAsia="仿宋_GB2312" w:cs="仿宋_GB2312"/>
                <w:b w:val="0"/>
                <w:bCs/>
                <w:color w:val="000000"/>
                <w:sz w:val="22"/>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0BACB7FF">
            <w:pPr>
              <w:pStyle w:val="8"/>
              <w:spacing w:before="105" w:after="105"/>
              <w:ind w:firstLine="460"/>
              <w:jc w:val="left"/>
              <w:rPr>
                <w:b w:val="0"/>
                <w:bCs/>
              </w:rPr>
            </w:pPr>
            <w:r>
              <w:rPr>
                <w:rFonts w:ascii="仿宋_GB2312" w:hAnsi="仿宋_GB2312" w:eastAsia="仿宋_GB2312" w:cs="仿宋_GB2312"/>
                <w:b w:val="0"/>
                <w:bCs/>
                <w:color w:val="000000"/>
                <w:sz w:val="22"/>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74A48641">
            <w:pPr>
              <w:pStyle w:val="8"/>
              <w:spacing w:before="105" w:after="105"/>
              <w:ind w:firstLine="420"/>
              <w:jc w:val="both"/>
              <w:rPr>
                <w:b w:val="0"/>
                <w:bCs/>
              </w:rPr>
            </w:pPr>
            <w:r>
              <w:rPr>
                <w:rFonts w:ascii="仿宋_GB2312" w:hAnsi="仿宋_GB2312" w:eastAsia="仿宋_GB2312" w:cs="仿宋_GB2312"/>
                <w:b w:val="0"/>
                <w:bCs/>
                <w:color w:val="000000"/>
                <w:sz w:val="22"/>
              </w:rPr>
              <w:t>1.3产品“三包”要求：货物(产品)属于国家规定的“三包产品”，产品制造商、经销代理商应遵守“三包”的规定，在产品发生质量问题时，及时对所提供产品实行“包退、包换、保修”服务，并承担由此产生的包装、运输等一切费用。</w:t>
            </w:r>
          </w:p>
          <w:p w14:paraId="451FCA25">
            <w:pPr>
              <w:pStyle w:val="8"/>
              <w:spacing w:before="105" w:after="105"/>
              <w:ind w:firstLine="422"/>
              <w:jc w:val="both"/>
              <w:rPr>
                <w:b w:val="0"/>
                <w:bCs/>
              </w:rPr>
            </w:pPr>
            <w:r>
              <w:rPr>
                <w:rFonts w:ascii="仿宋_GB2312" w:hAnsi="仿宋_GB2312" w:eastAsia="仿宋_GB2312" w:cs="仿宋_GB2312"/>
                <w:b w:val="0"/>
                <w:bCs/>
                <w:color w:val="000000"/>
                <w:sz w:val="22"/>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1BB29C30">
            <w:pPr>
              <w:pStyle w:val="8"/>
              <w:spacing w:before="105" w:after="105"/>
              <w:ind w:firstLine="460"/>
              <w:jc w:val="both"/>
              <w:rPr>
                <w:b w:val="0"/>
                <w:bCs/>
              </w:rPr>
            </w:pPr>
            <w:r>
              <w:rPr>
                <w:rFonts w:ascii="仿宋_GB2312" w:hAnsi="仿宋_GB2312" w:eastAsia="仿宋_GB2312" w:cs="仿宋_GB2312"/>
                <w:b w:val="0"/>
                <w:bCs/>
                <w:color w:val="000000"/>
                <w:sz w:val="22"/>
              </w:rPr>
              <w:t>1.5投标人应保证投标所提供第三方资料内容真实、完整、准确；如有相关第三方书面声明、相关检测报告等资料虚假，监管部门有权根据调查情形认定其是否属于提供虚假材料谋取中标（成交），并严肃处理。</w:t>
            </w:r>
          </w:p>
          <w:p w14:paraId="07BB6C00">
            <w:pPr>
              <w:pStyle w:val="8"/>
              <w:spacing w:before="105" w:after="105"/>
              <w:ind w:firstLine="422"/>
              <w:jc w:val="both"/>
              <w:rPr>
                <w:b w:val="0"/>
                <w:bCs/>
              </w:rPr>
            </w:pPr>
            <w:r>
              <w:rPr>
                <w:rFonts w:ascii="仿宋_GB2312" w:hAnsi="仿宋_GB2312" w:eastAsia="仿宋_GB2312" w:cs="仿宋_GB2312"/>
                <w:b w:val="0"/>
                <w:bCs/>
                <w:color w:val="000000"/>
                <w:sz w:val="22"/>
              </w:rPr>
              <w:t>1.6为保证货物（软件和硬件）质量和功能的严谨性，中标（成交）后采购人有权要求中标人对其所提供的设备(产品)（包含软件和硬件）的功能进行逐一演示，如有功能与实际不相符，一律按虚假应标处理，由中标人承担因此产生的一切后果和责任。</w:t>
            </w:r>
          </w:p>
          <w:p w14:paraId="18D5CC69">
            <w:pPr>
              <w:pStyle w:val="8"/>
              <w:spacing w:before="105" w:after="105"/>
              <w:ind w:firstLine="420"/>
              <w:jc w:val="both"/>
              <w:rPr>
                <w:b w:val="0"/>
                <w:bCs/>
              </w:rPr>
            </w:pPr>
            <w:r>
              <w:rPr>
                <w:rFonts w:ascii="仿宋_GB2312" w:hAnsi="仿宋_GB2312" w:eastAsia="仿宋_GB2312" w:cs="仿宋_GB2312"/>
                <w:b w:val="0"/>
                <w:bCs/>
                <w:color w:val="000000"/>
                <w:sz w:val="22"/>
              </w:rPr>
              <w:t>1.7售后服务要求：</w:t>
            </w:r>
          </w:p>
          <w:p w14:paraId="222B1DBF">
            <w:pPr>
              <w:pStyle w:val="8"/>
              <w:spacing w:before="105" w:after="105"/>
              <w:ind w:firstLine="420"/>
              <w:jc w:val="both"/>
              <w:rPr>
                <w:b w:val="0"/>
                <w:bCs/>
              </w:rPr>
            </w:pPr>
            <w:r>
              <w:rPr>
                <w:rFonts w:ascii="仿宋_GB2312" w:hAnsi="仿宋_GB2312" w:eastAsia="仿宋_GB2312" w:cs="仿宋_GB2312"/>
                <w:b w:val="0"/>
                <w:bCs/>
                <w:color w:val="000000"/>
                <w:sz w:val="22"/>
              </w:rPr>
              <w:t>（1）中标人须指派专人负责与采购人联系售后服务事宜。售后服务条款包括但不限于整体服务内容、故障响应时间、响应方式、维修措施及时限、维护响应计划、备品备件供应、质保期内服务、维保期的售后服务等内容。未提供任何售后服务事宜的将以不实质性满足招标文件要求对待。</w:t>
            </w:r>
          </w:p>
          <w:p w14:paraId="2948D45C">
            <w:pPr>
              <w:pStyle w:val="8"/>
              <w:spacing w:before="105" w:after="105"/>
              <w:ind w:firstLine="420"/>
              <w:jc w:val="both"/>
              <w:rPr>
                <w:b w:val="0"/>
                <w:bCs/>
              </w:rPr>
            </w:pPr>
            <w:r>
              <w:rPr>
                <w:rFonts w:ascii="仿宋_GB2312" w:hAnsi="仿宋_GB2312" w:eastAsia="仿宋_GB2312" w:cs="仿宋_GB2312"/>
                <w:b w:val="0"/>
                <w:bCs/>
                <w:color w:val="000000"/>
                <w:sz w:val="22"/>
              </w:rPr>
              <w:t>（2）中标人负责货物的现场安装、调试、测试和启动等。</w:t>
            </w:r>
          </w:p>
          <w:p w14:paraId="1A673117">
            <w:pPr>
              <w:pStyle w:val="8"/>
              <w:spacing w:before="105" w:after="105"/>
              <w:ind w:firstLine="420"/>
              <w:jc w:val="both"/>
              <w:rPr>
                <w:b w:val="0"/>
                <w:bCs/>
              </w:rPr>
            </w:pPr>
            <w:r>
              <w:rPr>
                <w:rFonts w:ascii="仿宋_GB2312" w:hAnsi="仿宋_GB2312" w:eastAsia="仿宋_GB2312" w:cs="仿宋_GB2312"/>
                <w:b w:val="0"/>
                <w:bCs/>
                <w:color w:val="000000"/>
                <w:sz w:val="22"/>
              </w:rPr>
              <w:t>（3）中标人负责货物的安装、启动、运行及维护等对使用人员进行免费培训：培训主要内容为货物的基本结构、性能、主要部件的构造及原理，日常使用操作、维护保养与管理，常见故障的排除、紧急情况的处理等，如使用方未使用过同类型货物，中标人还需就货物的功能对使用方人员进行相应的技术培训，培训地点为货物安装现场或由采购人安排。</w:t>
            </w:r>
          </w:p>
          <w:p w14:paraId="51358011">
            <w:pPr>
              <w:pStyle w:val="8"/>
              <w:spacing w:before="105" w:after="105"/>
              <w:ind w:firstLine="420"/>
              <w:jc w:val="both"/>
              <w:rPr>
                <w:b w:val="0"/>
                <w:bCs/>
              </w:rPr>
            </w:pPr>
            <w:r>
              <w:rPr>
                <w:rFonts w:ascii="仿宋_GB2312" w:hAnsi="仿宋_GB2312" w:eastAsia="仿宋_GB2312" w:cs="仿宋_GB2312"/>
                <w:b w:val="0"/>
                <w:bCs/>
                <w:color w:val="000000"/>
                <w:sz w:val="22"/>
              </w:rPr>
              <w:t>★（4）针对客户实际情况开展每学期举办≥3次教学交流活动，入校交流人员必须具备高级工程师或以上职称。(提供承诺函及对应职称复印件)</w:t>
            </w:r>
          </w:p>
          <w:p w14:paraId="0F381DC7">
            <w:pPr>
              <w:pStyle w:val="8"/>
              <w:spacing w:before="105" w:after="105"/>
              <w:ind w:firstLine="420"/>
              <w:jc w:val="both"/>
              <w:rPr>
                <w:b w:val="0"/>
                <w:bCs/>
              </w:rPr>
            </w:pPr>
            <w:r>
              <w:rPr>
                <w:rFonts w:ascii="仿宋_GB2312" w:hAnsi="仿宋_GB2312" w:eastAsia="仿宋_GB2312" w:cs="仿宋_GB2312"/>
                <w:b w:val="0"/>
                <w:bCs/>
                <w:color w:val="000000"/>
                <w:sz w:val="22"/>
              </w:rPr>
              <w:t>★（5）提供≥20名学生实践机会，实习时间≥1周；提供相关实践安排表，需派遣专业技术工程师入驻学校实地协助开展教学服务，质保期内累积每年≥10次服务。(提供相关承诺函)</w:t>
            </w:r>
          </w:p>
          <w:p w14:paraId="222401EB">
            <w:pPr>
              <w:pStyle w:val="8"/>
              <w:spacing w:before="105" w:after="105"/>
              <w:ind w:firstLine="420"/>
              <w:jc w:val="both"/>
              <w:rPr>
                <w:b w:val="0"/>
                <w:bCs/>
              </w:rPr>
            </w:pPr>
            <w:r>
              <w:rPr>
                <w:rFonts w:ascii="仿宋_GB2312" w:hAnsi="仿宋_GB2312" w:eastAsia="仿宋_GB2312" w:cs="仿宋_GB2312"/>
                <w:b w:val="0"/>
                <w:bCs/>
                <w:color w:val="000000"/>
                <w:sz w:val="22"/>
              </w:rPr>
              <w:t>（6）质保期自采购人在质量验收单（终验）上签字之日起计算，质保费用计入总价。</w:t>
            </w:r>
          </w:p>
          <w:p w14:paraId="5FE0A9B3">
            <w:pPr>
              <w:pStyle w:val="8"/>
              <w:spacing w:before="105" w:after="105"/>
              <w:ind w:firstLine="420"/>
              <w:jc w:val="both"/>
              <w:rPr>
                <w:b w:val="0"/>
                <w:bCs/>
              </w:rPr>
            </w:pPr>
            <w:r>
              <w:rPr>
                <w:rFonts w:ascii="仿宋_GB2312" w:hAnsi="仿宋_GB2312" w:eastAsia="仿宋_GB2312" w:cs="仿宋_GB2312"/>
                <w:b w:val="0"/>
                <w:bCs/>
                <w:color w:val="000000"/>
                <w:sz w:val="22"/>
              </w:rPr>
              <w:t>（7）中标人负责对其提供的货物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5A582503">
            <w:pPr>
              <w:pStyle w:val="8"/>
              <w:spacing w:before="105" w:after="105"/>
              <w:ind w:firstLine="420"/>
              <w:jc w:val="both"/>
              <w:rPr>
                <w:b w:val="0"/>
                <w:bCs/>
              </w:rPr>
            </w:pPr>
            <w:r>
              <w:rPr>
                <w:rFonts w:ascii="仿宋_GB2312" w:hAnsi="仿宋_GB2312" w:eastAsia="仿宋_GB2312" w:cs="仿宋_GB2312"/>
                <w:b w:val="0"/>
                <w:bCs/>
                <w:color w:val="000000"/>
                <w:sz w:val="22"/>
              </w:rPr>
              <w:t>（8）中标人负责对其所提供的设备、材料等备品配件供应，提供长期维修，并提供技术咨询等服务，所有维修记录交由采购人的现场技术人员一份，并详细说明问题所在、解决办法及注意事项。对于存在质量问题或者短少的产品，中标人应在接到采购人的通知2个日历日内负责修复，调换、重新制作或补齐。</w:t>
            </w:r>
          </w:p>
          <w:p w14:paraId="7AE71449">
            <w:pPr>
              <w:pStyle w:val="8"/>
              <w:spacing w:before="105" w:after="105"/>
              <w:ind w:firstLine="420"/>
              <w:jc w:val="both"/>
              <w:rPr>
                <w:b w:val="0"/>
                <w:bCs/>
              </w:rPr>
            </w:pPr>
            <w:r>
              <w:rPr>
                <w:rFonts w:ascii="仿宋_GB2312" w:hAnsi="仿宋_GB2312" w:eastAsia="仿宋_GB2312" w:cs="仿宋_GB2312"/>
                <w:b w:val="0"/>
                <w:bCs/>
                <w:color w:val="000000"/>
                <w:sz w:val="22"/>
              </w:rPr>
              <w:t>（9）货物售后服务方式为现场服务，质保期内维修费用含在合同总价中（中标价格），提供终身维修（护）。中标人服务响应时间不超过8 小时，解决问题不超过 12 小时。</w:t>
            </w:r>
          </w:p>
          <w:p w14:paraId="32EC5B69">
            <w:pPr>
              <w:pStyle w:val="8"/>
              <w:spacing w:before="105" w:after="105"/>
              <w:ind w:firstLine="420"/>
              <w:jc w:val="both"/>
              <w:rPr>
                <w:b w:val="0"/>
                <w:bCs/>
              </w:rPr>
            </w:pPr>
            <w:r>
              <w:rPr>
                <w:rFonts w:ascii="仿宋_GB2312" w:hAnsi="仿宋_GB2312" w:eastAsia="仿宋_GB2312" w:cs="仿宋_GB2312"/>
                <w:b w:val="0"/>
                <w:bCs/>
                <w:color w:val="000000"/>
                <w:sz w:val="22"/>
              </w:rPr>
              <w:t>（10）所有货物服务方式均为中标人上门服务，质保期内每年至少四次免费上门维护，回访，即由中标人派人到货物使用现场维修，由此产生的一切费用均由中标人承担，对系统进行定期的检修、保养工作，并与用户进行沟通，定期开展技术交流活动，预防故障发生，保证系统的正常运行。</w:t>
            </w:r>
          </w:p>
          <w:p w14:paraId="3B09DB80">
            <w:pPr>
              <w:pStyle w:val="8"/>
              <w:spacing w:before="105" w:after="105"/>
              <w:ind w:firstLine="420"/>
              <w:jc w:val="both"/>
              <w:rPr>
                <w:b w:val="0"/>
                <w:bCs/>
              </w:rPr>
            </w:pPr>
            <w:r>
              <w:rPr>
                <w:rFonts w:ascii="仿宋_GB2312" w:hAnsi="仿宋_GB2312" w:eastAsia="仿宋_GB2312" w:cs="仿宋_GB2312"/>
                <w:b w:val="0"/>
                <w:bCs/>
                <w:color w:val="000000"/>
                <w:sz w:val="22"/>
              </w:rPr>
              <w:t>（11）在最终验收后的质量保证期内，中标人应对设计、工艺或材料等的缺陷而产生的故障负责（负责解决并承担全部费用）。质保期满后如出现此类问题亦应负责。</w:t>
            </w:r>
          </w:p>
          <w:p w14:paraId="24C70B8E">
            <w:pPr>
              <w:pStyle w:val="8"/>
              <w:spacing w:before="105" w:after="105"/>
              <w:ind w:firstLine="420"/>
              <w:jc w:val="both"/>
              <w:rPr>
                <w:b w:val="0"/>
                <w:bCs/>
              </w:rPr>
            </w:pPr>
            <w:r>
              <w:rPr>
                <w:rFonts w:ascii="仿宋_GB2312" w:hAnsi="仿宋_GB2312" w:eastAsia="仿宋_GB2312" w:cs="仿宋_GB2312"/>
                <w:b w:val="0"/>
                <w:bCs/>
                <w:color w:val="000000"/>
                <w:sz w:val="22"/>
              </w:rPr>
              <w:t>（12）质保期结束后的其他维修、维护等由双方协商再定。</w:t>
            </w:r>
          </w:p>
          <w:p w14:paraId="70319EE5">
            <w:pPr>
              <w:pStyle w:val="8"/>
              <w:jc w:val="both"/>
              <w:rPr>
                <w:b w:val="0"/>
                <w:bCs/>
              </w:rPr>
            </w:pPr>
            <w:r>
              <w:rPr>
                <w:rFonts w:ascii="仿宋_GB2312" w:hAnsi="仿宋_GB2312" w:eastAsia="仿宋_GB2312" w:cs="仿宋_GB2312"/>
                <w:b w:val="0"/>
                <w:bCs/>
                <w:color w:val="000000"/>
                <w:sz w:val="22"/>
              </w:rPr>
              <w:t>2.其他要求或说明</w:t>
            </w:r>
          </w:p>
          <w:p w14:paraId="264E4AA0">
            <w:pPr>
              <w:pStyle w:val="8"/>
              <w:ind w:firstLine="460"/>
              <w:jc w:val="left"/>
              <w:rPr>
                <w:b w:val="0"/>
                <w:bCs/>
              </w:rPr>
            </w:pPr>
            <w:r>
              <w:rPr>
                <w:rFonts w:ascii="仿宋_GB2312" w:hAnsi="仿宋_GB2312" w:eastAsia="仿宋_GB2312" w:cs="仿宋_GB2312"/>
                <w:b w:val="0"/>
                <w:bCs/>
                <w:color w:val="000000"/>
                <w:sz w:val="22"/>
              </w:rPr>
              <w:t>2.1投标人的报价是投标人响应招标项目要求的全部工作内容的价格体现，包括投标人完成本项目所需的直接费、间接费、利润、税金及其他相关的一切费用，包括但不限于：产品费、附件费、工具费、验收费、运输费、保险费、安装费、调试费、功能使用费、技术服务费（含售后）、招标代理费、税金、利润及不可预见费等全部费用；投标总价中不得包含招标文件要求以外的内容，否则，在评标时不予核减。在提供项目实施过程中出现的任何遗漏，均由中标人免费提供，采购人将不再支付任何费用。</w:t>
            </w:r>
          </w:p>
          <w:p w14:paraId="6E334EE8">
            <w:pPr>
              <w:pStyle w:val="8"/>
              <w:ind w:firstLine="460"/>
              <w:jc w:val="left"/>
              <w:rPr>
                <w:b w:val="0"/>
                <w:bCs/>
              </w:rPr>
            </w:pPr>
            <w:r>
              <w:rPr>
                <w:rFonts w:ascii="仿宋_GB2312" w:hAnsi="仿宋_GB2312" w:eastAsia="仿宋_GB2312" w:cs="仿宋_GB2312"/>
                <w:b w:val="0"/>
                <w:bCs/>
                <w:color w:val="000000"/>
                <w:sz w:val="22"/>
              </w:rPr>
              <w:t>2.2人员配置：投标人根据采购项目特性及要求，自行配置履行合同所必需的专业服务团队，自行组织实施与管理，相关人员经过严格培训，具有相关工作经验，能够胜任项目工作，保证项目顺利实施。</w:t>
            </w:r>
          </w:p>
          <w:p w14:paraId="6D85EADB">
            <w:pPr>
              <w:pStyle w:val="8"/>
              <w:ind w:right="90" w:firstLine="422"/>
              <w:jc w:val="both"/>
              <w:rPr>
                <w:b w:val="0"/>
                <w:bCs/>
              </w:rPr>
            </w:pPr>
            <w:r>
              <w:rPr>
                <w:rFonts w:ascii="仿宋_GB2312" w:hAnsi="仿宋_GB2312" w:eastAsia="仿宋_GB2312" w:cs="仿宋_GB2312"/>
                <w:b w:val="0"/>
                <w:bCs/>
                <w:color w:val="000000"/>
                <w:sz w:val="22"/>
              </w:rPr>
              <w:t>2.3设施设备：投标人根据采购项目特性及要求，自行配置投入履行合同所必需的各类设施设备（不限于专业设备、辅助设备、工具、软件等），保证项目顺利实施。</w:t>
            </w:r>
          </w:p>
          <w:p w14:paraId="1D136127">
            <w:pPr>
              <w:pStyle w:val="8"/>
              <w:spacing w:before="105" w:after="105"/>
              <w:ind w:firstLine="460"/>
              <w:jc w:val="both"/>
              <w:rPr>
                <w:b w:val="0"/>
                <w:bCs/>
              </w:rPr>
            </w:pPr>
            <w:r>
              <w:rPr>
                <w:rFonts w:ascii="仿宋_GB2312" w:hAnsi="仿宋_GB2312" w:eastAsia="仿宋_GB2312" w:cs="仿宋_GB2312"/>
                <w:b w:val="0"/>
                <w:bCs/>
                <w:color w:val="000000"/>
                <w:sz w:val="22"/>
              </w:rPr>
              <w:t>2.4本项目采购标的所属行业为:</w:t>
            </w:r>
            <w:r>
              <w:rPr>
                <w:rFonts w:ascii="仿宋_GB2312" w:hAnsi="仿宋_GB2312" w:eastAsia="仿宋_GB2312" w:cs="仿宋_GB2312"/>
                <w:b w:val="0"/>
                <w:bCs/>
                <w:color w:val="000000"/>
                <w:sz w:val="22"/>
                <w:u w:val="single"/>
              </w:rPr>
              <w:t xml:space="preserve"> 工业 </w:t>
            </w:r>
            <w:r>
              <w:rPr>
                <w:rFonts w:ascii="仿宋_GB2312" w:hAnsi="仿宋_GB2312" w:eastAsia="仿宋_GB2312" w:cs="仿宋_GB2312"/>
                <w:b w:val="0"/>
                <w:bCs/>
                <w:color w:val="000000"/>
                <w:sz w:val="22"/>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328ED3F">
            <w:pPr>
              <w:pStyle w:val="8"/>
              <w:spacing w:before="105" w:after="105"/>
              <w:ind w:firstLine="460"/>
              <w:jc w:val="left"/>
              <w:rPr>
                <w:b w:val="0"/>
                <w:bCs/>
              </w:rPr>
            </w:pPr>
            <w:r>
              <w:rPr>
                <w:rFonts w:ascii="仿宋_GB2312" w:hAnsi="仿宋_GB2312" w:eastAsia="仿宋_GB2312" w:cs="仿宋_GB2312"/>
                <w:b w:val="0"/>
                <w:bCs/>
                <w:color w:val="000000"/>
                <w:sz w:val="22"/>
              </w:rPr>
              <w:t>2.5采购包1(宠物外科与产科实训室)采购需求清单中第20项“功能区标准化改造”项属于装饰装修工程，此部分内容须由取得相应施工资质的单位承包。(以下情况二选一)</w:t>
            </w:r>
          </w:p>
          <w:p w14:paraId="5F56B662">
            <w:pPr>
              <w:pStyle w:val="8"/>
              <w:spacing w:before="105" w:after="105"/>
              <w:ind w:firstLine="460"/>
              <w:jc w:val="both"/>
              <w:rPr>
                <w:b w:val="0"/>
                <w:bCs/>
              </w:rPr>
            </w:pPr>
            <w:r>
              <w:rPr>
                <w:rFonts w:ascii="仿宋_GB2312" w:hAnsi="仿宋_GB2312" w:eastAsia="仿宋_GB2312" w:cs="仿宋_GB2312"/>
                <w:b w:val="0"/>
                <w:bCs/>
                <w:color w:val="000000"/>
                <w:sz w:val="22"/>
              </w:rPr>
              <w:t>★(1)若投标人本身不具备相应资质，应承诺中标后将此部分内容分包给取得“①建设部门颁发的供建筑装修装饰工程专业承包二级及以上资质，并具备有效的安全生产许可证。②拟派项目负责人具备建筑工程专业二级及以上注册建造师执业资格，具备有效的安全生产考核合格证书(建安B证)，在本单位注册，且未担任其他在建工程项目的项目经理(提供承诺)。”的施工单位实施。(提供承诺书，未提供按无效响应处理)</w:t>
            </w:r>
          </w:p>
          <w:p w14:paraId="7FA7E7F3">
            <w:pPr>
              <w:pStyle w:val="8"/>
              <w:spacing w:before="105" w:after="105"/>
              <w:ind w:firstLine="460"/>
              <w:jc w:val="left"/>
              <w:rPr>
                <w:b w:val="0"/>
                <w:bCs/>
              </w:rPr>
            </w:pPr>
            <w:r>
              <w:rPr>
                <w:rFonts w:ascii="仿宋_GB2312" w:hAnsi="仿宋_GB2312" w:eastAsia="仿宋_GB2312" w:cs="仿宋_GB2312"/>
                <w:b w:val="0"/>
                <w:bCs/>
                <w:color w:val="000000"/>
                <w:sz w:val="22"/>
              </w:rPr>
              <w:t>★(2)若投标人本身具备相应资质应提供“①建设部门颁发的供建筑装修装饰工程专业承包二级及以上资质，并具备有效的安全生产许可证。②拟派项目负责人具备建筑工程专业二级及以上注册建造师执业资格，具备有效的安全生产考核合格证书(建安B证)，在本单位注册，且未担任其他在建工程项目的项目经理(提供承诺)”。</w:t>
            </w:r>
          </w:p>
          <w:p w14:paraId="50C17ADA">
            <w:pPr>
              <w:pStyle w:val="8"/>
              <w:spacing w:before="105" w:after="105"/>
              <w:jc w:val="left"/>
            </w:pPr>
            <w:r>
              <w:rPr>
                <w:rFonts w:ascii="仿宋_GB2312" w:hAnsi="仿宋_GB2312" w:eastAsia="仿宋_GB2312" w:cs="仿宋_GB2312"/>
                <w:b w:val="0"/>
                <w:bCs/>
                <w:color w:val="000000"/>
                <w:sz w:val="22"/>
              </w:rPr>
              <w:t>（3）特别说明：仅适用于投标人在不具备相应施工资质条件下将“功能区标准化改造”部分内容分包给由取得相应施工资质的单位实施，本采购包其他内容严禁采用分包方式进行；否则，采购人将按虚假应标，依法追究中标人的法律责任和经济损失。具体分包比例由中标人与分包商根据投标文件相关内容确定。</w:t>
            </w:r>
          </w:p>
          <w:p w14:paraId="37D36D53">
            <w:pPr>
              <w:pStyle w:val="8"/>
            </w:pPr>
          </w:p>
        </w:tc>
      </w:tr>
    </w:tbl>
    <w:p w14:paraId="3ED7580C">
      <w:pPr>
        <w:pStyle w:val="8"/>
      </w:pPr>
      <w:r>
        <w:rPr>
          <w:rFonts w:ascii="仿宋_GB2312" w:hAnsi="仿宋_GB2312" w:eastAsia="仿宋_GB2312" w:cs="仿宋_GB2312"/>
        </w:rPr>
        <w:t>采购包2：</w:t>
      </w:r>
    </w:p>
    <w:p w14:paraId="0811B06C">
      <w:pPr>
        <w:pStyle w:val="8"/>
      </w:pPr>
      <w:r>
        <w:rPr>
          <w:rFonts w:ascii="仿宋_GB2312" w:hAnsi="仿宋_GB2312" w:eastAsia="仿宋_GB2312" w:cs="仿宋_GB2312"/>
        </w:rPr>
        <w:t>标的名称：宠物临床综合实训室</w:t>
      </w:r>
    </w:p>
    <w:tbl>
      <w:tblPr>
        <w:tblStyle w:val="4"/>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5"/>
        <w:gridCol w:w="1032"/>
        <w:gridCol w:w="6550"/>
      </w:tblGrid>
      <w:tr w14:paraId="2F5725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5" w:type="dxa"/>
          </w:tcPr>
          <w:p w14:paraId="40DA9ECB">
            <w:pPr>
              <w:pStyle w:val="8"/>
            </w:pPr>
            <w:r>
              <w:rPr>
                <w:rFonts w:ascii="仿宋_GB2312" w:hAnsi="仿宋_GB2312" w:eastAsia="仿宋_GB2312" w:cs="仿宋_GB2312"/>
              </w:rPr>
              <w:t xml:space="preserve"> 序号</w:t>
            </w:r>
          </w:p>
        </w:tc>
        <w:tc>
          <w:tcPr>
            <w:tcW w:w="1032" w:type="dxa"/>
          </w:tcPr>
          <w:p w14:paraId="7128C989">
            <w:pPr>
              <w:pStyle w:val="8"/>
            </w:pPr>
            <w:r>
              <w:rPr>
                <w:rFonts w:ascii="仿宋_GB2312" w:hAnsi="仿宋_GB2312" w:eastAsia="仿宋_GB2312" w:cs="仿宋_GB2312"/>
              </w:rPr>
              <w:t>参数性质</w:t>
            </w:r>
          </w:p>
        </w:tc>
        <w:tc>
          <w:tcPr>
            <w:tcW w:w="6550" w:type="dxa"/>
          </w:tcPr>
          <w:p w14:paraId="3ED60B52">
            <w:pPr>
              <w:pStyle w:val="8"/>
            </w:pPr>
            <w:r>
              <w:rPr>
                <w:rFonts w:ascii="仿宋_GB2312" w:hAnsi="仿宋_GB2312" w:eastAsia="仿宋_GB2312" w:cs="仿宋_GB2312"/>
              </w:rPr>
              <w:t xml:space="preserve"> 技术参数与性能指标</w:t>
            </w:r>
          </w:p>
        </w:tc>
      </w:tr>
      <w:tr w14:paraId="4C6E2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5" w:type="dxa"/>
          </w:tcPr>
          <w:p w14:paraId="481A0302">
            <w:pPr>
              <w:pStyle w:val="8"/>
            </w:pPr>
            <w:r>
              <w:rPr>
                <w:rFonts w:ascii="仿宋_GB2312" w:hAnsi="仿宋_GB2312" w:eastAsia="仿宋_GB2312" w:cs="仿宋_GB2312"/>
              </w:rPr>
              <w:t>1</w:t>
            </w:r>
          </w:p>
        </w:tc>
        <w:tc>
          <w:tcPr>
            <w:tcW w:w="1032" w:type="dxa"/>
          </w:tcPr>
          <w:p w14:paraId="08FFFED4"/>
        </w:tc>
        <w:tc>
          <w:tcPr>
            <w:tcW w:w="6550" w:type="dxa"/>
          </w:tcPr>
          <w:p w14:paraId="3056F534">
            <w:pPr>
              <w:pStyle w:val="8"/>
              <w:jc w:val="both"/>
              <w:rPr>
                <w:b w:val="0"/>
                <w:bCs/>
              </w:rPr>
            </w:pPr>
            <w:r>
              <w:rPr>
                <w:rFonts w:ascii="仿宋_GB2312" w:hAnsi="仿宋_GB2312" w:eastAsia="仿宋_GB2312" w:cs="仿宋_GB2312"/>
                <w:b w:val="0"/>
                <w:bCs/>
                <w:color w:val="000000"/>
                <w:sz w:val="22"/>
              </w:rPr>
              <w:t>1.采购需求及要求</w:t>
            </w:r>
          </w:p>
          <w:p w14:paraId="5C581C37">
            <w:pPr>
              <w:pStyle w:val="8"/>
              <w:ind w:firstLine="460"/>
              <w:jc w:val="both"/>
              <w:rPr>
                <w:b w:val="0"/>
                <w:bCs/>
              </w:rPr>
            </w:pPr>
            <w:r>
              <w:rPr>
                <w:rFonts w:ascii="仿宋_GB2312" w:hAnsi="仿宋_GB2312" w:eastAsia="仿宋_GB2312" w:cs="仿宋_GB2312"/>
                <w:b w:val="0"/>
                <w:bCs/>
                <w:color w:val="000000"/>
                <w:sz w:val="22"/>
              </w:rPr>
              <w:t>1.1采购需求清单：详见附件。本采购包核心产品为：动物B超仪。</w:t>
            </w:r>
          </w:p>
          <w:p w14:paraId="75682197">
            <w:pPr>
              <w:pStyle w:val="8"/>
              <w:spacing w:before="105" w:after="105"/>
              <w:ind w:right="90" w:firstLine="460"/>
              <w:jc w:val="both"/>
              <w:rPr>
                <w:b w:val="0"/>
                <w:bCs/>
              </w:rPr>
            </w:pPr>
            <w:r>
              <w:rPr>
                <w:rFonts w:ascii="仿宋_GB2312" w:hAnsi="仿宋_GB2312" w:eastAsia="仿宋_GB2312" w:cs="仿宋_GB2312"/>
                <w:b w:val="0"/>
                <w:bCs/>
                <w:color w:val="000000"/>
                <w:sz w:val="22"/>
              </w:rPr>
              <w:t>1.2质量标准及要求：（1）所有货物(产品)、服务符合国家、省、市（行业）强制性标准及采购人要求的合格标准。</w:t>
            </w:r>
          </w:p>
          <w:p w14:paraId="794A2427">
            <w:pPr>
              <w:pStyle w:val="8"/>
              <w:spacing w:before="105" w:after="105"/>
              <w:ind w:firstLine="460"/>
              <w:jc w:val="left"/>
              <w:rPr>
                <w:b w:val="0"/>
                <w:bCs/>
              </w:rPr>
            </w:pPr>
            <w:r>
              <w:rPr>
                <w:rFonts w:ascii="仿宋_GB2312" w:hAnsi="仿宋_GB2312" w:eastAsia="仿宋_GB2312" w:cs="仿宋_GB2312"/>
                <w:b w:val="0"/>
                <w:bCs/>
                <w:color w:val="000000"/>
                <w:sz w:val="22"/>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51430493">
            <w:pPr>
              <w:pStyle w:val="8"/>
              <w:spacing w:before="105" w:after="105"/>
              <w:ind w:firstLine="460"/>
              <w:jc w:val="left"/>
              <w:rPr>
                <w:b w:val="0"/>
                <w:bCs/>
              </w:rPr>
            </w:pPr>
            <w:r>
              <w:rPr>
                <w:rFonts w:ascii="仿宋_GB2312" w:hAnsi="仿宋_GB2312" w:eastAsia="仿宋_GB2312" w:cs="仿宋_GB2312"/>
                <w:b w:val="0"/>
                <w:bCs/>
                <w:color w:val="000000"/>
                <w:sz w:val="22"/>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62741087">
            <w:pPr>
              <w:pStyle w:val="8"/>
              <w:spacing w:before="105" w:after="105"/>
              <w:ind w:firstLine="460"/>
              <w:jc w:val="left"/>
              <w:rPr>
                <w:b w:val="0"/>
                <w:bCs/>
              </w:rPr>
            </w:pPr>
            <w:r>
              <w:rPr>
                <w:rFonts w:ascii="仿宋_GB2312" w:hAnsi="仿宋_GB2312" w:eastAsia="仿宋_GB2312" w:cs="仿宋_GB2312"/>
                <w:b w:val="0"/>
                <w:bCs/>
                <w:color w:val="000000"/>
                <w:sz w:val="22"/>
              </w:rPr>
              <w:t>1.3产品“三包”要求：货物(产品)属于国家规定的“三包产品”，产品制造商、经销代理商应遵守“三包”的规定，在产品发生质量问题时，及时对所提供产品实行“包退、包换、保修”服务，并承担由此产生的包装、运输等一切费用。</w:t>
            </w:r>
          </w:p>
          <w:p w14:paraId="6EDF6F71">
            <w:pPr>
              <w:pStyle w:val="8"/>
              <w:spacing w:before="105" w:after="105"/>
              <w:ind w:firstLine="422"/>
              <w:jc w:val="both"/>
              <w:rPr>
                <w:b w:val="0"/>
                <w:bCs/>
              </w:rPr>
            </w:pPr>
            <w:r>
              <w:rPr>
                <w:rFonts w:ascii="仿宋_GB2312" w:hAnsi="仿宋_GB2312" w:eastAsia="仿宋_GB2312" w:cs="仿宋_GB2312"/>
                <w:b w:val="0"/>
                <w:bCs/>
                <w:color w:val="000000"/>
                <w:sz w:val="22"/>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102D0DBA">
            <w:pPr>
              <w:pStyle w:val="8"/>
              <w:spacing w:before="105" w:after="105"/>
              <w:ind w:firstLine="460"/>
              <w:jc w:val="both"/>
              <w:rPr>
                <w:b w:val="0"/>
                <w:bCs/>
              </w:rPr>
            </w:pPr>
            <w:r>
              <w:rPr>
                <w:rFonts w:ascii="仿宋_GB2312" w:hAnsi="仿宋_GB2312" w:eastAsia="仿宋_GB2312" w:cs="仿宋_GB2312"/>
                <w:b w:val="0"/>
                <w:bCs/>
                <w:color w:val="000000"/>
                <w:sz w:val="22"/>
              </w:rPr>
              <w:t>1.5投标人应保证投标所提供第三方资料内容真实、完整、准确；如有相关第三方书面声明、相关检测报告等资料虚假，监管部门有权根据调查情形认定其是否属于提供虚假材料谋取中标（成交），并严肃处理。</w:t>
            </w:r>
          </w:p>
          <w:p w14:paraId="2F22558E">
            <w:pPr>
              <w:pStyle w:val="8"/>
              <w:spacing w:before="105" w:after="105"/>
              <w:ind w:firstLine="422"/>
              <w:jc w:val="both"/>
              <w:rPr>
                <w:b w:val="0"/>
                <w:bCs/>
              </w:rPr>
            </w:pPr>
            <w:r>
              <w:rPr>
                <w:rFonts w:ascii="仿宋_GB2312" w:hAnsi="仿宋_GB2312" w:eastAsia="仿宋_GB2312" w:cs="仿宋_GB2312"/>
                <w:b w:val="0"/>
                <w:bCs/>
                <w:color w:val="000000"/>
                <w:sz w:val="22"/>
              </w:rPr>
              <w:t>1.6为保证货物（软件和硬件）质量和功能的严谨性，中标（成交）后采购人有权要求中标人对其所提供的设备(产品)（包含软件和硬件）的功能进行逐一演示，如有功能与实际不相符，一律按虚假应标处理，由中标人承担因此产生的一切后果和责任。</w:t>
            </w:r>
          </w:p>
          <w:p w14:paraId="36181CC0">
            <w:pPr>
              <w:pStyle w:val="8"/>
              <w:spacing w:before="105" w:after="105"/>
              <w:ind w:firstLine="420"/>
              <w:jc w:val="both"/>
              <w:rPr>
                <w:b w:val="0"/>
                <w:bCs/>
              </w:rPr>
            </w:pPr>
            <w:r>
              <w:rPr>
                <w:rFonts w:ascii="仿宋_GB2312" w:hAnsi="仿宋_GB2312" w:eastAsia="仿宋_GB2312" w:cs="仿宋_GB2312"/>
                <w:b w:val="0"/>
                <w:bCs/>
                <w:color w:val="000000"/>
                <w:sz w:val="22"/>
              </w:rPr>
              <w:t>1.7售后服务要求：</w:t>
            </w:r>
          </w:p>
          <w:p w14:paraId="0E5601B2">
            <w:pPr>
              <w:pStyle w:val="8"/>
              <w:spacing w:before="105" w:after="105"/>
              <w:ind w:firstLine="420"/>
              <w:jc w:val="both"/>
              <w:rPr>
                <w:b w:val="0"/>
                <w:bCs/>
              </w:rPr>
            </w:pPr>
            <w:r>
              <w:rPr>
                <w:rFonts w:ascii="仿宋_GB2312" w:hAnsi="仿宋_GB2312" w:eastAsia="仿宋_GB2312" w:cs="仿宋_GB2312"/>
                <w:b w:val="0"/>
                <w:bCs/>
                <w:color w:val="000000"/>
                <w:sz w:val="22"/>
              </w:rPr>
              <w:t>（1）中标人须指派专人负责与采购人联系售后服务事宜。售后服务条款包括但不限于整体服务内容、故障响应时间、响应方式、维修措施及时限、维护响应计划、备品备件供应、质保期内服务、维保期的售后服务等内容。未提供任何售后服务事宜的将以不实质性满足招标文件要求对待。</w:t>
            </w:r>
          </w:p>
          <w:p w14:paraId="5E8511F9">
            <w:pPr>
              <w:pStyle w:val="8"/>
              <w:spacing w:before="105" w:after="105"/>
              <w:ind w:firstLine="420"/>
              <w:jc w:val="both"/>
              <w:rPr>
                <w:b w:val="0"/>
                <w:bCs/>
              </w:rPr>
            </w:pPr>
            <w:r>
              <w:rPr>
                <w:rFonts w:ascii="仿宋_GB2312" w:hAnsi="仿宋_GB2312" w:eastAsia="仿宋_GB2312" w:cs="仿宋_GB2312"/>
                <w:b w:val="0"/>
                <w:bCs/>
                <w:color w:val="000000"/>
                <w:sz w:val="22"/>
              </w:rPr>
              <w:t>（2）中标人负责货物的现场安装、调试、测试和启动等。</w:t>
            </w:r>
          </w:p>
          <w:p w14:paraId="7FF921F7">
            <w:pPr>
              <w:pStyle w:val="8"/>
              <w:spacing w:before="105" w:after="105"/>
              <w:ind w:firstLine="420"/>
              <w:jc w:val="both"/>
              <w:rPr>
                <w:b w:val="0"/>
                <w:bCs/>
              </w:rPr>
            </w:pPr>
            <w:r>
              <w:rPr>
                <w:rFonts w:ascii="仿宋_GB2312" w:hAnsi="仿宋_GB2312" w:eastAsia="仿宋_GB2312" w:cs="仿宋_GB2312"/>
                <w:b w:val="0"/>
                <w:bCs/>
                <w:color w:val="000000"/>
                <w:sz w:val="22"/>
              </w:rPr>
              <w:t>（3）中标人负责货物的安装、启动、运行及维护等对使用人员进行免费培训：培训主要内容为货物的基本结构、性能、主要部件的构造及原理，日常使用操作、维护保养与管理，常见故障的排除、紧急情况的处理等，如使用方未使用过同类型货物，中标人还需就货物的功能对使用方人员进行相应的技术培训，培训地点为货物安装现场或由采购人安排。</w:t>
            </w:r>
          </w:p>
          <w:p w14:paraId="528A4F2B">
            <w:pPr>
              <w:pStyle w:val="8"/>
              <w:spacing w:before="105" w:after="105"/>
              <w:ind w:firstLine="420"/>
              <w:jc w:val="both"/>
              <w:rPr>
                <w:b w:val="0"/>
                <w:bCs/>
              </w:rPr>
            </w:pPr>
            <w:r>
              <w:rPr>
                <w:rFonts w:ascii="仿宋_GB2312" w:hAnsi="仿宋_GB2312" w:eastAsia="仿宋_GB2312" w:cs="仿宋_GB2312"/>
                <w:b w:val="0"/>
                <w:bCs/>
                <w:color w:val="000000"/>
                <w:sz w:val="22"/>
              </w:rPr>
              <w:t>★（4）针对客户实际情况开展每学期举办≥3次教学交流活动，入校交流人员必须具备高级工程师或以上职称。(提供相关承诺函及对应职称复印件)</w:t>
            </w:r>
          </w:p>
          <w:p w14:paraId="509909E4">
            <w:pPr>
              <w:pStyle w:val="8"/>
              <w:spacing w:before="105" w:after="105"/>
              <w:ind w:firstLine="420"/>
              <w:jc w:val="both"/>
              <w:rPr>
                <w:b w:val="0"/>
                <w:bCs/>
              </w:rPr>
            </w:pPr>
            <w:r>
              <w:rPr>
                <w:rFonts w:ascii="仿宋_GB2312" w:hAnsi="仿宋_GB2312" w:eastAsia="仿宋_GB2312" w:cs="仿宋_GB2312"/>
                <w:b w:val="0"/>
                <w:bCs/>
                <w:color w:val="000000"/>
                <w:sz w:val="22"/>
              </w:rPr>
              <w:t>★（5）提供≥一个班学生实践机会，实习时间≥1周；提供相关实践安排表，需派遣专业技术工程师入驻学校实地协助开展教学服务，质保期内累积每年≥10次服务；(提供相关承诺函)</w:t>
            </w:r>
          </w:p>
          <w:p w14:paraId="66A535C7">
            <w:pPr>
              <w:pStyle w:val="8"/>
              <w:spacing w:before="105" w:after="105"/>
              <w:ind w:firstLine="420"/>
              <w:jc w:val="both"/>
              <w:rPr>
                <w:b w:val="0"/>
                <w:bCs/>
              </w:rPr>
            </w:pPr>
            <w:r>
              <w:rPr>
                <w:rFonts w:ascii="仿宋_GB2312" w:hAnsi="仿宋_GB2312" w:eastAsia="仿宋_GB2312" w:cs="仿宋_GB2312"/>
                <w:b w:val="0"/>
                <w:bCs/>
                <w:color w:val="000000"/>
                <w:sz w:val="22"/>
              </w:rPr>
              <w:t>（6）质保期自采购人在质量验收单（终验）上签字之日起计算，质保费用计入总价。</w:t>
            </w:r>
          </w:p>
          <w:p w14:paraId="46255D8E">
            <w:pPr>
              <w:pStyle w:val="8"/>
              <w:spacing w:before="105" w:after="105"/>
              <w:ind w:firstLine="420"/>
              <w:jc w:val="both"/>
              <w:rPr>
                <w:b w:val="0"/>
                <w:bCs/>
              </w:rPr>
            </w:pPr>
            <w:r>
              <w:rPr>
                <w:rFonts w:ascii="仿宋_GB2312" w:hAnsi="仿宋_GB2312" w:eastAsia="仿宋_GB2312" w:cs="仿宋_GB2312"/>
                <w:b w:val="0"/>
                <w:bCs/>
                <w:color w:val="000000"/>
                <w:sz w:val="22"/>
              </w:rPr>
              <w:t>（7）中标人负责对其提供的货物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中标人负责解决并承担全部责任。</w:t>
            </w:r>
          </w:p>
          <w:p w14:paraId="13869C0C">
            <w:pPr>
              <w:pStyle w:val="8"/>
              <w:spacing w:before="105" w:after="105"/>
              <w:ind w:firstLine="420"/>
              <w:jc w:val="both"/>
              <w:rPr>
                <w:b w:val="0"/>
                <w:bCs/>
              </w:rPr>
            </w:pPr>
            <w:r>
              <w:rPr>
                <w:rFonts w:ascii="仿宋_GB2312" w:hAnsi="仿宋_GB2312" w:eastAsia="仿宋_GB2312" w:cs="仿宋_GB2312"/>
                <w:b w:val="0"/>
                <w:bCs/>
                <w:color w:val="000000"/>
                <w:sz w:val="22"/>
              </w:rPr>
              <w:t>（8）中标人负责对其所提供的设备、材料等备品配件供应，提供长期维修，并提供技术咨询等服务，所有维修记录交由采购人的现场技术人员一份，并详细说明问题所在、解决办法及注意事项。对于存在质量问题或者短少的产品，中标人应在接到采购人的通知2个日历日内负责修复，调换、重新制作或补齐。</w:t>
            </w:r>
          </w:p>
          <w:p w14:paraId="7686F60D">
            <w:pPr>
              <w:pStyle w:val="8"/>
              <w:spacing w:before="105" w:after="105"/>
              <w:ind w:firstLine="420"/>
              <w:jc w:val="both"/>
              <w:rPr>
                <w:b w:val="0"/>
                <w:bCs/>
              </w:rPr>
            </w:pPr>
            <w:r>
              <w:rPr>
                <w:rFonts w:ascii="仿宋_GB2312" w:hAnsi="仿宋_GB2312" w:eastAsia="仿宋_GB2312" w:cs="仿宋_GB2312"/>
                <w:b w:val="0"/>
                <w:bCs/>
                <w:color w:val="000000"/>
                <w:sz w:val="22"/>
              </w:rPr>
              <w:t>（9）货物售后服务方式为现场服务，质保期内维修费用含在合同总价中（中标价格），提供终身维修（护）。中标人服务响应时间不超过8 小时，解决问题不超过 12 小时。</w:t>
            </w:r>
          </w:p>
          <w:p w14:paraId="24ECE93D">
            <w:pPr>
              <w:pStyle w:val="8"/>
              <w:spacing w:before="105" w:after="105"/>
              <w:ind w:firstLine="420"/>
              <w:jc w:val="both"/>
              <w:rPr>
                <w:b w:val="0"/>
                <w:bCs/>
              </w:rPr>
            </w:pPr>
            <w:r>
              <w:rPr>
                <w:rFonts w:ascii="仿宋_GB2312" w:hAnsi="仿宋_GB2312" w:eastAsia="仿宋_GB2312" w:cs="仿宋_GB2312"/>
                <w:b w:val="0"/>
                <w:bCs/>
                <w:color w:val="000000"/>
                <w:sz w:val="22"/>
              </w:rPr>
              <w:t>（10）所有货物服务方式均为中标人上门服务，质保期内每年至少四次免费上门维护，回访，即由中标人派人到货物使用现场维修，由此产生的一切费用均由中标人承担，对系统进行定期的检修、保养工作，并与用户进行沟通，定期开展技术交流活动，预防故障发生，保证系统的正常运行。</w:t>
            </w:r>
          </w:p>
          <w:p w14:paraId="3C4BB80E">
            <w:pPr>
              <w:pStyle w:val="8"/>
              <w:spacing w:before="105" w:after="105"/>
              <w:ind w:firstLine="420"/>
              <w:jc w:val="both"/>
              <w:rPr>
                <w:b w:val="0"/>
                <w:bCs/>
              </w:rPr>
            </w:pPr>
            <w:r>
              <w:rPr>
                <w:rFonts w:ascii="仿宋_GB2312" w:hAnsi="仿宋_GB2312" w:eastAsia="仿宋_GB2312" w:cs="仿宋_GB2312"/>
                <w:b w:val="0"/>
                <w:bCs/>
                <w:color w:val="000000"/>
                <w:sz w:val="22"/>
              </w:rPr>
              <w:t>（11）在最终验收后的质量保证期内，中标人应对设计、工艺或材料等的缺陷而产生的故障负责（负责解决并承担全部费用）。质保期满后如出现此类问题亦应负责。</w:t>
            </w:r>
          </w:p>
          <w:p w14:paraId="01886E17">
            <w:pPr>
              <w:pStyle w:val="8"/>
              <w:spacing w:before="105" w:after="105"/>
              <w:ind w:firstLine="420"/>
              <w:jc w:val="both"/>
              <w:rPr>
                <w:b w:val="0"/>
                <w:bCs/>
              </w:rPr>
            </w:pPr>
            <w:r>
              <w:rPr>
                <w:rFonts w:ascii="仿宋_GB2312" w:hAnsi="仿宋_GB2312" w:eastAsia="仿宋_GB2312" w:cs="仿宋_GB2312"/>
                <w:b w:val="0"/>
                <w:bCs/>
                <w:color w:val="000000"/>
                <w:sz w:val="22"/>
              </w:rPr>
              <w:t>（12）质保期结束后的其他维修、维护等由双方协商再定。</w:t>
            </w:r>
          </w:p>
          <w:p w14:paraId="290A13A4">
            <w:pPr>
              <w:pStyle w:val="8"/>
              <w:jc w:val="both"/>
              <w:rPr>
                <w:b w:val="0"/>
                <w:bCs/>
              </w:rPr>
            </w:pPr>
            <w:r>
              <w:rPr>
                <w:rFonts w:ascii="仿宋_GB2312" w:hAnsi="仿宋_GB2312" w:eastAsia="仿宋_GB2312" w:cs="仿宋_GB2312"/>
                <w:b w:val="0"/>
                <w:bCs/>
                <w:color w:val="000000"/>
                <w:sz w:val="22"/>
              </w:rPr>
              <w:t>2.其他要求或说明</w:t>
            </w:r>
          </w:p>
          <w:p w14:paraId="2DF4C9EC">
            <w:pPr>
              <w:pStyle w:val="8"/>
              <w:ind w:firstLine="460"/>
              <w:jc w:val="left"/>
              <w:rPr>
                <w:b w:val="0"/>
                <w:bCs/>
              </w:rPr>
            </w:pPr>
            <w:r>
              <w:rPr>
                <w:rFonts w:ascii="仿宋_GB2312" w:hAnsi="仿宋_GB2312" w:eastAsia="仿宋_GB2312" w:cs="仿宋_GB2312"/>
                <w:b w:val="0"/>
                <w:bCs/>
                <w:color w:val="000000"/>
                <w:sz w:val="22"/>
              </w:rPr>
              <w:t>2.1投标人的报价是投标人响应招标项目要求的全部工作内容的价格体现，包括投标人完成本项目所需的直接费、间接费、利润、税金及其他相关的一切费用，包括但不限于：产品费、附件费、工具费、验收费、运输费、保险费、安装费、调试费、功能使用费、技术服务费（含售后）、招标代理费、税金、利润及不可预见费等全部费用；投标总价中不得包含招标文件要求以外的内容，否则，在评标时不予核减。在提供项目实施过程中出现的任何遗漏，均由中标人免费提供，采购人将不再支付任何费用。</w:t>
            </w:r>
          </w:p>
          <w:p w14:paraId="45EBFEC2">
            <w:pPr>
              <w:pStyle w:val="8"/>
              <w:ind w:firstLine="460"/>
              <w:jc w:val="left"/>
              <w:rPr>
                <w:b w:val="0"/>
                <w:bCs/>
              </w:rPr>
            </w:pPr>
            <w:r>
              <w:rPr>
                <w:rFonts w:ascii="仿宋_GB2312" w:hAnsi="仿宋_GB2312" w:eastAsia="仿宋_GB2312" w:cs="仿宋_GB2312"/>
                <w:b w:val="0"/>
                <w:bCs/>
                <w:color w:val="000000"/>
                <w:sz w:val="22"/>
              </w:rPr>
              <w:t>2.2人员配置：投标人根据采购项目特性及要求，自行配置履行合同所必需的专业服务团队，自行组织实施与管理，相关人员经过严格培训，具有相关工作经验，能够胜任项目工作，保证项目顺利实施。</w:t>
            </w:r>
          </w:p>
          <w:p w14:paraId="08DED26A">
            <w:pPr>
              <w:pStyle w:val="8"/>
              <w:ind w:right="90" w:firstLine="422"/>
              <w:jc w:val="both"/>
              <w:rPr>
                <w:b w:val="0"/>
                <w:bCs/>
              </w:rPr>
            </w:pPr>
            <w:r>
              <w:rPr>
                <w:rFonts w:ascii="仿宋_GB2312" w:hAnsi="仿宋_GB2312" w:eastAsia="仿宋_GB2312" w:cs="仿宋_GB2312"/>
                <w:b w:val="0"/>
                <w:bCs/>
                <w:color w:val="000000"/>
                <w:sz w:val="22"/>
              </w:rPr>
              <w:t>2.3设施设备：投标人根据采购项目特性及要求，自行配置投入履行合同所必需的各类设施设备（不限于专业设备、辅助设备、工具、软件等），保证项目顺利实施。</w:t>
            </w:r>
          </w:p>
          <w:p w14:paraId="22B1B0A2">
            <w:pPr>
              <w:pStyle w:val="8"/>
              <w:spacing w:before="105" w:after="105"/>
              <w:ind w:firstLine="460"/>
              <w:jc w:val="left"/>
              <w:rPr>
                <w:b w:val="0"/>
                <w:bCs/>
              </w:rPr>
            </w:pPr>
            <w:r>
              <w:rPr>
                <w:rFonts w:ascii="仿宋_GB2312" w:hAnsi="仿宋_GB2312" w:eastAsia="仿宋_GB2312" w:cs="仿宋_GB2312"/>
                <w:b w:val="0"/>
                <w:bCs/>
                <w:color w:val="000000"/>
                <w:sz w:val="22"/>
              </w:rPr>
              <w:t>2.4本项目采购标的所属行业为:</w:t>
            </w:r>
            <w:r>
              <w:rPr>
                <w:rFonts w:ascii="仿宋_GB2312" w:hAnsi="仿宋_GB2312" w:eastAsia="仿宋_GB2312" w:cs="仿宋_GB2312"/>
                <w:b w:val="0"/>
                <w:bCs/>
                <w:color w:val="000000"/>
                <w:sz w:val="22"/>
                <w:u w:val="single"/>
              </w:rPr>
              <w:t xml:space="preserve"> 工业 </w:t>
            </w:r>
            <w:r>
              <w:rPr>
                <w:rFonts w:ascii="仿宋_GB2312" w:hAnsi="仿宋_GB2312" w:eastAsia="仿宋_GB2312" w:cs="仿宋_GB2312"/>
                <w:b w:val="0"/>
                <w:bCs/>
                <w:color w:val="000000"/>
                <w:sz w:val="22"/>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C4B5A05">
            <w:pPr>
              <w:pStyle w:val="8"/>
              <w:spacing w:before="105" w:after="105"/>
              <w:ind w:firstLine="460"/>
              <w:jc w:val="left"/>
              <w:rPr>
                <w:b w:val="0"/>
                <w:bCs/>
              </w:rPr>
            </w:pPr>
            <w:r>
              <w:rPr>
                <w:rFonts w:ascii="仿宋_GB2312" w:hAnsi="仿宋_GB2312" w:eastAsia="仿宋_GB2312" w:cs="仿宋_GB2312"/>
                <w:b w:val="0"/>
                <w:bCs/>
                <w:color w:val="000000"/>
                <w:sz w:val="22"/>
              </w:rPr>
              <w:t>2.5采购包2(宠物临床综合实训室)采购需求清单中第37项“功能区标准化改造”项属于装饰装修工程，此部分内容须由取得相应施工资质的单位承包。(以下情况二选一)</w:t>
            </w:r>
          </w:p>
          <w:p w14:paraId="0E22C488">
            <w:pPr>
              <w:pStyle w:val="8"/>
              <w:spacing w:before="105" w:after="105"/>
              <w:ind w:firstLine="460"/>
              <w:jc w:val="both"/>
              <w:rPr>
                <w:b w:val="0"/>
                <w:bCs/>
              </w:rPr>
            </w:pPr>
            <w:r>
              <w:rPr>
                <w:rFonts w:ascii="仿宋_GB2312" w:hAnsi="仿宋_GB2312" w:eastAsia="仿宋_GB2312" w:cs="仿宋_GB2312"/>
                <w:b w:val="0"/>
                <w:bCs/>
                <w:color w:val="000000"/>
                <w:sz w:val="22"/>
              </w:rPr>
              <w:t>★(1)若投标人本身不具备相应资质，应承诺中标后将此部分内容分包给取得“①建设部门颁发的供建筑装修装饰工程专业承包二级及以上资质，并具备有效的安全生产许可证。②拟派项目负责人具备建筑工程专业二级及以上注册建造师执业资格，具备有效的安全生产考核合格证书(建安B证)，在本单位注册，且未担任其他在建工程项目的项目经理(提供承诺)。”的施工单位实施。(提供承诺书，未提供按无效响应处理)</w:t>
            </w:r>
          </w:p>
          <w:p w14:paraId="70759294">
            <w:pPr>
              <w:pStyle w:val="8"/>
              <w:spacing w:before="105" w:after="105"/>
              <w:ind w:firstLine="460"/>
              <w:jc w:val="left"/>
              <w:rPr>
                <w:b w:val="0"/>
                <w:bCs/>
              </w:rPr>
            </w:pPr>
            <w:r>
              <w:rPr>
                <w:rFonts w:ascii="仿宋_GB2312" w:hAnsi="仿宋_GB2312" w:eastAsia="仿宋_GB2312" w:cs="仿宋_GB2312"/>
                <w:b w:val="0"/>
                <w:bCs/>
                <w:color w:val="000000"/>
                <w:sz w:val="22"/>
              </w:rPr>
              <w:t>★(2)若投标人本身具备相应资质应提供“①建设部门颁发的供建筑装修装饰工程专业承包二级及以上资质，并具备有效的安全生产许可证。②拟派项目负责人具备建筑工程专业二级及以上注册建造师执业资格，具备有效的安全生产考核合格证书(建安B证)，在本单位注册，且未担任其他在建工程项目的项目经理(提供承诺)”。</w:t>
            </w:r>
          </w:p>
          <w:p w14:paraId="3E0F1F67">
            <w:pPr>
              <w:pStyle w:val="8"/>
              <w:spacing w:before="105" w:after="105"/>
              <w:jc w:val="left"/>
            </w:pPr>
            <w:r>
              <w:rPr>
                <w:rFonts w:ascii="仿宋_GB2312" w:hAnsi="仿宋_GB2312" w:eastAsia="仿宋_GB2312" w:cs="仿宋_GB2312"/>
                <w:b w:val="0"/>
                <w:bCs/>
                <w:color w:val="000000"/>
                <w:sz w:val="22"/>
              </w:rPr>
              <w:t>（3）特别说明：仅适用于投标人在不具备相应施工资质条件下将“功能区标准化改造”部分内容分包给由取得相应施工资质的单位实施，本采购包其他内容严禁采用分包方式进行；否则，采购人将按虚假应标，依法追究中标人的法律责任和经济损失。具体分包比例由中标人与分包商根据投标文件相关内容确定。</w:t>
            </w:r>
          </w:p>
        </w:tc>
      </w:tr>
    </w:tbl>
    <w:p w14:paraId="0D59FDAC">
      <w:pPr>
        <w:pStyle w:val="8"/>
        <w:outlineLvl w:val="2"/>
      </w:pPr>
      <w:r>
        <w:rPr>
          <w:rFonts w:ascii="仿宋_GB2312" w:hAnsi="仿宋_GB2312" w:eastAsia="仿宋_GB2312" w:cs="仿宋_GB2312"/>
          <w:b/>
          <w:sz w:val="28"/>
        </w:rPr>
        <w:t>3.4商务要求</w:t>
      </w:r>
    </w:p>
    <w:p w14:paraId="3B64E40B">
      <w:pPr>
        <w:pStyle w:val="8"/>
        <w:outlineLvl w:val="3"/>
      </w:pPr>
      <w:r>
        <w:rPr>
          <w:rFonts w:ascii="仿宋_GB2312" w:hAnsi="仿宋_GB2312" w:eastAsia="仿宋_GB2312" w:cs="仿宋_GB2312"/>
          <w:b/>
          <w:sz w:val="24"/>
        </w:rPr>
        <w:t xml:space="preserve"> 3.4.1交货时间</w:t>
      </w:r>
    </w:p>
    <w:p w14:paraId="0108AED8">
      <w:pPr>
        <w:pStyle w:val="8"/>
      </w:pPr>
      <w:r>
        <w:rPr>
          <w:rFonts w:ascii="仿宋_GB2312" w:hAnsi="仿宋_GB2312" w:eastAsia="仿宋_GB2312" w:cs="仿宋_GB2312"/>
        </w:rPr>
        <w:t>采购包1：</w:t>
      </w:r>
    </w:p>
    <w:p w14:paraId="22C0F8B4">
      <w:pPr>
        <w:pStyle w:val="8"/>
      </w:pPr>
      <w:r>
        <w:rPr>
          <w:rFonts w:ascii="仿宋_GB2312" w:hAnsi="仿宋_GB2312" w:eastAsia="仿宋_GB2312" w:cs="仿宋_GB2312"/>
        </w:rPr>
        <w:t>自合同签订生效之日起50天完成改造、供货、安装、调试、验收等所有内容。</w:t>
      </w:r>
    </w:p>
    <w:p w14:paraId="229657F8">
      <w:pPr>
        <w:pStyle w:val="8"/>
      </w:pPr>
      <w:r>
        <w:rPr>
          <w:rFonts w:ascii="仿宋_GB2312" w:hAnsi="仿宋_GB2312" w:eastAsia="仿宋_GB2312" w:cs="仿宋_GB2312"/>
        </w:rPr>
        <w:t>采购包2：</w:t>
      </w:r>
    </w:p>
    <w:p w14:paraId="732DB44C">
      <w:pPr>
        <w:pStyle w:val="8"/>
      </w:pPr>
      <w:r>
        <w:rPr>
          <w:rFonts w:ascii="仿宋_GB2312" w:hAnsi="仿宋_GB2312" w:eastAsia="仿宋_GB2312" w:cs="仿宋_GB2312"/>
        </w:rPr>
        <w:t>自合同签订生效之日起50天完成改造、供货、安装、调试、搬迁、验收等所有内容。</w:t>
      </w:r>
    </w:p>
    <w:p w14:paraId="5EF634C5">
      <w:pPr>
        <w:pStyle w:val="8"/>
        <w:outlineLvl w:val="3"/>
      </w:pPr>
      <w:r>
        <w:rPr>
          <w:rFonts w:ascii="仿宋_GB2312" w:hAnsi="仿宋_GB2312" w:eastAsia="仿宋_GB2312" w:cs="仿宋_GB2312"/>
          <w:b/>
          <w:sz w:val="24"/>
        </w:rPr>
        <w:t>3.4.2交货地点</w:t>
      </w:r>
    </w:p>
    <w:p w14:paraId="561C3E1A">
      <w:pPr>
        <w:pStyle w:val="8"/>
      </w:pPr>
      <w:r>
        <w:rPr>
          <w:rFonts w:ascii="仿宋_GB2312" w:hAnsi="仿宋_GB2312" w:eastAsia="仿宋_GB2312" w:cs="仿宋_GB2312"/>
        </w:rPr>
        <w:t>采购包1：</w:t>
      </w:r>
    </w:p>
    <w:p w14:paraId="4A5ED9A4">
      <w:pPr>
        <w:pStyle w:val="8"/>
      </w:pPr>
      <w:r>
        <w:rPr>
          <w:rFonts w:ascii="仿宋_GB2312" w:hAnsi="仿宋_GB2312" w:eastAsia="仿宋_GB2312" w:cs="仿宋_GB2312"/>
        </w:rPr>
        <w:t>西安职业技术学院(具体按采购人指定地点)</w:t>
      </w:r>
    </w:p>
    <w:p w14:paraId="228E61E6">
      <w:pPr>
        <w:pStyle w:val="8"/>
      </w:pPr>
      <w:r>
        <w:rPr>
          <w:rFonts w:ascii="仿宋_GB2312" w:hAnsi="仿宋_GB2312" w:eastAsia="仿宋_GB2312" w:cs="仿宋_GB2312"/>
        </w:rPr>
        <w:t>采购包2：</w:t>
      </w:r>
    </w:p>
    <w:p w14:paraId="0566C6EE">
      <w:pPr>
        <w:pStyle w:val="8"/>
      </w:pPr>
      <w:r>
        <w:rPr>
          <w:rFonts w:ascii="仿宋_GB2312" w:hAnsi="仿宋_GB2312" w:eastAsia="仿宋_GB2312" w:cs="仿宋_GB2312"/>
        </w:rPr>
        <w:t>西安职业技术学院(具体按采购人指定地点)</w:t>
      </w:r>
    </w:p>
    <w:p w14:paraId="5D2DEE3D">
      <w:pPr>
        <w:pStyle w:val="8"/>
        <w:outlineLvl w:val="3"/>
      </w:pPr>
      <w:r>
        <w:rPr>
          <w:rFonts w:ascii="仿宋_GB2312" w:hAnsi="仿宋_GB2312" w:eastAsia="仿宋_GB2312" w:cs="仿宋_GB2312"/>
          <w:b/>
          <w:sz w:val="24"/>
        </w:rPr>
        <w:t>3.4.3支付方式</w:t>
      </w:r>
    </w:p>
    <w:p w14:paraId="42F1F656">
      <w:pPr>
        <w:pStyle w:val="8"/>
      </w:pPr>
      <w:r>
        <w:rPr>
          <w:rFonts w:ascii="仿宋_GB2312" w:hAnsi="仿宋_GB2312" w:eastAsia="仿宋_GB2312" w:cs="仿宋_GB2312"/>
        </w:rPr>
        <w:t>采购包1：</w:t>
      </w:r>
    </w:p>
    <w:p w14:paraId="7434889B">
      <w:pPr>
        <w:pStyle w:val="8"/>
      </w:pPr>
      <w:r>
        <w:rPr>
          <w:rFonts w:ascii="仿宋_GB2312" w:hAnsi="仿宋_GB2312" w:eastAsia="仿宋_GB2312" w:cs="仿宋_GB2312"/>
        </w:rPr>
        <w:t>分期付款</w:t>
      </w:r>
    </w:p>
    <w:p w14:paraId="68150FD7">
      <w:pPr>
        <w:pStyle w:val="8"/>
      </w:pPr>
      <w:r>
        <w:rPr>
          <w:rFonts w:ascii="仿宋_GB2312" w:hAnsi="仿宋_GB2312" w:eastAsia="仿宋_GB2312" w:cs="仿宋_GB2312"/>
        </w:rPr>
        <w:t>采购包2：</w:t>
      </w:r>
    </w:p>
    <w:p w14:paraId="0B56DF72">
      <w:pPr>
        <w:pStyle w:val="8"/>
      </w:pPr>
      <w:r>
        <w:rPr>
          <w:rFonts w:ascii="仿宋_GB2312" w:hAnsi="仿宋_GB2312" w:eastAsia="仿宋_GB2312" w:cs="仿宋_GB2312"/>
        </w:rPr>
        <w:t>分期付款</w:t>
      </w:r>
    </w:p>
    <w:p w14:paraId="0B4CAB91">
      <w:pPr>
        <w:pStyle w:val="8"/>
        <w:outlineLvl w:val="3"/>
      </w:pPr>
      <w:r>
        <w:rPr>
          <w:rFonts w:ascii="仿宋_GB2312" w:hAnsi="仿宋_GB2312" w:eastAsia="仿宋_GB2312" w:cs="仿宋_GB2312"/>
          <w:b/>
          <w:sz w:val="24"/>
        </w:rPr>
        <w:t>3.4.4支付约定</w:t>
      </w:r>
    </w:p>
    <w:p w14:paraId="20794CAA">
      <w:pPr>
        <w:pStyle w:val="8"/>
      </w:pPr>
      <w:r>
        <w:rPr>
          <w:rFonts w:ascii="仿宋_GB2312" w:hAnsi="仿宋_GB2312" w:eastAsia="仿宋_GB2312" w:cs="仿宋_GB2312"/>
        </w:rPr>
        <w:t>采购包1：1、预付款，合同签订生效(付款前服务商应出具等值发票交至采购人，采购人以银行转账方式支付)后，达到付款条件起10个工作日内，支付合同总金额的40.0%</w:t>
      </w:r>
    </w:p>
    <w:p w14:paraId="22B0744A">
      <w:pPr>
        <w:pStyle w:val="8"/>
      </w:pPr>
      <w:r>
        <w:rPr>
          <w:rFonts w:ascii="仿宋_GB2312" w:hAnsi="仿宋_GB2312" w:eastAsia="仿宋_GB2312" w:cs="仿宋_GB2312"/>
        </w:rPr>
        <w:t>2、进度款，所有改造、供货、安装、调试、搬迁、验收合格(付款前服务商应出具等值发票交至采购人，采购人以银行转账方式支付；其他具体按拟签订采购合同相关条款执行)后，达到付款条件起10个工作日内，支付合同总金额的60.0%</w:t>
      </w:r>
    </w:p>
    <w:p w14:paraId="78AAE14D">
      <w:pPr>
        <w:pStyle w:val="8"/>
        <w:rPr>
          <w:rFonts w:ascii="仿宋_GB2312" w:hAnsi="仿宋_GB2312" w:eastAsia="仿宋_GB2312" w:cs="仿宋_GB2312"/>
        </w:rPr>
      </w:pPr>
      <w:r>
        <w:rPr>
          <w:rFonts w:ascii="仿宋_GB2312" w:hAnsi="仿宋_GB2312" w:eastAsia="仿宋_GB2312" w:cs="仿宋_GB2312"/>
        </w:rPr>
        <w:t>采购包2：1、预付款，合同签订生效(付款前服务商应出具等值发票交至采购人，采购人以银行转账方式支付)后，达到付款条件起10个工作日内，支付合同总金额的40.0%</w:t>
      </w:r>
    </w:p>
    <w:p w14:paraId="73A1A5C1">
      <w:pPr>
        <w:pStyle w:val="8"/>
      </w:pPr>
      <w:r>
        <w:rPr>
          <w:rFonts w:ascii="仿宋_GB2312" w:hAnsi="仿宋_GB2312" w:eastAsia="仿宋_GB2312" w:cs="仿宋_GB2312"/>
        </w:rPr>
        <w:t>2、其他，所有改造、供货、安装、调试、搬迁、验收合格(付款前服务商应出具等值发票交至采购人，采购人以银行转账方式支付；其他具体按拟签订采购合同相关条款执行)后，达到付款条件起10个工作日内，支付合同总金额的60.0%</w:t>
      </w:r>
    </w:p>
    <w:p w14:paraId="5CE35BCC">
      <w:pPr>
        <w:pStyle w:val="8"/>
        <w:outlineLvl w:val="3"/>
      </w:pPr>
      <w:r>
        <w:rPr>
          <w:rFonts w:ascii="仿宋_GB2312" w:hAnsi="仿宋_GB2312" w:eastAsia="仿宋_GB2312" w:cs="仿宋_GB2312"/>
          <w:b/>
          <w:sz w:val="24"/>
        </w:rPr>
        <w:t>3.4.5验收标准和方法</w:t>
      </w:r>
    </w:p>
    <w:p w14:paraId="096697A6">
      <w:pPr>
        <w:pStyle w:val="8"/>
      </w:pPr>
      <w:r>
        <w:rPr>
          <w:rFonts w:ascii="仿宋_GB2312" w:hAnsi="仿宋_GB2312" w:eastAsia="仿宋_GB2312" w:cs="仿宋_GB2312"/>
        </w:rPr>
        <w:t>采购包1：现行的国家标准或国家行政部门颁布的法律法规、规章制度等，是项目验收的重要依据。采购人根据有关规范、规定及项目要求对中标人所供货物（产品）或服务进行检查或验收，中标人须无条件地接受采购人检查或验收；若验收不通过或质量不合格，中标人应在一定期限内进行整改完善，以采购人要求的标准提供合格的货物（产品）或服务；若中标人在接受检查整改后，仍不能提供符合采购要求的合格货物（产品）或服务，采购人有权按违约予以撤项。具体按拟定合同相关条款执行。</w:t>
      </w:r>
    </w:p>
    <w:p w14:paraId="40DACEF2">
      <w:pPr>
        <w:pStyle w:val="8"/>
      </w:pPr>
      <w:r>
        <w:rPr>
          <w:rFonts w:ascii="仿宋_GB2312" w:hAnsi="仿宋_GB2312" w:eastAsia="仿宋_GB2312" w:cs="仿宋_GB2312"/>
        </w:rPr>
        <w:t>采购包2：现行的国家标准或国家行政部门颁布的法律法规、规章制度等，是项目验收的重要依据。采购人根据有关规范、规定及项目要求对中标人所供货物（产品）或服务进行检查或验收，中标人须无条件地接受采购人检查或验收；若验收不通过或质量不合格，中标人应在一定期限内进行整改完善，以采购人要求的标准提供合格的货物（产品）或服务；若中标人在接受检查整改后，仍不能提供符合采购要求的合格货物（产品）或服务，采购人有权按违约予以撤项。具体按拟定合同相关条款执行。</w:t>
      </w:r>
    </w:p>
    <w:p w14:paraId="443DE88E">
      <w:pPr>
        <w:pStyle w:val="8"/>
        <w:outlineLvl w:val="3"/>
      </w:pPr>
      <w:r>
        <w:rPr>
          <w:rFonts w:ascii="仿宋_GB2312" w:hAnsi="仿宋_GB2312" w:eastAsia="仿宋_GB2312" w:cs="仿宋_GB2312"/>
          <w:b/>
          <w:sz w:val="24"/>
        </w:rPr>
        <w:t>3.4.6包装方式及运输</w:t>
      </w:r>
    </w:p>
    <w:p w14:paraId="7D4913A1">
      <w:pPr>
        <w:pStyle w:val="8"/>
      </w:pPr>
      <w:r>
        <w:rPr>
          <w:rFonts w:ascii="仿宋_GB2312" w:hAnsi="仿宋_GB2312" w:eastAsia="仿宋_GB2312" w:cs="仿宋_GB2312"/>
        </w:rPr>
        <w:t>采购包1：涉及的商品包装和快递包装，均应符合《商品包装政府采购需求标准（试行）》《快递包装政府采购需求标准（试行）》的要求，包装应适应于远距离运输、防潮、防震、防锈和防野蛮装卸，以确保货物安全无损运抵指定地点。</w:t>
      </w:r>
    </w:p>
    <w:p w14:paraId="799F78A2">
      <w:pPr>
        <w:pStyle w:val="8"/>
      </w:pPr>
      <w:r>
        <w:rPr>
          <w:rFonts w:ascii="仿宋_GB2312" w:hAnsi="仿宋_GB2312" w:eastAsia="仿宋_GB2312" w:cs="仿宋_GB2312"/>
        </w:rPr>
        <w:t>采购包2：涉及的商品包装和快递包装，均应符合《商品包装政府采购需求标准（试行）》《快递包装政府采购需求标准（试行）》的要求，包装应适应于远距离运输、防潮、防震、防锈和防野蛮装卸，以确保货物安全无损运抵指定地点。</w:t>
      </w:r>
    </w:p>
    <w:p w14:paraId="1CDB85ED">
      <w:pPr>
        <w:pStyle w:val="8"/>
        <w:outlineLvl w:val="3"/>
      </w:pPr>
      <w:r>
        <w:rPr>
          <w:rFonts w:ascii="仿宋_GB2312" w:hAnsi="仿宋_GB2312" w:eastAsia="仿宋_GB2312" w:cs="仿宋_GB2312"/>
          <w:b/>
          <w:sz w:val="24"/>
        </w:rPr>
        <w:t>3.4.7质量保修范围和保修期</w:t>
      </w:r>
    </w:p>
    <w:p w14:paraId="161FB415">
      <w:pPr>
        <w:pStyle w:val="8"/>
      </w:pPr>
      <w:r>
        <w:rPr>
          <w:rFonts w:ascii="仿宋_GB2312" w:hAnsi="仿宋_GB2312" w:eastAsia="仿宋_GB2312" w:cs="仿宋_GB2312"/>
        </w:rPr>
        <w:t>采购包1：(一)本项目整体质保期≥36个月，投标人承诺超过采购文件要求的，按其承诺的质保期进行质保，质保期起始时间为终验合格之日。 (二)合同履行期限为自合同签订生效之日起至质保期结束。投标人应保证在要求时间内完成全部改造、供货、安装、调试、验收和培训工作(或其他伴随服务工作)，符合国家标准、行业规范和合同等相关文件的要求,并按其承诺的质量保修范围和保修期限完成。</w:t>
      </w:r>
    </w:p>
    <w:p w14:paraId="3C9D0869">
      <w:pPr>
        <w:pStyle w:val="8"/>
      </w:pPr>
      <w:r>
        <w:rPr>
          <w:rFonts w:ascii="仿宋_GB2312" w:hAnsi="仿宋_GB2312" w:eastAsia="仿宋_GB2312" w:cs="仿宋_GB2312"/>
        </w:rPr>
        <w:t>采购包2：(一)本项目整体质保期≥36个月，投标人承诺超过采购文件要求的，按其承诺的质保期进行质保，质保期起始时间为终验合格之日。 (二)合同履行期限为自合同签订生效之日起至质保期结束。投标人应保证在要求时间内完成全部改造、供货、安装、调试、验收和培训工作(或其他伴随服务工作)，符合国家标准、行业规范和合同等相关文件的要求,并按其承诺的质量保修范围和保修期限完成。</w:t>
      </w:r>
    </w:p>
    <w:p w14:paraId="48421607">
      <w:pPr>
        <w:pStyle w:val="8"/>
        <w:outlineLvl w:val="3"/>
      </w:pPr>
      <w:r>
        <w:rPr>
          <w:rFonts w:ascii="仿宋_GB2312" w:hAnsi="仿宋_GB2312" w:eastAsia="仿宋_GB2312" w:cs="仿宋_GB2312"/>
          <w:b/>
          <w:sz w:val="24"/>
        </w:rPr>
        <w:t>3.4.8违约责任与解决争议的方法</w:t>
      </w:r>
    </w:p>
    <w:p w14:paraId="3E5C04F9">
      <w:pPr>
        <w:pStyle w:val="8"/>
      </w:pPr>
      <w:r>
        <w:rPr>
          <w:rFonts w:ascii="仿宋_GB2312" w:hAnsi="仿宋_GB2312" w:eastAsia="仿宋_GB2312" w:cs="仿宋_GB2312"/>
        </w:rPr>
        <w:t>采购包1：</w:t>
      </w:r>
    </w:p>
    <w:p w14:paraId="68F00A83">
      <w:pPr>
        <w:pStyle w:val="8"/>
      </w:pPr>
      <w:r>
        <w:rPr>
          <w:rFonts w:ascii="仿宋_GB2312" w:hAnsi="仿宋_GB2312" w:eastAsia="仿宋_GB2312" w:cs="仿宋_GB2312"/>
        </w:rPr>
        <w:t>具体按拟定合同相关条款执行。</w:t>
      </w:r>
    </w:p>
    <w:p w14:paraId="58120B8C">
      <w:pPr>
        <w:pStyle w:val="8"/>
      </w:pPr>
      <w:r>
        <w:rPr>
          <w:rFonts w:ascii="仿宋_GB2312" w:hAnsi="仿宋_GB2312" w:eastAsia="仿宋_GB2312" w:cs="仿宋_GB2312"/>
        </w:rPr>
        <w:t>采购包2：</w:t>
      </w:r>
    </w:p>
    <w:p w14:paraId="3D9100A3">
      <w:pPr>
        <w:pStyle w:val="8"/>
      </w:pPr>
      <w:r>
        <w:rPr>
          <w:rFonts w:ascii="仿宋_GB2312" w:hAnsi="仿宋_GB2312" w:eastAsia="仿宋_GB2312" w:cs="仿宋_GB2312"/>
        </w:rPr>
        <w:t>具体按拟定合同相关条款执行。</w:t>
      </w:r>
    </w:p>
    <w:p w14:paraId="64E8EB98">
      <w:pPr>
        <w:pStyle w:val="8"/>
        <w:jc w:val="left"/>
        <w:outlineLvl w:val="2"/>
      </w:pPr>
      <w:r>
        <w:rPr>
          <w:rFonts w:ascii="仿宋_GB2312" w:hAnsi="仿宋_GB2312" w:eastAsia="仿宋_GB2312" w:cs="仿宋_GB2312"/>
          <w:b/>
          <w:sz w:val="28"/>
        </w:rPr>
        <w:t>3.5其他要求</w:t>
      </w:r>
    </w:p>
    <w:p w14:paraId="35067D9C">
      <w:pPr>
        <w:rPr>
          <w:rFonts w:ascii="仿宋_GB2312" w:hAnsi="仿宋_GB2312" w:eastAsia="仿宋_GB2312" w:cs="仿宋_GB2312"/>
        </w:rPr>
      </w:pPr>
      <w:r>
        <w:rPr>
          <w:rFonts w:ascii="仿宋_GB2312" w:hAnsi="仿宋_GB2312" w:eastAsia="仿宋_GB2312" w:cs="仿宋_GB2312"/>
        </w:rPr>
        <w:t>(一)投标有效期： 1.出现特殊情况需要延长投标有效期的，采购代理机构或采购人可于投标有效期满之前，以书面形式通知所有投标人延长投标有效期。投标人应予书面答复，同意延长的，但不得要求或被允许修改其投标文件；投标人拒绝延长的，其投标文件失效。 2.在投标有效期内，投标人撤销投标文件的，应承担投标文件和法律规定的责任。 3.中标人的投标有效期自动延长至合同终止为止。 (二)合格投标人少于3家的处理： 1.评审过程中，若出现合格投标人只有2家时，采购人经同级财政部门同意后，可以按《政府采购非招标采购方式管理办法》（财政部第74号令）的规定与该2家投标人进行竞争性谈判采购。只有1家时，采购人应依法重新组织采购活动。 2.评审过程中，除符合第1条条款规定情形外，若出现合格投标人少于3家时，采购人应依法重新组织采购活动。 (三)、投标人的电子投标文件中的所有文字资料、图纸、数据、方案、证书、检测报告等投标内容应清晰可辨，表达意思统一，便于查找，投标人自行承担资料模糊不清、无法辨认的不利后果。 (四)分公司独立参与投标时，不能使用总公司的资质或业绩；总公司授权分公司或分支机构参与投标，可以使用总公司的资质或业绩。总公司单独参与投标时，可以使用分公司的业绩，在相关资质证书的管理要求和适用范围内可以使用分公司资质。 (五)文件中签名是指：手写签名或加盖签名章（含电子章、印章、签名章），盖章是指加盖单位章（含电子章）。 (六)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 (七)参与本项目的投标人应通过陕西省政府采购综合管理平台的项目电子化交易系统在线实施报名、获取招标文件、投标、报价等操作，投标人无需现场提供纸质招标文件。但在中标后，中标人在领取中标通知书时需提供纸质投标文件两套用于备案，纸质投标文件应通过专用制作软件直接打印(自定单双面、黑白/彩色)，确保与项目电子化交易系统中的电子投标文件保持一致，不允许修改和补充。中标（成交）通知书领取地址：西安市雁塔区雁翔路111号赛格·中京坊6幢1（公寓A1）单元2层10201室招标一部。</w:t>
      </w:r>
    </w:p>
    <w:p w14:paraId="1A2B5866">
      <w:pPr>
        <w:rPr>
          <w:rFonts w:ascii="仿宋_GB2312" w:hAnsi="仿宋_GB2312" w:eastAsia="仿宋_GB2312" w:cs="仿宋_GB2312"/>
        </w:rPr>
      </w:pPr>
    </w:p>
    <w:p w14:paraId="776FD064">
      <w:pPr>
        <w:rPr>
          <w:rFonts w:ascii="仿宋_GB2312" w:hAnsi="仿宋_GB2312" w:eastAsia="仿宋_GB2312" w:cs="仿宋_GB2312"/>
        </w:rPr>
      </w:pPr>
      <w:r>
        <w:rPr>
          <w:rFonts w:ascii="仿宋_GB2312" w:hAnsi="仿宋_GB2312" w:eastAsia="仿宋_GB2312" w:cs="仿宋_GB2312"/>
        </w:rPr>
        <w:br w:type="page"/>
      </w:r>
    </w:p>
    <w:p w14:paraId="21DFC375">
      <w:pPr>
        <w:pStyle w:val="8"/>
        <w:jc w:val="both"/>
        <w:outlineLvl w:val="1"/>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附件：</w:t>
      </w:r>
    </w:p>
    <w:p w14:paraId="07101AD2">
      <w:pPr>
        <w:keepNext w:val="0"/>
        <w:keepLines w:val="0"/>
        <w:pageBreakBefore w:val="0"/>
        <w:widowControl w:val="0"/>
        <w:kinsoku/>
        <w:wordWrap/>
        <w:overflowPunct/>
        <w:topLinePunct w:val="0"/>
        <w:autoSpaceDE/>
        <w:autoSpaceDN/>
        <w:bidi w:val="0"/>
        <w:adjustRightInd/>
        <w:snapToGrid/>
        <w:spacing w:line="348" w:lineRule="auto"/>
        <w:jc w:val="center"/>
        <w:textAlignment w:val="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采购包1宠物外科与产科实训室采购需求清单</w:t>
      </w:r>
    </w:p>
    <w:tbl>
      <w:tblPr>
        <w:tblStyle w:val="5"/>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78"/>
        <w:gridCol w:w="6154"/>
        <w:gridCol w:w="701"/>
        <w:gridCol w:w="750"/>
      </w:tblGrid>
      <w:tr w14:paraId="1E4A5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87" w:type="dxa"/>
            <w:noWrap w:val="0"/>
            <w:vAlign w:val="center"/>
          </w:tcPr>
          <w:p w14:paraId="42B58A33">
            <w:pPr>
              <w:widowControl w:val="0"/>
              <w:jc w:val="cente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t>序号</w:t>
            </w:r>
          </w:p>
        </w:tc>
        <w:tc>
          <w:tcPr>
            <w:tcW w:w="1378" w:type="dxa"/>
            <w:noWrap w:val="0"/>
            <w:vAlign w:val="center"/>
          </w:tcPr>
          <w:p w14:paraId="64A7EA13">
            <w:pPr>
              <w:widowControl w:val="0"/>
              <w:jc w:val="center"/>
              <w:rPr>
                <w:rFonts w:hint="eastAsia" w:ascii="宋体" w:hAnsi="宋体" w:eastAsia="宋体" w:cs="宋体"/>
                <w:b w:val="0"/>
                <w:bCs/>
                <w:color w:val="000000" w:themeColor="text1"/>
                <w:spacing w:val="5"/>
                <w:sz w:val="24"/>
                <w:szCs w:val="24"/>
                <w:highlight w:val="none"/>
                <w14:textFill>
                  <w14:solidFill>
                    <w14:schemeClr w14:val="tx1"/>
                  </w14:solidFill>
                </w14:textFill>
              </w:rPr>
            </w:pPr>
            <w:r>
              <w:rPr>
                <w:rFonts w:hint="eastAsia" w:ascii="宋体" w:hAnsi="宋体" w:eastAsia="宋体" w:cs="宋体"/>
                <w:b w:val="0"/>
                <w:bCs/>
                <w:color w:val="000000" w:themeColor="text1"/>
                <w:spacing w:val="5"/>
                <w:sz w:val="24"/>
                <w:szCs w:val="24"/>
                <w:highlight w:val="none"/>
                <w14:textFill>
                  <w14:solidFill>
                    <w14:schemeClr w14:val="tx1"/>
                  </w14:solidFill>
                </w14:textFill>
              </w:rPr>
              <w:t>设备名称</w:t>
            </w:r>
          </w:p>
        </w:tc>
        <w:tc>
          <w:tcPr>
            <w:tcW w:w="6154" w:type="dxa"/>
            <w:noWrap w:val="0"/>
            <w:vAlign w:val="center"/>
          </w:tcPr>
          <w:p w14:paraId="7FB6022C">
            <w:pPr>
              <w:widowControl w:val="0"/>
              <w:jc w:val="center"/>
              <w:rPr>
                <w:rFonts w:hint="eastAsia" w:ascii="宋体" w:hAnsi="宋体" w:eastAsia="宋体" w:cs="宋体"/>
                <w:b w:val="0"/>
                <w:bCs/>
                <w:color w:val="000000" w:themeColor="text1"/>
                <w:spacing w:val="5"/>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技术参数</w:t>
            </w:r>
          </w:p>
        </w:tc>
        <w:tc>
          <w:tcPr>
            <w:tcW w:w="701" w:type="dxa"/>
            <w:noWrap w:val="0"/>
            <w:vAlign w:val="center"/>
          </w:tcPr>
          <w:p w14:paraId="05178678">
            <w:pPr>
              <w:widowControl w:val="0"/>
              <w:jc w:val="cente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t>数量</w:t>
            </w:r>
          </w:p>
        </w:tc>
        <w:tc>
          <w:tcPr>
            <w:tcW w:w="750" w:type="dxa"/>
            <w:noWrap w:val="0"/>
            <w:vAlign w:val="center"/>
          </w:tcPr>
          <w:p w14:paraId="294B1FC1">
            <w:pPr>
              <w:widowControl w:val="0"/>
              <w:jc w:val="cente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5"/>
                <w:sz w:val="24"/>
                <w:szCs w:val="24"/>
                <w:highlight w:val="none"/>
                <w:lang w:val="en-US" w:eastAsia="zh-CN"/>
                <w14:textFill>
                  <w14:solidFill>
                    <w14:schemeClr w14:val="tx1"/>
                  </w14:solidFill>
                </w14:textFill>
              </w:rPr>
              <w:t>单位</w:t>
            </w:r>
          </w:p>
        </w:tc>
      </w:tr>
      <w:tr w14:paraId="2C370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45FF7D1">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1378" w:type="dxa"/>
            <w:noWrap w:val="0"/>
            <w:vAlign w:val="center"/>
          </w:tcPr>
          <w:p w14:paraId="16799DC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动物无菌手术操作台</w:t>
            </w:r>
          </w:p>
        </w:tc>
        <w:tc>
          <w:tcPr>
            <w:tcW w:w="6154" w:type="dxa"/>
            <w:noWrap w:val="0"/>
            <w:vAlign w:val="center"/>
          </w:tcPr>
          <w:p w14:paraId="26D10D5F">
            <w:pPr>
              <w:rPr>
                <w:rFonts w:hint="eastAsia" w:ascii="宋体" w:hAnsi="宋体" w:eastAsia="宋体" w:cs="宋体"/>
                <w:b w:val="0"/>
                <w:bCs/>
                <w:color w:val="000000" w:themeColor="text1"/>
                <w:kern w:val="0"/>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kern w:val="0"/>
                <w:sz w:val="24"/>
                <w:szCs w:val="24"/>
                <w:highlight w:val="none"/>
                <w14:textFill>
                  <w14:solidFill>
                    <w14:schemeClr w14:val="tx1"/>
                  </w14:solidFill>
                </w14:textFill>
              </w:rPr>
              <w:t>材质：台面及主体采用304不锈钢制造。</w:t>
            </w:r>
          </w:p>
          <w:p w14:paraId="0E5F6806">
            <w:pP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szCs w:val="24"/>
                <w:highlight w:val="none"/>
                <w14:textFill>
                  <w14:solidFill>
                    <w14:schemeClr w14:val="tx1"/>
                  </w14:solidFill>
                </w14:textFill>
              </w:rPr>
              <w:t>恒温功能：具备自动恒温功能，温度可随意调节；内置高温保护器</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配有不锈钢活动网片</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两侧配有绑定固定装置</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卡绳扣</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p>
          <w:p w14:paraId="100F3958">
            <w:pPr>
              <w:rPr>
                <w:rFonts w:hint="eastAsia" w:ascii="宋体" w:hAnsi="宋体" w:eastAsia="宋体" w:cs="宋体"/>
                <w:b w:val="0"/>
                <w:bCs/>
                <w:color w:val="000000" w:themeColor="text1"/>
                <w:kern w:val="0"/>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kern w:val="0"/>
                <w:sz w:val="24"/>
                <w:szCs w:val="24"/>
                <w:highlight w:val="none"/>
                <w14:textFill>
                  <w14:solidFill>
                    <w14:schemeClr w14:val="tx1"/>
                  </w14:solidFill>
                </w14:textFill>
              </w:rPr>
              <w:t>升降控制：触摸式升降开关。</w:t>
            </w:r>
          </w:p>
          <w:p w14:paraId="3E7C4952">
            <w:pP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kern w:val="0"/>
                <w:sz w:val="24"/>
                <w:szCs w:val="24"/>
                <w:highlight w:val="none"/>
                <w14:textFill>
                  <w14:solidFill>
                    <w14:schemeClr w14:val="tx1"/>
                  </w14:solidFill>
                </w14:textFill>
              </w:rPr>
              <w:t>外形尺寸</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mm</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：长度：≤1500宽度：≥350高度</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可调范围</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：760～1050</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p>
          <w:p w14:paraId="513518F4">
            <w:pPr>
              <w:rPr>
                <w:rFonts w:hint="eastAsia" w:ascii="宋体" w:hAnsi="宋体" w:eastAsia="宋体" w:cs="宋体"/>
                <w:b w:val="0"/>
                <w:bCs/>
                <w:color w:val="000000" w:themeColor="text1"/>
                <w:kern w:val="0"/>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szCs w:val="24"/>
                <w:highlight w:val="none"/>
                <w14:textFill>
                  <w14:solidFill>
                    <w14:schemeClr w14:val="tx1"/>
                  </w14:solidFill>
                </w14:textFill>
              </w:rPr>
              <w:t>倾斜功能：双向倾斜式设计，前后可倾斜≥45°；左右可倾斜≥45°。</w:t>
            </w:r>
          </w:p>
          <w:p w14:paraId="58BA365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kern w:val="0"/>
                <w:sz w:val="24"/>
                <w:szCs w:val="24"/>
                <w:highlight w:val="none"/>
                <w14:textFill>
                  <w14:solidFill>
                    <w14:schemeClr w14:val="tx1"/>
                  </w14:solidFill>
                </w14:textFill>
              </w:rPr>
              <w:t>温控精度：</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实验室情况下约</w:t>
            </w:r>
            <w:r>
              <w:rPr>
                <w:rFonts w:hint="eastAsia" w:ascii="宋体" w:hAnsi="宋体" w:eastAsia="宋体" w:cs="宋体"/>
                <w:b w:val="0"/>
                <w:bCs/>
                <w:color w:val="000000" w:themeColor="text1"/>
                <w:kern w:val="0"/>
                <w:sz w:val="24"/>
                <w:szCs w:val="24"/>
                <w:highlight w:val="none"/>
                <w14:textFill>
                  <w14:solidFill>
                    <w14:schemeClr w14:val="tx1"/>
                  </w14:solidFill>
                </w14:textFill>
              </w:rPr>
              <w:t>0.1℃。</w:t>
            </w:r>
          </w:p>
        </w:tc>
        <w:tc>
          <w:tcPr>
            <w:tcW w:w="701" w:type="dxa"/>
            <w:noWrap w:val="0"/>
            <w:vAlign w:val="center"/>
          </w:tcPr>
          <w:p w14:paraId="69C14C69">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p>
        </w:tc>
        <w:tc>
          <w:tcPr>
            <w:tcW w:w="750" w:type="dxa"/>
            <w:noWrap w:val="0"/>
            <w:vAlign w:val="center"/>
          </w:tcPr>
          <w:p w14:paraId="411341E8">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0A0CC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BE54BF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w:t>
            </w:r>
          </w:p>
        </w:tc>
        <w:tc>
          <w:tcPr>
            <w:tcW w:w="1378" w:type="dxa"/>
            <w:noWrap w:val="0"/>
            <w:vAlign w:val="center"/>
          </w:tcPr>
          <w:p w14:paraId="3F5DDB8B">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宠物麻醉心电监护仪</w:t>
            </w:r>
          </w:p>
        </w:tc>
        <w:tc>
          <w:tcPr>
            <w:tcW w:w="6154" w:type="dxa"/>
            <w:noWrap w:val="0"/>
            <w:vAlign w:val="center"/>
          </w:tcPr>
          <w:p w14:paraId="2B3F066E">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14:textFill>
                  <w14:solidFill>
                    <w14:schemeClr w14:val="tx1"/>
                  </w14:solidFill>
                </w14:textFill>
              </w:rPr>
              <w:t>≥12寸触摸屏，彩色高分辨率</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1280*800</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39B4B89F">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14:textFill>
                  <w14:solidFill>
                    <w14:schemeClr w14:val="tx1"/>
                  </w14:solidFill>
                </w14:textFill>
              </w:rPr>
              <w:t>标准配置可监测心电，呼吸，无创血压，血氧饱和度，脉搏和体温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采用ECG多导同步分析技术，保证心电监护的优异性</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心电波形速度支持6.25、12.5、25和50mm/s</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4种选择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具备智能导联脱落监测功能，个别导联脱落的情况下仍能保持监护</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013E9005">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14:textFill>
                  <w14:solidFill>
                    <w14:schemeClr w14:val="tx1"/>
                  </w14:solidFill>
                </w14:textFill>
              </w:rPr>
              <w:t>提供ECG波形库，并有相应的波形分析参照</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提供CO2波形库，并有相应的波形分析参照</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4417C774">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支持自定义多参数模型的趋势报警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支持麻醉分级评估界面，提供多参趋势观察及麻醉分级表</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526F5F6C">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支持自主学习模式，包括心电</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食道心电</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，血氧，血压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使用提供心率变化统计界面，包括平均心率、夜间平均心率、白天平均心率、最快心率和最慢心率等，采用弱灌注血氧技术</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抗干扰</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保证血氧监护的优异性</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169DAF40">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支持中/英文输入有三级声光报警，参数报警级别可调</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具备报警集中设置功能</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755E4510">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具备</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血流动力学</w:t>
            </w:r>
            <w:r>
              <w:rPr>
                <w:rFonts w:hint="eastAsia" w:ascii="宋体" w:hAnsi="宋体" w:eastAsia="宋体" w:cs="宋体"/>
                <w:b w:val="0"/>
                <w:bCs/>
                <w:color w:val="000000" w:themeColor="text1"/>
                <w:sz w:val="24"/>
                <w:szCs w:val="24"/>
                <w:highlight w:val="none"/>
                <w14:textFill>
                  <w14:solidFill>
                    <w14:schemeClr w14:val="tx1"/>
                  </w14:solidFill>
                </w14:textFill>
              </w:rPr>
              <w:t>、药物计算功能</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支持</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1200小时趋势数据的存储与回顾功能</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4F8418F5">
            <w:pPr>
              <w:bidi w:val="0"/>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具备监护模式、待机模式，演示模式、夜间模式</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4种工作模式</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具备动态趋势界面、大字体显示界面、标准显示界面等多种显示界面</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70D0AE3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支持连接动物中央监护系统，</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连接输注泵和麻醉机，支持输出电子版手术麻醉记录单</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tc>
        <w:tc>
          <w:tcPr>
            <w:tcW w:w="701" w:type="dxa"/>
            <w:noWrap w:val="0"/>
            <w:vAlign w:val="center"/>
          </w:tcPr>
          <w:p w14:paraId="6D62B6D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p>
        </w:tc>
        <w:tc>
          <w:tcPr>
            <w:tcW w:w="750" w:type="dxa"/>
            <w:noWrap w:val="0"/>
            <w:vAlign w:val="center"/>
          </w:tcPr>
          <w:p w14:paraId="1C084A4D">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1020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7B0D44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p>
        </w:tc>
        <w:tc>
          <w:tcPr>
            <w:tcW w:w="1378" w:type="dxa"/>
            <w:noWrap w:val="0"/>
            <w:vAlign w:val="center"/>
          </w:tcPr>
          <w:p w14:paraId="0ADD4E0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宠物呼吸麻醉机</w:t>
            </w:r>
          </w:p>
          <w:p w14:paraId="6E6F79A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7"/>
                <w:sz w:val="24"/>
                <w:szCs w:val="24"/>
                <w:highlight w:val="none"/>
                <w14:textFill>
                  <w14:solidFill>
                    <w14:schemeClr w14:val="tx1"/>
                  </w14:solidFill>
                </w14:textFill>
              </w:rPr>
              <w:t>核心产品</w:t>
            </w:r>
            <w:r>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t>)</w:t>
            </w:r>
          </w:p>
        </w:tc>
        <w:tc>
          <w:tcPr>
            <w:tcW w:w="6154" w:type="dxa"/>
            <w:noWrap w:val="0"/>
            <w:vAlign w:val="center"/>
          </w:tcPr>
          <w:p w14:paraId="575A7B0F">
            <w:pPr>
              <w:pStyle w:val="9"/>
              <w:widowControl/>
              <w:numPr>
                <w:ilvl w:val="0"/>
                <w:numId w:val="0"/>
              </w:numPr>
              <w:ind w:leftChars="0"/>
              <w:rPr>
                <w:rFonts w:hint="eastAsia" w:ascii="宋体" w:hAnsi="宋体" w:eastAsia="宋体" w:cs="宋体"/>
                <w:b w:val="0"/>
                <w:bCs/>
                <w:color w:val="000000" w:themeColor="text1"/>
                <w:kern w:val="0"/>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kern w:val="0"/>
                <w:sz w:val="24"/>
                <w:szCs w:val="24"/>
                <w:highlight w:val="none"/>
                <w14:textFill>
                  <w14:solidFill>
                    <w14:schemeClr w14:val="tx1"/>
                  </w14:solidFill>
                </w14:textFill>
              </w:rPr>
              <w:t>电源：100-240V,50Hz/60Hz</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后备电池使用时间</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120分钟</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支持制氧机作为氧气气源输入</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kern w:val="0"/>
                <w:sz w:val="24"/>
                <w:szCs w:val="24"/>
                <w:highlight w:val="none"/>
                <w14:textFill>
                  <w14:solidFill>
                    <w14:schemeClr w14:val="tx1"/>
                  </w14:solidFill>
                </w14:textFill>
              </w:rPr>
              <w:t>电动电控内置涡轮，可在无高压气源的情况下提供有效呼吸机通气</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kern w:val="0"/>
                <w:sz w:val="24"/>
                <w:szCs w:val="24"/>
                <w:highlight w:val="none"/>
                <w14:textFill>
                  <w14:solidFill>
                    <w14:schemeClr w14:val="tx1"/>
                  </w14:solidFill>
                </w14:textFill>
              </w:rPr>
              <w:t>标配氧气单管流量计</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氧气流量范围0~4L/min</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快速充氧范围10~15L/min</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连接高压气源</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▲4</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标配一个异氟醚麻醉罐，具备温度、空气压力和流量补偿功能</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kern w:val="0"/>
                <w:sz w:val="24"/>
                <w:szCs w:val="24"/>
                <w:highlight w:val="none"/>
                <w14:textFill>
                  <w14:solidFill>
                    <w14:schemeClr w14:val="tx1"/>
                  </w14:solidFill>
                </w14:textFill>
              </w:rPr>
              <w:t>具备自动回路泄漏测试功能，图形化操作提示，显示泄漏量测试结果。具备APL打开提醒功能，如未打开APL阀，则无法进入待机且报警提示。</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6.电动电控呼吸机，</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kern w:val="0"/>
                <w:sz w:val="24"/>
                <w:szCs w:val="24"/>
                <w:highlight w:val="none"/>
                <w14:textFill>
                  <w14:solidFill>
                    <w14:schemeClr w14:val="tx1"/>
                  </w14:solidFill>
                </w14:textFill>
              </w:rPr>
              <w:t>在无高压气源的情况下运行；上升式风箱，可直接观察动物实际呼吸状态；提供辅助/控制通气，标配通气模式：PCV，SIMV，PSV以及手动通气、电子PEEP</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7.智能</w:t>
            </w:r>
            <w:r>
              <w:rPr>
                <w:rFonts w:hint="eastAsia" w:ascii="宋体" w:hAnsi="宋体" w:eastAsia="宋体" w:cs="宋体"/>
                <w:b w:val="0"/>
                <w:bCs/>
                <w:color w:val="000000" w:themeColor="text1"/>
                <w:kern w:val="0"/>
                <w:sz w:val="24"/>
                <w:szCs w:val="24"/>
                <w:highlight w:val="none"/>
                <w14:textFill>
                  <w14:solidFill>
                    <w14:schemeClr w14:val="tx1"/>
                  </w14:solidFill>
                </w14:textFill>
              </w:rPr>
              <w:t>通气模式，具备自动触发功能，可检测动物自主呼吸并提供支持，有呼吸暂停通气模式作为后备。</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kern w:val="0"/>
                <w:sz w:val="24"/>
                <w:szCs w:val="24"/>
                <w:highlight w:val="none"/>
                <w14:textFill>
                  <w14:solidFill>
                    <w14:schemeClr w14:val="tx1"/>
                  </w14:solidFill>
                </w14:textFill>
              </w:rPr>
              <w:t>吸气压力设置范围：5-50cmH2O；呼吸频率：2-60次/分钟；吸气触发：流速触发0.2-15L/min,压力触发-20~--0.2cmH2O；具备动态潮气量自动补偿功能，补偿新鲜气体变化、回路顺应性变化以及小的回路泄漏造成的吸入潮气量和设置潮气量的误差；</w:t>
            </w:r>
            <w:r>
              <w:rPr>
                <w:rFonts w:hint="eastAsia" w:ascii="宋体" w:hAnsi="宋体" w:eastAsia="宋体" w:cs="宋体"/>
                <w:b w:val="0"/>
                <w:bCs/>
                <w:color w:val="000000" w:themeColor="text1"/>
                <w:kern w:val="0"/>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kern w:val="0"/>
                <w:sz w:val="24"/>
                <w:szCs w:val="24"/>
                <w:highlight w:val="none"/>
                <w14:textFill>
                  <w14:solidFill>
                    <w14:schemeClr w14:val="tx1"/>
                  </w14:solidFill>
                </w14:textFill>
              </w:rPr>
              <w:t>具备预设吸气保持功能，支持延迟启动，最长保持时间</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14:textFill>
                  <w14:solidFill>
                    <w14:schemeClr w14:val="tx1"/>
                  </w14:solidFill>
                </w14:textFill>
              </w:rPr>
              <w:t>60s。</w:t>
            </w:r>
          </w:p>
          <w:p w14:paraId="07844FBA">
            <w:pPr>
              <w:pStyle w:val="9"/>
              <w:widowControl/>
              <w:numPr>
                <w:ilvl w:val="0"/>
                <w:numId w:val="0"/>
              </w:numPr>
              <w:ind w:leftChars="0"/>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kern w:val="0"/>
                <w:sz w:val="24"/>
                <w:szCs w:val="24"/>
                <w:highlight w:val="none"/>
                <w14:textFill>
                  <w14:solidFill>
                    <w14:schemeClr w14:val="tx1"/>
                  </w14:solidFill>
                </w14:textFill>
              </w:rPr>
              <w:t>支持连接动物中央监护系统，可连接输注泵和监护仪，支持输出电子版手术麻醉记录单</w:t>
            </w:r>
            <w:r>
              <w:rPr>
                <w:rFonts w:hint="eastAsia" w:ascii="宋体" w:hAnsi="宋体" w:eastAsia="宋体" w:cs="宋体"/>
                <w:b w:val="0"/>
                <w:bCs/>
                <w:color w:val="000000" w:themeColor="text1"/>
                <w:kern w:val="0"/>
                <w:sz w:val="24"/>
                <w:szCs w:val="24"/>
                <w:highlight w:val="none"/>
                <w:lang w:eastAsia="zh-CN"/>
                <w14:textFill>
                  <w14:solidFill>
                    <w14:schemeClr w14:val="tx1"/>
                  </w14:solidFill>
                </w14:textFill>
              </w:rPr>
              <w:t>。</w:t>
            </w:r>
          </w:p>
        </w:tc>
        <w:tc>
          <w:tcPr>
            <w:tcW w:w="701" w:type="dxa"/>
            <w:noWrap w:val="0"/>
            <w:vAlign w:val="center"/>
          </w:tcPr>
          <w:p w14:paraId="2EF84BB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p>
        </w:tc>
        <w:tc>
          <w:tcPr>
            <w:tcW w:w="750" w:type="dxa"/>
            <w:noWrap w:val="0"/>
            <w:vAlign w:val="center"/>
          </w:tcPr>
          <w:p w14:paraId="45DA6F62">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6F7A0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4723EEC">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w:t>
            </w:r>
          </w:p>
        </w:tc>
        <w:tc>
          <w:tcPr>
            <w:tcW w:w="1378" w:type="dxa"/>
            <w:noWrap w:val="0"/>
            <w:vAlign w:val="center"/>
          </w:tcPr>
          <w:p w14:paraId="4186E44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制氧机</w:t>
            </w:r>
          </w:p>
        </w:tc>
        <w:tc>
          <w:tcPr>
            <w:tcW w:w="6154" w:type="dxa"/>
            <w:noWrap w:val="0"/>
            <w:vAlign w:val="center"/>
          </w:tcPr>
          <w:p w14:paraId="556A2835">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1.参数流量：≥0-5L/min。</w:t>
            </w:r>
          </w:p>
          <w:p w14:paraId="4306AE1B">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2.浓度：≥93%士3%V。</w:t>
            </w:r>
          </w:p>
          <w:p w14:paraId="1022F19E">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3.出口压力：≥0.04-0.07Mpa。</w:t>
            </w:r>
          </w:p>
          <w:p w14:paraId="2B051EE1">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4.功率：≥450W。</w:t>
            </w:r>
          </w:p>
          <w:p w14:paraId="23B90C5B">
            <w:pPr>
              <w:snapToGrid w:val="0"/>
              <w:ind w:left="0" w:leftChars="0" w:right="0" w:rightChars="0" w:firstLine="0" w:firstLineChars="0"/>
              <w:jc w:val="left"/>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5.噪声：≤40dB。</w:t>
            </w:r>
          </w:p>
          <w:p w14:paraId="6928FA9F">
            <w:pPr>
              <w:snapToGrid w:val="0"/>
              <w:ind w:left="0" w:leftChars="0" w:right="0" w:rightChars="0" w:firstLine="0" w:firstLineChars="0"/>
              <w:jc w:val="left"/>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6.具备运行报警、高温报警、高压报警功能。</w:t>
            </w:r>
          </w:p>
        </w:tc>
        <w:tc>
          <w:tcPr>
            <w:tcW w:w="701" w:type="dxa"/>
            <w:noWrap w:val="0"/>
            <w:vAlign w:val="center"/>
          </w:tcPr>
          <w:p w14:paraId="0A433BB8">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p>
        </w:tc>
        <w:tc>
          <w:tcPr>
            <w:tcW w:w="750" w:type="dxa"/>
            <w:noWrap w:val="0"/>
            <w:vAlign w:val="center"/>
          </w:tcPr>
          <w:p w14:paraId="28AC83D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05C2E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A4330A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w:t>
            </w:r>
          </w:p>
        </w:tc>
        <w:tc>
          <w:tcPr>
            <w:tcW w:w="1378" w:type="dxa"/>
            <w:noWrap w:val="0"/>
            <w:vAlign w:val="center"/>
          </w:tcPr>
          <w:p w14:paraId="7B4ADA4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外科手术器械套装</w:t>
            </w:r>
          </w:p>
        </w:tc>
        <w:tc>
          <w:tcPr>
            <w:tcW w:w="6154" w:type="dxa"/>
            <w:noWrap w:val="0"/>
            <w:vAlign w:val="center"/>
          </w:tcPr>
          <w:p w14:paraId="562C225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每套配置(不低于)：3L#手术刀柄*1把、16cm粗针WD持针钳*1把、12.5cm直形1×2钩组织镊*1把、12.5cm横齿(敷料)医用镊(敷料镊)*1把、13cm尖头帕巾钳*4把、14cm直尖刃口开齿手术剪*1把、14cm直圆刃口开齿手术剪*1把、16cm直全齿止血钳*2把、16cm弯全齿止血钳</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ab/>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*2把、16cm普通头宽组织钳</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ab/>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 4把。</w:t>
            </w:r>
          </w:p>
          <w:p w14:paraId="05A2337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2.符合医用级不锈钢材质，支持可高温高压灭菌。</w:t>
            </w:r>
          </w:p>
          <w:p w14:paraId="603D2AC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3.表面光滑无锐边，关节开合顺畅，锁扣稳定，钳齿对齐。</w:t>
            </w:r>
          </w:p>
          <w:p w14:paraId="5D8CDE6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4.剪刀刃口锋利，钳镊夹持稳固。</w:t>
            </w:r>
          </w:p>
          <w:p w14:paraId="5A31894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5.可耐受134℃高温高压蒸汽灭菌。</w:t>
            </w:r>
          </w:p>
        </w:tc>
        <w:tc>
          <w:tcPr>
            <w:tcW w:w="701" w:type="dxa"/>
            <w:noWrap w:val="0"/>
            <w:vAlign w:val="center"/>
          </w:tcPr>
          <w:p w14:paraId="6818510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p>
        </w:tc>
        <w:tc>
          <w:tcPr>
            <w:tcW w:w="750" w:type="dxa"/>
            <w:noWrap w:val="0"/>
            <w:vAlign w:val="center"/>
          </w:tcPr>
          <w:p w14:paraId="57E63BE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01307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1A448C3">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p>
        </w:tc>
        <w:tc>
          <w:tcPr>
            <w:tcW w:w="1378" w:type="dxa"/>
            <w:noWrap w:val="0"/>
            <w:vAlign w:val="center"/>
          </w:tcPr>
          <w:p w14:paraId="7813F52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超声刀能量平台</w:t>
            </w:r>
          </w:p>
        </w:tc>
        <w:tc>
          <w:tcPr>
            <w:tcW w:w="6154" w:type="dxa"/>
            <w:noWrap w:val="0"/>
            <w:vAlign w:val="center"/>
          </w:tcPr>
          <w:p w14:paraId="7413E37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1.适用范围：配合单极、双极附件进行组织切割、凝血、血管闭合。</w:t>
            </w:r>
          </w:p>
          <w:p w14:paraId="4B7C4ED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2.输出功率≥120W。</w:t>
            </w:r>
          </w:p>
          <w:p w14:paraId="0E8981B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3.输出频率≥416KHz。</w:t>
            </w:r>
          </w:p>
          <w:p w14:paraId="192E669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4.输入功率≤500VA；电源输入：100～240V，50/60Hz。</w:t>
            </w:r>
          </w:p>
          <w:p w14:paraId="164B2F0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5.具有≥6种工作模式，其中单极电切模式≥3种，单极电凝模式≥2种，双极电凝模式≥1种。</w:t>
            </w:r>
          </w:p>
          <w:p w14:paraId="2398674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6.电刀纯切性能：1～100W(负载≥500Ω)，要求功率连续可调电刀混切性能：1～100W(负载≥500Ω)，要求功率连续可调电刀单极凝性能：1～90W(负载≥500Ω)。</w:t>
            </w:r>
          </w:p>
          <w:p w14:paraId="73DE577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7.双极血管闭合系统：F1～F3(负载≥100Ω),全新智能脉冲闭合系统。</w:t>
            </w:r>
          </w:p>
          <w:p w14:paraId="6824841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8.脉冲血管闭合模式：用于闭合≤7mm血管；双极精细模式用于微创止血。</w:t>
            </w:r>
          </w:p>
          <w:p w14:paraId="237B095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9.具备接触质量监督系统，可检测接触电阻变化，当中性极板和动物接触面积的电阻≥150Ω时，报警系统启动并停止输出。</w:t>
            </w:r>
          </w:p>
          <w:p w14:paraId="0BAF1B6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10.支持开机可调用上一次使用的模式、功率等参数。</w:t>
            </w:r>
          </w:p>
          <w:p w14:paraId="578A849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11.具备开机自动检测、自动报警提示功能。</w:t>
            </w:r>
          </w:p>
          <w:p w14:paraId="468F9C0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12.具备≥9组用户记忆存储单元，支持可存储操作参数；可与吸烟器联动启动，术中烟雾能自动排出。</w:t>
            </w:r>
          </w:p>
        </w:tc>
        <w:tc>
          <w:tcPr>
            <w:tcW w:w="701" w:type="dxa"/>
            <w:noWrap w:val="0"/>
            <w:vAlign w:val="center"/>
          </w:tcPr>
          <w:p w14:paraId="2D779872">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7F3C9934">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002C3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3EFF3D3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7</w:t>
            </w:r>
          </w:p>
        </w:tc>
        <w:tc>
          <w:tcPr>
            <w:tcW w:w="1378" w:type="dxa"/>
            <w:noWrap w:val="0"/>
            <w:vAlign w:val="center"/>
          </w:tcPr>
          <w:p w14:paraId="3256B25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动物腹腔镜</w:t>
            </w:r>
          </w:p>
        </w:tc>
        <w:tc>
          <w:tcPr>
            <w:tcW w:w="6154" w:type="dxa"/>
            <w:noWrap w:val="0"/>
            <w:vAlign w:val="center"/>
          </w:tcPr>
          <w:p w14:paraId="6329745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1.应用于腹腔探查、卵巢摘除、肝叶取样等手术。</w:t>
            </w:r>
          </w:p>
          <w:p w14:paraId="2AFAA5E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2.配置5mm腹腔镜，90°视角，可浸泡灭菌。</w:t>
            </w:r>
          </w:p>
          <w:p w14:paraId="1743729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3.摄像光源一体化设计，LED光源寿命≥20000小时，冷光输出。</w:t>
            </w:r>
          </w:p>
          <w:p w14:paraId="35043D8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4.配置DSP数字图像处理器，亮度、色彩、对比度0-100级可调，支持Svideo/AV输出。</w:t>
            </w:r>
          </w:p>
          <w:p w14:paraId="37757C0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5.白平衡支持自动、手动模式，手动白平衡250级可调，成像模式≥6种，增益等级0-5级。</w:t>
            </w:r>
          </w:p>
          <w:p w14:paraId="12E621E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6.配置高频发生器、全自动二氧化碳气腹装置。</w:t>
            </w:r>
          </w:p>
          <w:p w14:paraId="01B59A2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7.气腹装置压力、流量可调，支持CO2气体升温，配置CO2导管。</w:t>
            </w:r>
          </w:p>
          <w:p w14:paraId="2D1077F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8.配置≥3个5mm金属穿刺器，具备充气清洗阀门。</w:t>
            </w:r>
          </w:p>
          <w:p w14:paraId="4460F71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9.配置≥1个(5mm，120mm)防护型气腹针。</w:t>
            </w:r>
          </w:p>
          <w:p w14:paraId="0A7C296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10.配置≥1把弯角剪刀，支持360°旋转、拆卸清洗。</w:t>
            </w:r>
          </w:p>
          <w:p w14:paraId="3FAFD5E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11.配置腹腔探棒、左弯剥离钳、15mm剥离钳，可360°旋转、拆卸清洗。</w:t>
            </w:r>
          </w:p>
          <w:p w14:paraId="2E14724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12.成套配置(不低于)：腹腔内窥镜、彩色摄像头、光学适配器、导光束、气腹机、气腹针、电棒、密封帽、穿刺器、弯剥离钳、弯型剪刀、高频电刀。</w:t>
            </w:r>
          </w:p>
        </w:tc>
        <w:tc>
          <w:tcPr>
            <w:tcW w:w="701" w:type="dxa"/>
            <w:noWrap w:val="0"/>
            <w:vAlign w:val="center"/>
          </w:tcPr>
          <w:p w14:paraId="0D320A65">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4879CA2C">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46AF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BC2773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w:t>
            </w:r>
          </w:p>
        </w:tc>
        <w:tc>
          <w:tcPr>
            <w:tcW w:w="1378" w:type="dxa"/>
            <w:noWrap w:val="0"/>
            <w:vAlign w:val="center"/>
          </w:tcPr>
          <w:p w14:paraId="2623655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动物胃肠镜</w:t>
            </w:r>
            <w:r>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7"/>
                <w:sz w:val="24"/>
                <w:szCs w:val="24"/>
                <w:highlight w:val="none"/>
                <w14:textFill>
                  <w14:solidFill>
                    <w14:schemeClr w14:val="tx1"/>
                  </w14:solidFill>
                </w14:textFill>
              </w:rPr>
              <w:t>内窥镜</w:t>
            </w:r>
            <w:r>
              <w:rPr>
                <w:rFonts w:hint="eastAsia" w:ascii="宋体" w:hAnsi="宋体" w:eastAsia="宋体" w:cs="宋体"/>
                <w:b w:val="0"/>
                <w:bCs/>
                <w:color w:val="000000" w:themeColor="text1"/>
                <w:spacing w:val="7"/>
                <w:sz w:val="24"/>
                <w:szCs w:val="24"/>
                <w:highlight w:val="none"/>
                <w:lang w:eastAsia="zh-CN"/>
                <w14:textFill>
                  <w14:solidFill>
                    <w14:schemeClr w14:val="tx1"/>
                  </w14:solidFill>
                </w14:textFill>
              </w:rPr>
              <w:t>)</w:t>
            </w:r>
          </w:p>
        </w:tc>
        <w:tc>
          <w:tcPr>
            <w:tcW w:w="6154" w:type="dxa"/>
            <w:noWrap w:val="0"/>
            <w:vAlign w:val="center"/>
          </w:tcPr>
          <w:p w14:paraId="00C722A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1.头端部外径≤Φ6.5mm，主软管外径≤Φ6.5mm，钳道管内径≥Φ2.0mm。</w:t>
            </w:r>
          </w:p>
          <w:p w14:paraId="0FC5329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2.工作长度≥1000mm，总长≥1300mm。</w:t>
            </w:r>
          </w:p>
          <w:p w14:paraId="3ECFF6F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3.视场角≥120°(直视)，观察深度≥3—100mm。</w:t>
            </w:r>
          </w:p>
          <w:p w14:paraId="4A8590C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4.分辨率≥100万像素(CMOS)。</w:t>
            </w:r>
          </w:p>
          <w:p w14:paraId="1FC95BC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5.弯曲角度：向上≥210°，向下≥90°，左右各≥100°。</w:t>
            </w:r>
          </w:p>
          <w:p w14:paraId="0D755DE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6.链式牵引结构，整机全密封防水。</w:t>
            </w:r>
          </w:p>
          <w:p w14:paraId="1A24116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7.支持≥8种摄像头样式选择(4万、10万、16万、64万、100万、200万、USB、AHD摄像头)。</w:t>
            </w:r>
          </w:p>
          <w:p w14:paraId="1FBEA6C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8.支持原始全屏、八角、圆形半屏切角显示样式。</w:t>
            </w:r>
          </w:p>
          <w:p w14:paraId="6A42AE9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9.支持≥7种HDMI图像输出格式选择。</w:t>
            </w:r>
          </w:p>
          <w:p w14:paraId="7B379D2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10.支持≥4种固定白平衡、实时动态白平衡、手动白平衡、一键白平衡模式。</w:t>
            </w:r>
          </w:p>
          <w:p w14:paraId="2D03438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11.支持黑白、负片显示。</w:t>
            </w:r>
          </w:p>
          <w:p w14:paraId="292C499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12.支持锐度、降噪自动/手动调节，手动0-10级可调。</w:t>
            </w:r>
          </w:p>
          <w:p w14:paraId="3B1D254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13.支持0-100级曝光补偿调节。</w:t>
            </w:r>
          </w:p>
          <w:p w14:paraId="312431A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14.支持0-100级亮度、对比度、饱和度调节。</w:t>
            </w:r>
          </w:p>
          <w:p w14:paraId="09B38D3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15.支持增益自动/手动调节，手动0-16级增益、0-30级曝光时间可调。</w:t>
            </w:r>
          </w:p>
          <w:p w14:paraId="34C77F7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16.支持0-6级坏点校正。</w:t>
            </w:r>
          </w:p>
          <w:p w14:paraId="2A63227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17.支持1.2/1.5/1.7/2.0倍4档电子放大。</w:t>
            </w:r>
          </w:p>
          <w:p w14:paraId="5B3124F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18.支持全屏图像冻结、半屏模式下冻结大图像动态显示小图像。</w:t>
            </w:r>
          </w:p>
          <w:p w14:paraId="4E5FD01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19.主机面板支持血管增强、锐度调节、拍照、录像、冻结、白平衡、文件回放、电子放大、光源调节、气泵调节功能。</w:t>
            </w:r>
          </w:p>
          <w:p w14:paraId="068434A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20.内窥镜按钮支持冻结、电子放大、锐度调节、拍照功能。</w:t>
            </w:r>
          </w:p>
          <w:p w14:paraId="511481C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21.可兼容胃肠镜、支气管镜、鼻咽喉镜、腹腔镜、膀胱镜等软硬镜，支持检查报告编辑、保存、打印。</w:t>
            </w:r>
          </w:p>
        </w:tc>
        <w:tc>
          <w:tcPr>
            <w:tcW w:w="701" w:type="dxa"/>
            <w:noWrap w:val="0"/>
            <w:vAlign w:val="center"/>
          </w:tcPr>
          <w:p w14:paraId="12A4FC41">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2783626E">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1FB15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7CF5A6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9</w:t>
            </w:r>
          </w:p>
        </w:tc>
        <w:tc>
          <w:tcPr>
            <w:tcW w:w="1378" w:type="dxa"/>
            <w:noWrap w:val="0"/>
            <w:vAlign w:val="center"/>
          </w:tcPr>
          <w:p w14:paraId="3C8752A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动物牙科工作台</w:t>
            </w:r>
          </w:p>
        </w:tc>
        <w:tc>
          <w:tcPr>
            <w:tcW w:w="6154" w:type="dxa"/>
            <w:noWrap w:val="0"/>
            <w:vAlign w:val="center"/>
          </w:tcPr>
          <w:p w14:paraId="44054B0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1.用于犬、猫等伴侣动物牙科诊疗、洁牙、抛光、牙周治疗、牙科手术。</w:t>
            </w:r>
          </w:p>
          <w:p w14:paraId="1A45892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2.整机功率：≤550W</w:t>
            </w:r>
          </w:p>
          <w:p w14:paraId="1256D5D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3.工作气压：0.35～0.8MPa。</w:t>
            </w:r>
          </w:p>
          <w:p w14:paraId="0B79A47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4.供水方式：内置独立无菌供水系统。</w:t>
            </w:r>
          </w:p>
          <w:p w14:paraId="4DCD70E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5.一体化移动式设计，配备脚轮及刹车装置。</w:t>
            </w:r>
          </w:p>
          <w:p w14:paraId="0F54564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6.配置四孔高速光纤手机，空载转速≥300000rpm，工作压力0.26MPa，可耐受135℃高温高压灭菌。</w:t>
            </w:r>
          </w:p>
          <w:p w14:paraId="0D09E9D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7.配置低速直机+弯机一套，转速≥20000rpm，具备正反转调节功能，可耐受135℃高温高压灭菌。</w:t>
            </w:r>
          </w:p>
          <w:p w14:paraId="099D572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8.超声洁牙模块工作频率25～40kHz连续可调，功率0～10W无级调节，标配通用型、龈下型、牙周专用工作尖。</w:t>
            </w:r>
          </w:p>
          <w:p w14:paraId="2FAC016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9.超声洁牙模块具备自动供水、防回吸功能，工作尖可高温高压灭菌。</w:t>
            </w:r>
          </w:p>
          <w:p w14:paraId="0E7922D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10.配置三用枪，具备喷水、喷气、喷雾功能，可高温高压消毒。</w:t>
            </w:r>
          </w:p>
          <w:p w14:paraId="5E9508B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11.配置强弱双模式吸引系统，抽水速率≥400mL/min。</w:t>
            </w:r>
          </w:p>
          <w:p w14:paraId="6E570EA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12.配置脚踏控制器，支持一键切换手机、洁牙机、吸引等功能。</w:t>
            </w:r>
          </w:p>
          <w:p w14:paraId="441E854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13.内置无油空压机，低噪音运行，压力可调，配备多重过滤系统。</w:t>
            </w:r>
          </w:p>
          <w:p w14:paraId="3E20099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14.配置密封式独立废液收集装置，便于拆卸清洁。</w:t>
            </w:r>
          </w:p>
          <w:p w14:paraId="0D0FE5D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15.主体材质：不锈钢+工程塑料，配备可旋转器械挂架、多功能器械托盘、防污防护罩等。</w:t>
            </w:r>
          </w:p>
          <w:p w14:paraId="48E134B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16.设备运行噪声：≤60dB。</w:t>
            </w:r>
          </w:p>
          <w:p w14:paraId="58112FF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17.具备防漏电、防过载、防过热保护功能。</w:t>
            </w:r>
          </w:p>
        </w:tc>
        <w:tc>
          <w:tcPr>
            <w:tcW w:w="701" w:type="dxa"/>
            <w:noWrap w:val="0"/>
            <w:vAlign w:val="center"/>
          </w:tcPr>
          <w:p w14:paraId="4F665474">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00CC3CCE">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4347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C99AFA8">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10</w:t>
            </w:r>
          </w:p>
        </w:tc>
        <w:tc>
          <w:tcPr>
            <w:tcW w:w="1378" w:type="dxa"/>
            <w:noWrap w:val="0"/>
            <w:vAlign w:val="center"/>
          </w:tcPr>
          <w:p w14:paraId="68476B0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动物骨科器械</w:t>
            </w:r>
          </w:p>
        </w:tc>
        <w:tc>
          <w:tcPr>
            <w:tcW w:w="6154" w:type="dxa"/>
            <w:noWrap w:val="0"/>
            <w:vAlign w:val="center"/>
          </w:tcPr>
          <w:p w14:paraId="3B8C536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每套配置(不低于)：130mm小号持板钳*2把、160mm大号持板钳*2把、140mm点状带齿复位钳*1把、160mm点状带齿复位钳*1把</w:t>
            </w:r>
          </w:p>
          <w:p w14:paraId="5450CA8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、135m双关节咬骨钳*1把、多功能骨板折弯器(可拆卸)*1把</w:t>
            </w:r>
          </w:p>
          <w:p w14:paraId="03C89AD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、0.8–2.5mm克氏针折弯器*1把、0.8–2.5mm克氏针打入器*1把、TTA款骨科测深尺*1把、135mm直角单钩撑开器*1把、≤2.0mm钢丝引导器*1把、多功能紧丝钳(钢丝钳)*1把、200g骨锤*1把、双头骨膜剥离器(骨剥)*1把。</w:t>
            </w:r>
          </w:p>
        </w:tc>
        <w:tc>
          <w:tcPr>
            <w:tcW w:w="701" w:type="dxa"/>
            <w:noWrap w:val="0"/>
            <w:vAlign w:val="center"/>
          </w:tcPr>
          <w:p w14:paraId="673476F5">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50C2A53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6AE13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38855F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11</w:t>
            </w:r>
          </w:p>
        </w:tc>
        <w:tc>
          <w:tcPr>
            <w:tcW w:w="1378" w:type="dxa"/>
            <w:noWrap w:val="0"/>
            <w:vAlign w:val="center"/>
          </w:tcPr>
          <w:p w14:paraId="102D3AD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无影灯</w:t>
            </w:r>
          </w:p>
        </w:tc>
        <w:tc>
          <w:tcPr>
            <w:tcW w:w="6154" w:type="dxa"/>
            <w:noWrap w:val="0"/>
            <w:vAlign w:val="center"/>
          </w:tcPr>
          <w:p w14:paraId="0A20F5FE">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1.照度(相距1M处LUX)≥30000-160000。</w:t>
            </w:r>
          </w:p>
          <w:p w14:paraId="2039AA79">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2.色温(K)≥3000-5500。</w:t>
            </w:r>
          </w:p>
          <w:p w14:paraId="49D170C6">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3.光斑直径(mm)100—300。</w:t>
            </w:r>
          </w:p>
          <w:p w14:paraId="566E7735">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4.照明深度(mm)≥1200。</w:t>
            </w:r>
          </w:p>
          <w:p w14:paraId="50A4BA96">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5.亮度调节：1-100。</w:t>
            </w:r>
          </w:p>
          <w:p w14:paraId="25612996">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6.演色性指数CRI：≥97%。</w:t>
            </w:r>
          </w:p>
          <w:p w14:paraId="7E3803C2">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7.色彩还原指数Ra</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ab/>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≥97%。</w:t>
            </w:r>
          </w:p>
          <w:p w14:paraId="60638C2C">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8.术者头部温升(℃)：≤1。</w:t>
            </w:r>
          </w:p>
          <w:p w14:paraId="18517644">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9.术野工作区域温升(℃)：≤2。</w:t>
            </w:r>
          </w:p>
          <w:p w14:paraId="57B71E9D">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10.操作半径(mm)：≥2200。</w:t>
            </w:r>
          </w:p>
          <w:p w14:paraId="7DA83F81">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11.工作半径(mm)：600—1800。</w:t>
            </w:r>
          </w:p>
          <w:p w14:paraId="0B1056DC">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12、工作电源：AC220V、50Hz.</w:t>
            </w:r>
          </w:p>
          <w:p w14:paraId="0DD50020">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13、横臂活动范围(半径)：700-1100mm(支持可据院方要求配置)。</w:t>
            </w:r>
          </w:p>
          <w:p w14:paraId="2FDA73D6">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14、水平旋转角度：0～340°，横臂和终端箱体可分别或同时水平旋转。</w:t>
            </w:r>
          </w:p>
          <w:p w14:paraId="6BB8E433">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15、仪器平台：2层(高度可调)510㎜*460㎜*25mm，圆角防撞设计。</w:t>
            </w:r>
          </w:p>
          <w:p w14:paraId="0984995A">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16、气体接口配置(氧气2个，负压吸引2个，压缩空气2个等电位接地端子：2个；网络接口：1个，通讯接口：1个)</w:t>
            </w:r>
          </w:p>
          <w:p w14:paraId="3220ED53">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a、接口颜色及形状不同，具有防接错功能；b、插拔次数2万次以上；c、采用二次密封，带三状态(通、断、拔)，可带气维修；不锈钢可调输液杆架1个；不锈钢可调注射泵架1个。</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ab/>
            </w:r>
          </w:p>
          <w:p w14:paraId="619D50A0">
            <w:pPr>
              <w:bidi w:val="0"/>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17.制冷系统：循环风量：≥760m3/h、外机最大噪声：≤51dB(A)</w:t>
            </w:r>
          </w:p>
          <w:p w14:paraId="50FF8FC5">
            <w:pPr>
              <w:bidi w:val="0"/>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、内机最大噪声：≤41dB(A)、制冷量：≥3510W、制热量：≥5020W。</w:t>
            </w:r>
          </w:p>
        </w:tc>
        <w:tc>
          <w:tcPr>
            <w:tcW w:w="701" w:type="dxa"/>
            <w:noWrap w:val="0"/>
            <w:vAlign w:val="center"/>
          </w:tcPr>
          <w:p w14:paraId="0E0A556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p>
        </w:tc>
        <w:tc>
          <w:tcPr>
            <w:tcW w:w="750" w:type="dxa"/>
            <w:noWrap w:val="0"/>
            <w:vAlign w:val="center"/>
          </w:tcPr>
          <w:p w14:paraId="264FBBB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个</w:t>
            </w:r>
          </w:p>
        </w:tc>
      </w:tr>
      <w:tr w14:paraId="1D490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76A431B">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w:t>
            </w:r>
          </w:p>
        </w:tc>
        <w:tc>
          <w:tcPr>
            <w:tcW w:w="1378" w:type="dxa"/>
            <w:noWrap w:val="0"/>
            <w:vAlign w:val="center"/>
          </w:tcPr>
          <w:p w14:paraId="68392A9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高清手术示教系统</w:t>
            </w:r>
          </w:p>
        </w:tc>
        <w:tc>
          <w:tcPr>
            <w:tcW w:w="6154" w:type="dxa"/>
            <w:noWrap w:val="0"/>
            <w:vAlign w:val="center"/>
          </w:tcPr>
          <w:p w14:paraId="3348620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具有≥1/2.8英寸CMOS传感器，有效像素≥400万；全高清中置摄像系统，灯盘中置摄像位，摄像机位于灯头中心点，与照明区域一致，机身带操作按键，可不转动无影灯灯头情况下，画面可旋转机身支持控制面板，机身采用与控制按键一体化设计，机身按键支持镜头变倍、聚焦、模式切换、菜单显示、电源开关等一键操作。</w:t>
            </w:r>
          </w:p>
          <w:p w14:paraId="349A2EC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2.采用医用电气标准设计，电气和材料特性稳定可靠；支持在无影灯强光、日常室内光线等不同环境下使用。可录制开放手术及微创手术等。</w:t>
            </w:r>
          </w:p>
          <w:p w14:paraId="064A756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3.需支持RS485对相机进行辅助控制；支持通过机身电源按键进行开关机控制，可与投影仪对接，在100寸以上屏幕显示。</w:t>
            </w:r>
          </w:p>
          <w:p w14:paraId="7E0C6B3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4.支持远程控制，灵活接入，支持RS485通信接口，支持VISCA、PelcoP/D等通信协议，支持墙控、联调、数字化手术室远程控制，通过计算机或专业的手术室控制器进行控制。</w:t>
            </w:r>
          </w:p>
          <w:p w14:paraId="5338BCE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显示屏吊臂与无影灯同轴设计，独立旋转，避免平行安装产生的碰撞，传输线缆中央轴外走线设计，加装中央轴视频旋转套，线缆无外露，非轴内走线，避免因轴内空间线路缠绕和挤线的问题；中央轴与旋转臂采用双轴承设计，定位准确，稳定性好。</w:t>
            </w:r>
          </w:p>
          <w:p w14:paraId="493F8FA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6.自带≥22寸液晶显示屏，采用刻录与显示一体式设计，不占空间，支持鼠标、红外遥控器操作控制。</w:t>
            </w:r>
          </w:p>
          <w:p w14:paraId="118EB0E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7.支持3G-SDI高清视频输入接口，支持4路1080P高清网络视频接入预览和存储。</w:t>
            </w:r>
          </w:p>
          <w:p w14:paraId="21B3EBF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8.支持USB3.0接口，可实现音视频的录制和拷贝。</w:t>
            </w:r>
          </w:p>
          <w:p w14:paraId="345DC47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9.支持图像设置马赛克视频遮蔽功能。</w:t>
            </w:r>
          </w:p>
          <w:p w14:paraId="0985DCC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10.支持全屏、画中画、两画面、三画面、四画面、五画面等多种形式的显示和录制模式。</w:t>
            </w:r>
          </w:p>
          <w:p w14:paraId="57256BE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11.支持RS485通信接口，PEICO-P和PEICO-D等通信协议;实现PTZ控制。</w:t>
            </w:r>
          </w:p>
          <w:p w14:paraId="6A7B67C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12.支持机身一键录像，按键控制录像开启和停止。</w:t>
            </w:r>
          </w:p>
          <w:p w14:paraId="1FCCA8F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13.支持录像/图片文件检索、回放，支持录像循环覆盖；支持按关键字搜索，提高检索效率。</w:t>
            </w:r>
          </w:p>
          <w:p w14:paraId="1D37FD2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示教系统屏</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14.整机屏幕采用≥86英寸超高清LED液晶屏，显示比例16:9，屏幕分辨率≥3840*2160。</w:t>
            </w:r>
          </w:p>
          <w:p w14:paraId="7CD714DE">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15.整机尺寸宽度≥4200mm，高度≥1200mm。</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16.整机嵌入式系统版本支持包括但不限于信创系统，主频≥1.6GHz，内存≥2GB，存储空间≥32GB。</w:t>
            </w:r>
          </w:p>
          <w:p w14:paraId="5577B09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17.屏幕显示灰度分辨等级达到256灰阶以上，搭载国产化CPU。内存：≥8GBDDR4笔记本内存或以上配置。硬盘：≥256GBSSD固硬盘或以上配置。</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18.屏幕与屏幕保护层紧密贴合，减少显示面板与玻璃间的偏光、散射，画面显示更加清晰通透、可视角度更广。</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▲19.整机听力模式下具备AI人声语言增强功能，支持三档强弱调节。</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▲20.整机设备内置2.2声道扬声器，最大功率≥84W。</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21.整机内置语音助手，通过整机麦克风及智能笔以唤醒词调起语音助手，支持语音交互的方式调节整机音量、亮度，语音操控打开系统已安装应用。</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接口及按键</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22.整机具备≥2路前置双系统USB3.0接口。</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23.整机具备≥1路前置Type-C接口，方便学校扩展使用。</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24.电源键为三合一按键，可实现开机、关机、待机三种功能，方便老师操作设备。</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25.整机具备减滤蓝光功能，可通过前置物理功能按键一键启用减滤蓝光模式，有效减少蓝光对学生危害。</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▲26.整机内置非独立外扩展的8阵列麦克风，拾音角度达到150°。</w:t>
            </w:r>
          </w:p>
        </w:tc>
        <w:tc>
          <w:tcPr>
            <w:tcW w:w="701" w:type="dxa"/>
            <w:noWrap w:val="0"/>
            <w:vAlign w:val="center"/>
          </w:tcPr>
          <w:p w14:paraId="356F5496">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57A6ED98">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0768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B03F1E3">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13</w:t>
            </w:r>
          </w:p>
        </w:tc>
        <w:tc>
          <w:tcPr>
            <w:tcW w:w="1378" w:type="dxa"/>
            <w:noWrap w:val="0"/>
            <w:vAlign w:val="center"/>
          </w:tcPr>
          <w:p w14:paraId="5C28AAE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动物眼科显微镜</w:t>
            </w:r>
          </w:p>
        </w:tc>
        <w:tc>
          <w:tcPr>
            <w:tcW w:w="6154" w:type="dxa"/>
            <w:noWrap w:val="0"/>
            <w:vAlign w:val="center"/>
          </w:tcPr>
          <w:p w14:paraId="7AABD8BA">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1.镜体观察头：45°，物镜：F200，目镜：12.5X高眼点目镜，视场≥18mm。</w:t>
            </w:r>
          </w:p>
          <w:p w14:paraId="525236C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2.屈光度：-5D至+5D。</w:t>
            </w:r>
          </w:p>
          <w:p w14:paraId="271F27A5">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3.变倍体：五档变倍，0.4X、0.6X、1X、1.6X、2.5X。</w:t>
            </w:r>
          </w:p>
          <w:p w14:paraId="7C0CD52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4.总放大倍数：4X、6X、10X、16X、25X。</w:t>
            </w:r>
          </w:p>
          <w:p w14:paraId="6B55085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5.视场：≥56mm—9mm，瞳距：≥52mm—76mm，工作距：≥200mm。</w:t>
            </w:r>
          </w:p>
          <w:p w14:paraId="7F4D206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6.细微调焦：电动调焦，脚控行程60mm。</w:t>
            </w:r>
          </w:p>
          <w:p w14:paraId="0BFB169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7.照明类型：光学同轴照明光源LED。</w:t>
            </w:r>
          </w:p>
          <w:p w14:paraId="3EA1BDC9">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8.控制方式：连续调节强度≥15000Lx。</w:t>
            </w:r>
          </w:p>
          <w:p w14:paraId="3A5C0AC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9.滤光片：绿色。</w:t>
            </w:r>
          </w:p>
          <w:p w14:paraId="485F3F0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10.机架结构：平衡式结构，调节范围≥250mm。</w:t>
            </w:r>
          </w:p>
          <w:p w14:paraId="7FC9EEB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11.高清视频采集系统：解析度2K，感光尺寸1/1.9。</w:t>
            </w:r>
          </w:p>
          <w:p w14:paraId="382B35D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12.分辨率：≥1920*1080@60Hz。</w:t>
            </w:r>
          </w:p>
          <w:p w14:paraId="249303A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13.帧率：≥60帧/秒。</w:t>
            </w:r>
          </w:p>
          <w:p w14:paraId="3B5220F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14.接口：CS/C接口。</w:t>
            </w:r>
          </w:p>
          <w:p w14:paraId="5083BF6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15.输出接口：HDMI、USB、SD卡。</w:t>
            </w:r>
          </w:p>
          <w:p w14:paraId="460A10A6">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16.对焦方式：自动对焦、手动对焦、单次对焦、共轭对焦。</w:t>
            </w:r>
          </w:p>
          <w:p w14:paraId="1A20102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17.画质调节：曝光时间、增益、白平衡、伽马、对比度、饱和度、亮度、锐化、降噪。</w:t>
            </w:r>
          </w:p>
          <w:p w14:paraId="02D39E0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18.线功能：刻度尺、十字线、网格线，可移动、可调颜色、位置、粗细。</w:t>
            </w:r>
          </w:p>
          <w:p w14:paraId="7003A63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19.基本功能：镜像、冻结、四画面、放大、缩小、黑白、对比、拍照、预览、录像、测量、文字注释。</w:t>
            </w:r>
          </w:p>
          <w:p w14:paraId="102B456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20.测量功能：直线、折线、曲线、平行线、点线距、线段长、同心圆、半径定圆、两点定圆、三点定圆、多边形、坐标系。</w:t>
            </w:r>
          </w:p>
          <w:p w14:paraId="48B694E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21.配置清单(不低于)：显微镜主机、显微镜目镜、分光器、显微镜光源、高清视频采集系统、调焦脚踏、弹簧臂、显示器支架、显示器、显示器电源线、HDMI线、无线鼠标、SD数据卡、立柱底盘(含轮脚、防尘罩、安装工具、说明书、合格证、保修卡、2个备用保险丝。</w:t>
            </w:r>
          </w:p>
        </w:tc>
        <w:tc>
          <w:tcPr>
            <w:tcW w:w="701" w:type="dxa"/>
            <w:noWrap w:val="0"/>
            <w:vAlign w:val="center"/>
          </w:tcPr>
          <w:p w14:paraId="0DAE6632">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6D2E5075">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61019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52FFDE6">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14</w:t>
            </w:r>
          </w:p>
        </w:tc>
        <w:tc>
          <w:tcPr>
            <w:tcW w:w="1378" w:type="dxa"/>
            <w:noWrap w:val="0"/>
            <w:vAlign w:val="center"/>
          </w:tcPr>
          <w:p w14:paraId="52C8FCA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动物眼科器械</w:t>
            </w:r>
          </w:p>
        </w:tc>
        <w:tc>
          <w:tcPr>
            <w:tcW w:w="6154" w:type="dxa"/>
            <w:noWrap w:val="0"/>
            <w:vAlign w:val="center"/>
          </w:tcPr>
          <w:p w14:paraId="06BE80B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整套配置(不低于)：直有齿镊*2(105mm长扁平手柄)、直系线镊(115mm长扁平手柄)、尖头撕囊镊(108mm长圆手柄，弯臂角形尖头撕囊镊)、碎核钩(正面刃，直形Phacochopper碎核钩、劈核刀)、晶体调位钩(T型调位钩头部直径0.15mm)、晶体镊(圆头角型晶体镊)、维纳斯直剪(82mm长扁手柄，9.5mm直显微剪尖)、维纳斯弯剪(82mm长扁手柄，9.5mm弯显微剪尖)、弯头持针钳(115mm长圆手柄，弯头持针器)、角膜移植剪(116mm长圆手柄)、弯头囊膜剪(全长95mm，头端为弯尖，刃长10.5mm)、结膜剪(105mm长扁手柄，弯刀叶结膜剪)、角膜剪(116mm长圆手柄，弯刀叶角膜剪)、丝状开睑器×4(开睑部尺寸：6mm、8mm、10mm、13.5mm)、消毒盒(眼科硅胶消毒盒)。</w:t>
            </w:r>
          </w:p>
        </w:tc>
        <w:tc>
          <w:tcPr>
            <w:tcW w:w="701" w:type="dxa"/>
            <w:noWrap w:val="0"/>
            <w:vAlign w:val="center"/>
          </w:tcPr>
          <w:p w14:paraId="0F881B57">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w:t>
            </w:r>
          </w:p>
        </w:tc>
        <w:tc>
          <w:tcPr>
            <w:tcW w:w="750" w:type="dxa"/>
            <w:noWrap w:val="0"/>
            <w:vAlign w:val="center"/>
          </w:tcPr>
          <w:p w14:paraId="62F30313">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套</w:t>
            </w:r>
          </w:p>
        </w:tc>
      </w:tr>
      <w:tr w14:paraId="5462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CA2C917">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15</w:t>
            </w:r>
          </w:p>
        </w:tc>
        <w:tc>
          <w:tcPr>
            <w:tcW w:w="1378" w:type="dxa"/>
            <w:noWrap w:val="0"/>
            <w:vAlign w:val="center"/>
          </w:tcPr>
          <w:p w14:paraId="374ED5E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超声波清洗机</w:t>
            </w:r>
          </w:p>
        </w:tc>
        <w:tc>
          <w:tcPr>
            <w:tcW w:w="6154" w:type="dxa"/>
            <w:noWrap w:val="0"/>
            <w:vAlign w:val="center"/>
          </w:tcPr>
          <w:p w14:paraId="356B432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1.外形尺寸(约)：530mm×325mm×435mm，内槽尺寸≥500mm×300mm×200mm，容量≥30L。</w:t>
            </w:r>
          </w:p>
          <w:p w14:paraId="2B29330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2.超声频率≥40kHz，超声功率≤800W，可调范围40%—100%。</w:t>
            </w:r>
          </w:p>
          <w:p w14:paraId="6AF3DF1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3.加热功率≥800W，温度设定范围室温-80℃，定时范围1—480min。</w:t>
            </w:r>
          </w:p>
          <w:p w14:paraId="226743B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4.具备液位显示、保护功能，配置降音盖、网架、托架、手动给排水。</w:t>
            </w:r>
          </w:p>
          <w:p w14:paraId="3B9B9B7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5.主体材质304不锈钢，采用单片机控制。</w:t>
            </w:r>
          </w:p>
          <w:p w14:paraId="7788115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6.具备超温、超压、超电流、低水位保护功能，支持参数记忆。</w:t>
            </w:r>
          </w:p>
        </w:tc>
        <w:tc>
          <w:tcPr>
            <w:tcW w:w="701" w:type="dxa"/>
            <w:noWrap w:val="0"/>
            <w:vAlign w:val="center"/>
          </w:tcPr>
          <w:p w14:paraId="0D1004C9">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50" w:type="dxa"/>
            <w:noWrap w:val="0"/>
            <w:vAlign w:val="center"/>
          </w:tcPr>
          <w:p w14:paraId="26FB2E3C">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2BEDF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61A0F0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17</w:t>
            </w:r>
          </w:p>
        </w:tc>
        <w:tc>
          <w:tcPr>
            <w:tcW w:w="1378" w:type="dxa"/>
            <w:noWrap w:val="0"/>
            <w:vAlign w:val="center"/>
          </w:tcPr>
          <w:p w14:paraId="10B2ECD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生物显微镜</w:t>
            </w:r>
          </w:p>
        </w:tc>
        <w:tc>
          <w:tcPr>
            <w:tcW w:w="6154" w:type="dxa"/>
            <w:noWrap w:val="0"/>
            <w:vAlign w:val="center"/>
          </w:tcPr>
          <w:p w14:paraId="4890A9C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1.大视野目镜10×/18mm</w:t>
            </w:r>
            <w:r>
              <w:rPr>
                <w:rFonts w:hint="eastAsia" w:ascii="宋体" w:hAnsi="宋体" w:eastAsia="宋体" w:cs="宋体"/>
                <w:b w:val="0"/>
                <w:bCs/>
                <w:color w:val="000000" w:themeColor="text1"/>
                <w:kern w:val="0"/>
                <w:sz w:val="24"/>
                <w:szCs w:val="24"/>
                <w:highlight w:val="none"/>
                <w:u w:val="none"/>
                <w:lang w:val="en-US" w:eastAsia="zh-CN"/>
                <w14:textFill>
                  <w14:solidFill>
                    <w14:schemeClr w14:val="tx1"/>
                  </w14:solidFill>
                </w14:textFill>
              </w:rPr>
              <w:t>。</w:t>
            </w:r>
          </w:p>
          <w:p w14:paraId="00EF1B3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2、镜筒：铰链式三目镜筒，30°倾斜，瞳距调节范围45mm—75mm，可提升眼点高度，支持不同身高用户都能舒适使用。</w:t>
            </w:r>
          </w:p>
          <w:p w14:paraId="3784861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3.N.A.1.25阿贝聚光镜，带可变光栏及滤色片托架。</w:t>
            </w:r>
          </w:p>
          <w:p w14:paraId="043C16B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4.转换器：内倾四孔转换器，增加载物台可操作面积。</w:t>
            </w:r>
          </w:p>
          <w:p w14:paraId="1F2A2154">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5.4X物镜成像圆直径≥14.5mm。</w:t>
            </w:r>
          </w:p>
          <w:p w14:paraId="6A184120">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6.10X物镜成像圆直径≥14.5mm；</w:t>
            </w:r>
          </w:p>
          <w:p w14:paraId="2E05C1BC">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7.40X(弹簧)物镜成像圆直径≥14.0mm。</w:t>
            </w:r>
          </w:p>
          <w:p w14:paraId="6F639833">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8.100X物镜(弹簧、油)成像圆直径≥10.5mm。</w:t>
            </w:r>
          </w:p>
          <w:p w14:paraId="577E7F42">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9.照明：原装长寿命LED冷光源照明系统，寿命≥6万小时。</w:t>
            </w:r>
          </w:p>
          <w:p w14:paraId="53FF0B81">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10.载物台：机械移动载物台，面积≥130mm*130mm，移动范围≥75mm*40mm，上限位装置防挤压切片；焦距调节：粗微调同轴，带上限位扳手装置，微调最小读数值2um；</w:t>
            </w:r>
          </w:p>
          <w:p w14:paraId="03A7C75B">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11.配备≥9.7英寸屏幕，支持拍照，录像等。</w:t>
            </w:r>
          </w:p>
        </w:tc>
        <w:tc>
          <w:tcPr>
            <w:tcW w:w="701" w:type="dxa"/>
            <w:noWrap w:val="0"/>
            <w:vAlign w:val="center"/>
          </w:tcPr>
          <w:p w14:paraId="74C86F3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50" w:type="dxa"/>
            <w:noWrap w:val="0"/>
            <w:vAlign w:val="center"/>
          </w:tcPr>
          <w:p w14:paraId="1988A35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3F47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AB48CD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18</w:t>
            </w:r>
          </w:p>
        </w:tc>
        <w:tc>
          <w:tcPr>
            <w:tcW w:w="1378" w:type="dxa"/>
            <w:noWrap w:val="0"/>
            <w:vAlign w:val="center"/>
          </w:tcPr>
          <w:p w14:paraId="0F3521D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教师椅</w:t>
            </w:r>
          </w:p>
        </w:tc>
        <w:tc>
          <w:tcPr>
            <w:tcW w:w="6154" w:type="dxa"/>
            <w:noWrap w:val="0"/>
            <w:vAlign w:val="center"/>
          </w:tcPr>
          <w:p w14:paraId="39AB83CD">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1.椅背高度≥50cm，座垫宽度≥45cm，扶手高度≥22cm。</w:t>
            </w:r>
          </w:p>
          <w:p w14:paraId="3F31C5F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2.总高度≤95cm，总宽度≥45cm。</w:t>
            </w:r>
          </w:p>
          <w:p w14:paraId="71A6FCA8">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3.钢管弓形架，配置海绵、网布、腰托、可旋转头枕。</w:t>
            </w:r>
          </w:p>
        </w:tc>
        <w:tc>
          <w:tcPr>
            <w:tcW w:w="701" w:type="dxa"/>
            <w:noWrap w:val="0"/>
            <w:vAlign w:val="center"/>
          </w:tcPr>
          <w:p w14:paraId="0A5257E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50" w:type="dxa"/>
            <w:noWrap w:val="0"/>
            <w:vAlign w:val="center"/>
          </w:tcPr>
          <w:p w14:paraId="3397AE4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把</w:t>
            </w:r>
          </w:p>
        </w:tc>
      </w:tr>
      <w:tr w14:paraId="4D9D0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87" w:type="dxa"/>
            <w:noWrap w:val="0"/>
            <w:vAlign w:val="center"/>
          </w:tcPr>
          <w:p w14:paraId="622361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19</w:t>
            </w:r>
          </w:p>
        </w:tc>
        <w:tc>
          <w:tcPr>
            <w:tcW w:w="1378" w:type="dxa"/>
            <w:noWrap w:val="0"/>
            <w:vAlign w:val="center"/>
          </w:tcPr>
          <w:p w14:paraId="0FE8F7C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器械柜</w:t>
            </w:r>
          </w:p>
        </w:tc>
        <w:tc>
          <w:tcPr>
            <w:tcW w:w="6154" w:type="dxa"/>
            <w:noWrap w:val="0"/>
            <w:vAlign w:val="center"/>
          </w:tcPr>
          <w:p w14:paraId="11668D47">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全304不锈钢，规格≥900mm*300mm*300mm，上下双层，带抽屉</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tc>
        <w:tc>
          <w:tcPr>
            <w:tcW w:w="701" w:type="dxa"/>
            <w:noWrap w:val="0"/>
            <w:vAlign w:val="center"/>
          </w:tcPr>
          <w:p w14:paraId="40535F1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p>
        </w:tc>
        <w:tc>
          <w:tcPr>
            <w:tcW w:w="750" w:type="dxa"/>
            <w:noWrap w:val="0"/>
            <w:vAlign w:val="center"/>
          </w:tcPr>
          <w:p w14:paraId="07BD574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4A04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3C945F8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20</w:t>
            </w:r>
          </w:p>
        </w:tc>
        <w:tc>
          <w:tcPr>
            <w:tcW w:w="1378" w:type="dxa"/>
            <w:noWrap w:val="0"/>
            <w:vAlign w:val="center"/>
          </w:tcPr>
          <w:p w14:paraId="2148808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功能区标准化改造</w:t>
            </w:r>
          </w:p>
        </w:tc>
        <w:tc>
          <w:tcPr>
            <w:tcW w:w="6154" w:type="dxa"/>
            <w:noWrap w:val="0"/>
            <w:vAlign w:val="center"/>
          </w:tcPr>
          <w:p w14:paraId="1A0FBEE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墙体拆除</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拆除</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实训楼指定</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房间间墙及非承重隔墙，打通形成</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约1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20㎡整体空间，拆除垃圾全部装袋并清运，拆除过程需保护原有结构梁、柱及水电管线，避免破坏主体结构。</w:t>
            </w:r>
          </w:p>
          <w:p w14:paraId="5D80D7C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2.电改部分</w:t>
            </w:r>
          </w:p>
          <w:p w14:paraId="6A7AFF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强电系统</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总配电负荷单手术实验室配电总负荷≥30kW，采用三相五线制供电，电压AC380V/220V，50Hz，接地形式为TN-S系统，接地电阻≤4Ω。满足多台高功率手术设备同时运行。</w:t>
            </w:r>
          </w:p>
          <w:p w14:paraId="483233FE">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2.2配电箱配置：</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箱体：采用医用级IP55防护等级配电箱，冷轧钢板材质，厚度≥1.5mm，表面静电喷塑。</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保护装置：主回路配置漏电保护器(动作电流≤30mA，动作时间≤0.1s)，各分路配置独立空气开关，分路标识清晰。</w:t>
            </w:r>
          </w:p>
          <w:p w14:paraId="5A0D85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3.吊顶上线路敷设：</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主供电回路：采用BVV6mm²铜芯阻燃线缆，单台吊塔专用回路≥4mm²铜芯阻燃线缆，备用回路：预留≥2路备用回路，线缆规格≥4mm²，满足后续新增设备扩展需求。</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吊顶内线缆全部穿镀锌金属线管敷设，线管壁厚≥1.2mm，接头处采用专用锁母连接，做好跨接接地，接地电阻≤4Ω。</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③</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固定与间距：线管采用专用管卡固定，间距≤1.5m，转弯处采用弯头连接，不得使用软管直接敷设，线管走向清晰。</w:t>
            </w:r>
          </w:p>
          <w:p w14:paraId="3B415D8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4.吊塔电源接口改造：</w:t>
            </w:r>
          </w:p>
          <w:p w14:paraId="4F36DF0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4.1吊塔电源预留位数量：每台手术吊塔预留≥6路医用级电源接口，含呼吸机、麻醉机、心电监护仪专用回路，以及2路备用回路。</w:t>
            </w:r>
          </w:p>
          <w:p w14:paraId="4A271CF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4.2安装位置：电源接口需集成于吊塔终端模块，接口高度与吊塔操作面板齐平，预留线缆长度≥1.5m，满足吊塔旋转、升降操作需求。</w:t>
            </w:r>
          </w:p>
          <w:p w14:paraId="24D7335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4.3接口类型：采用医用防脱落插座(国标10A/16A通用)，带防水防尘盖。</w:t>
            </w:r>
          </w:p>
          <w:p w14:paraId="08129E7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4.4接地保护：吊塔金属外壳需单独设置保护接地线，与总接地系统可靠连接，接地电阻≤4Ω，防止静电、漏电风险。</w:t>
            </w:r>
          </w:p>
          <w:p w14:paraId="59705E7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5.回路与安全保护：分路供电设计，专用回路：呼吸机、麻醉机、心电监护仪各设备均设置独立供电回路，不得共用回路，避免设备间干扰。</w:t>
            </w:r>
          </w:p>
          <w:p w14:paraId="311516B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6.水改部分：</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实验区设置</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多</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组PPR供水点</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上下</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水：采用耐酸碱UPVC排水管，设置实验室专用地漏</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带水封防臭</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，污水需经酸碱中和池预处理后接入校园污水管网</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20ABC45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7.地改部分：</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地面工程铺设2mm厚同质透心PVC地板表面耐磨转数≥10000转，接缝采用热焊处理，无缝隙，地面整体平整度误差≤2mm/2m。</w:t>
            </w:r>
          </w:p>
          <w:p w14:paraId="6E26D14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8.吊顶部分</w:t>
            </w:r>
          </w:p>
          <w:p w14:paraId="7456987B">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8.1</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吊顶主材材质：采用</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50mm厚机制岩棉净化彩钢板吊顶，双面</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0.4mm优质镀锌彩涂钢板，芯材A级防火岩棉，适用于医用无菌手术室环境。</w:t>
            </w:r>
          </w:p>
          <w:p w14:paraId="7E9F5B2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8.2</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吊顶骨架结构：</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采用国标轻钢龙骨吊顶体系，主龙骨副龙骨间距≤600mm，吊杆通丝间距≤900mm，承重牢固，可承载通风设备、消毒灯具、手术吊塔荷载，整体承重满足手术室设备悬挂要求。</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吊顶高度与预留配置手术室吊顶完成面高度2.8m—3.0m，按现场布局预留手术吊塔专用穿线孔，孔径标准适配医用吊塔上下走线。</w:t>
            </w:r>
          </w:p>
          <w:p w14:paraId="43E8E1A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9.照明部分：</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手术室专用嵌入式洁净照明灯：吊顶配套一体安装洁净平板灯，高显指Ra≥90，光线柔和不刺眼，手术区域照度充足，无频闪、无蓝光，满足动物精细手术照明需求。</w:t>
            </w:r>
          </w:p>
          <w:p w14:paraId="54A1409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10.通风与控制部分：</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吊顶内集成手术室专用机械通风+排风净化系统，采用顶送侧排气流模式，形成洁净气流循环，有效排出手术异味、麻醉废气。</w:t>
            </w:r>
          </w:p>
          <w:p w14:paraId="741A692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11.实验台安装部分(约15米边台，具体数量以学校根据场地大小要求为准)</w:t>
            </w:r>
          </w:p>
          <w:p w14:paraId="66D3F96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11.1柜体可采用≥1.0mm厚钢板一次性折弯成型，气体保护焊接，表面经环氧树脂粉末静电喷涂，高温固化处理。</w:t>
            </w:r>
          </w:p>
          <w:p w14:paraId="5C70538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11.2结构整体为拆装式结构分为多个单元独立柜体，外盖式结构面板，门板抽面均为双层结构，柜体上部分为抽屉，下部分为柜门。柜体内部预留层板孔，支持可配置一块可调节活动层板。</w:t>
            </w:r>
          </w:p>
          <w:p w14:paraId="14207B4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11.3独立柜体，双柜尺寸(约)1000mm、975mm、900mm、800mm。单柜尺寸(约)：500mm、450mm、400mm支持可搭配空位，键盘位，单抽位等，整体颜色为灰白色，与面板一体折弯成型一字拉手。</w:t>
            </w:r>
          </w:p>
          <w:p w14:paraId="01B1A25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11.4滑轨选用三节滚珠静音滑轨，耐用、顺滑、承重性好。铰链选用弯弹簧铰链，经久耐用不生锈。地脚≥8mm螺杆尼龙塑料底座承重及防腐蚀防水性强。</w:t>
            </w:r>
          </w:p>
          <w:p w14:paraId="7CD8494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11.5台面部分:</w:t>
            </w:r>
          </w:p>
          <w:p w14:paraId="2EE7E47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台面：采用20mm厚实验室专用陶瓷台面，陶瓷台面经高温长时间煅烧而成，釉面和坯体结合后不脱落、不脱层，耐磨、耐强腐蚀。黑色坯体可避免台面侧面因二次低温上釉脱落现象的发生。(提供检测报告)</w:t>
            </w:r>
          </w:p>
          <w:p w14:paraId="52705D65">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▲②</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工艺要求：参照T/CIQA10-2020附录D标准，表面为釉面烧成颜色，无空洞，无直径2mm以上气泡，无杂色，为一体实芯坯体，样品釉面与坯体之间无脱层，釉面与坯体呈一体，釉面为烧成颜色(非坯体颜色)。(提供检测报告)</w:t>
            </w:r>
          </w:p>
          <w:p w14:paraId="45EB630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▲③</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表面耐污染性：参照检测依据GB/T17657-2022检测标准，至少包含有：乳酸90%、硫氰酸钾饱和溶液、丙烯酸99%、四氯化碳(纯品)、四氢呋喃99%、异丙醇99%、甲醇99%、次甲基蓝(亚甲基蓝)饱和溶液、草酸饱和溶液、氢氧化钠饱和溶液、甲醛40%、英雄红墨水、氢氧化钾饱和溶液、乙酰丙酮99%、高氯酸钾饱和溶液、硫酸98%、三氯甲烷99%、硝酸68%、盐酸38%等≥20种化学试剂，检测结果为5级(无明显变化)。(提供检测报告)</w:t>
            </w:r>
          </w:p>
          <w:p w14:paraId="22ECF19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▲④</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抗冲击性：参照检测依据GB/T3810.5-2016检测标准，提供抗冲击性检测报告，结果≥0.8。(提供检测报告)</w:t>
            </w:r>
          </w:p>
          <w:p w14:paraId="69AD11F9">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⑤耐高温：参照检测依据T/CIQA10-2020附录G检测标准，提供陶瓷台面表面耐高温检测证明，要求检测温度≥1000度，高温测试后表面无开裂无变色。(提供检测报告)</w:t>
            </w:r>
          </w:p>
          <w:p w14:paraId="603E93B4">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⑥承载测试：参照检测依据T/CIQA10-2020附录A检测标准：施加重量≥1200kg荷载;保载时间≥1000h,加载面积为900mm×650mm,检测结果样品未被破坏。(提供检测报告)</w:t>
            </w:r>
          </w:p>
          <w:p w14:paraId="2710E737">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安全与配套设施：</w:t>
            </w:r>
          </w:p>
          <w:p w14:paraId="4DEA612F">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13.1</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配备生物安全防护设施：消毒灯≥4组(30W/组，每10㎡1组)</w:t>
            </w:r>
          </w:p>
          <w:p w14:paraId="7AFAB5A2">
            <w:pPr>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13.2储物空间配套：配套吊柜储物空间，柜面为相关宠物动画风格。</w:t>
            </w:r>
          </w:p>
          <w:p w14:paraId="17BEA4AD">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13.文化建设：整体设计贴合宠物医疗、动物诊疗行业VI体系，风格统一、板式规整、配色专业，无花哨设计，适配校园整体文化风格，内容符合最新《动物诊疗管理办法》《生物安全管理规范》《高职院校实训室建设标准》。</w:t>
            </w:r>
          </w:p>
          <w:p w14:paraId="2689298B">
            <w:pPr>
              <w:jc w:val="left"/>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14.施工要求：</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中标人需在合同签订前提供效果图深化方案，明确吊塔、无影灯、手术床、呼吸麻醉机、心电监护仪，内窥镜，腹腔镜、手术示教系统具体布局与联动效果，经校方确认后方可施工。(提供承诺函）</w:t>
            </w:r>
          </w:p>
        </w:tc>
        <w:tc>
          <w:tcPr>
            <w:tcW w:w="701" w:type="dxa"/>
            <w:noWrap w:val="0"/>
            <w:vAlign w:val="center"/>
          </w:tcPr>
          <w:p w14:paraId="5AE13BD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50" w:type="dxa"/>
            <w:noWrap w:val="0"/>
            <w:vAlign w:val="center"/>
          </w:tcPr>
          <w:p w14:paraId="0B0F898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项</w:t>
            </w:r>
          </w:p>
        </w:tc>
      </w:tr>
      <w:tr w14:paraId="7E12B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70" w:type="dxa"/>
            <w:gridSpan w:val="5"/>
            <w:noWrap w:val="0"/>
            <w:vAlign w:val="center"/>
          </w:tcPr>
          <w:p w14:paraId="3346E3C0">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说明：1.带“★”号的参数和带“▲”号参数均应以技术参数中要求的形式(如技术参数中无形式要求的，可提供不限于原厂印刷的产品说明书、制造商官方网站截图、第三方机构检验报告、带标识(说明)的功能截图等任意形式)提供相应的证明材料。任意一条带“★”号的参数未响应或者不满足的，将按无效响应处理。任意一条带“▲”号参数未响应或者不满足的，将按相应的扣分处理。</w:t>
            </w:r>
          </w:p>
          <w:p w14:paraId="60DDA566">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2.以上技术参数中“支持...；具备...；配备...”等描述，为已具备的功能要求，且后期使用费用包含在响应(投标)报价中。成交后，中标人不允许以任何形式就以上</w:t>
            </w:r>
            <w:r>
              <w:rPr>
                <w:rFonts w:hint="eastAsia" w:ascii="宋体" w:hAnsi="宋体" w:eastAsia="宋体" w:cs="宋体"/>
                <w:b w:val="0"/>
                <w:bCs w:val="0"/>
                <w:color w:val="000000" w:themeColor="text1"/>
                <w:sz w:val="21"/>
                <w:szCs w:val="21"/>
                <w:highlight w:val="none"/>
                <w:lang w:val="en-CA"/>
                <w14:textFill>
                  <w14:solidFill>
                    <w14:schemeClr w14:val="tx1"/>
                  </w14:solidFill>
                </w14:textFill>
              </w:rPr>
              <w:t>已具备的功能</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向采购人收取费用，一律按虚假应标处理，由中标人承担因此产生的一切后果和责任。</w:t>
            </w:r>
          </w:p>
        </w:tc>
      </w:tr>
    </w:tbl>
    <w:p w14:paraId="5709B841">
      <w:pPr>
        <w:keepNext w:val="0"/>
        <w:keepLines w:val="0"/>
        <w:pageBreakBefore w:val="0"/>
        <w:widowControl/>
        <w:kinsoku w:val="0"/>
        <w:wordWrap/>
        <w:overflowPunct/>
        <w:topLinePunct w:val="0"/>
        <w:autoSpaceDE w:val="0"/>
        <w:autoSpaceDN w:val="0"/>
        <w:bidi w:val="0"/>
        <w:adjustRightInd w:val="0"/>
        <w:snapToGrid w:val="0"/>
        <w:spacing w:line="240" w:lineRule="auto"/>
        <w:ind w:firstLine="2772" w:firstLineChars="1100"/>
        <w:jc w:val="both"/>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p>
    <w:p w14:paraId="505E1F51">
      <w:pP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page"/>
      </w:r>
    </w:p>
    <w:p w14:paraId="33667398">
      <w:pPr>
        <w:keepNext w:val="0"/>
        <w:keepLines w:val="0"/>
        <w:pageBreakBefore w:val="0"/>
        <w:widowControl/>
        <w:kinsoku w:val="0"/>
        <w:wordWrap/>
        <w:overflowPunct/>
        <w:topLinePunct w:val="0"/>
        <w:autoSpaceDE w:val="0"/>
        <w:autoSpaceDN w:val="0"/>
        <w:bidi w:val="0"/>
        <w:adjustRightInd w:val="0"/>
        <w:snapToGrid w:val="0"/>
        <w:spacing w:line="240" w:lineRule="auto"/>
        <w:ind w:firstLine="2772" w:firstLineChars="1100"/>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采购包2</w:t>
      </w:r>
      <w:r>
        <w:rPr>
          <w:rFonts w:hint="eastAsia" w:ascii="宋体" w:hAnsi="宋体" w:eastAsia="宋体" w:cs="宋体"/>
          <w:b w:val="0"/>
          <w:bCs/>
          <w:color w:val="000000" w:themeColor="text1"/>
          <w:spacing w:val="6"/>
          <w:sz w:val="24"/>
          <w:szCs w:val="24"/>
          <w:highlight w:val="none"/>
          <w14:textFill>
            <w14:solidFill>
              <w14:schemeClr w14:val="tx1"/>
            </w14:solidFill>
          </w14:textFill>
        </w:rPr>
        <w:t>宠物临床综合实训室采购需求清单</w:t>
      </w:r>
    </w:p>
    <w:tbl>
      <w:tblPr>
        <w:tblStyle w:val="5"/>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14"/>
        <w:gridCol w:w="6074"/>
        <w:gridCol w:w="735"/>
        <w:gridCol w:w="718"/>
      </w:tblGrid>
      <w:tr w14:paraId="4983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87" w:type="dxa"/>
            <w:noWrap w:val="0"/>
            <w:vAlign w:val="center"/>
          </w:tcPr>
          <w:p w14:paraId="104EFB1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序号</w:t>
            </w:r>
          </w:p>
        </w:tc>
        <w:tc>
          <w:tcPr>
            <w:tcW w:w="1314" w:type="dxa"/>
            <w:noWrap w:val="0"/>
            <w:vAlign w:val="center"/>
          </w:tcPr>
          <w:p w14:paraId="5AEFE4C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设备名称</w:t>
            </w:r>
          </w:p>
        </w:tc>
        <w:tc>
          <w:tcPr>
            <w:tcW w:w="6074" w:type="dxa"/>
            <w:noWrap w:val="0"/>
            <w:vAlign w:val="center"/>
          </w:tcPr>
          <w:p w14:paraId="7E87E69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技术参数</w:t>
            </w:r>
          </w:p>
        </w:tc>
        <w:tc>
          <w:tcPr>
            <w:tcW w:w="735" w:type="dxa"/>
            <w:noWrap w:val="0"/>
            <w:vAlign w:val="center"/>
          </w:tcPr>
          <w:p w14:paraId="009D1AD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数量</w:t>
            </w:r>
          </w:p>
        </w:tc>
        <w:tc>
          <w:tcPr>
            <w:tcW w:w="718" w:type="dxa"/>
            <w:noWrap w:val="0"/>
            <w:vAlign w:val="center"/>
          </w:tcPr>
          <w:p w14:paraId="2753265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单位</w:t>
            </w:r>
          </w:p>
        </w:tc>
      </w:tr>
      <w:tr w14:paraId="56477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5184F5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1314" w:type="dxa"/>
            <w:noWrap w:val="0"/>
            <w:vAlign w:val="center"/>
          </w:tcPr>
          <w:p w14:paraId="08D5683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动物B超仪</w:t>
            </w:r>
          </w:p>
          <w:p w14:paraId="1AC6043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核心产品</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6074" w:type="dxa"/>
            <w:noWrap w:val="0"/>
            <w:vAlign w:val="center"/>
          </w:tcPr>
          <w:p w14:paraId="304E3FBD">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★1.≥21英寸LED液晶监视器，≥13英寸LED触摸屏。</w:t>
            </w:r>
          </w:p>
          <w:p w14:paraId="32F17DE0">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★2.1-25MHz的高频系统平台，支持高达18MHz的探头。</w:t>
            </w:r>
          </w:p>
          <w:p w14:paraId="5CD9A16D">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3.RF平台和RF元数据处理系统：</w:t>
            </w: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①</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数字化二维灰阶成像单元、数字化彩色多普勒单元、数字化频谱多普勒显示和分析单元。</w:t>
            </w:r>
          </w:p>
          <w:p w14:paraId="6E6CB50F">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②</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数字化能量血流成像单元、全数字式波束形成器、具备扫描增益补偿B模式/CFM/PWD模式分别独立角度偏转功能系统动态范围≥180dB，2dB逐级调节，数值明确显示。③具备组织多普勒、组织速度成像、组织速度M型功能具备全方位M型功能。</w:t>
            </w:r>
          </w:p>
          <w:p w14:paraId="09A2B151">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4.彩色M型模式具有组织多普勒成像和分析技术，可显示心肌组织运动情况，可以测量心肌组织的运动速度。</w:t>
            </w:r>
          </w:p>
          <w:p w14:paraId="012238CB">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具有多模态多普勒成像和分析技术，可同一时间测量心肌组织的运动速度和血流速度，可通过图像斑点捕捉包括左心室，左心房，右心室结构的心肌运动，自动追踪心肌组织，采集心肌组织运动的速度，收缩应变率等数据，进行量化谱线分析。</w:t>
            </w:r>
          </w:p>
          <w:p w14:paraId="296483CE">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▲6.支持跟踪对比技术，支持将既往图像进行同屏对比显示，全屏放大显示功能和Zoom局部放大功能，具备一键自动优化。</w:t>
            </w:r>
          </w:p>
          <w:p w14:paraId="64BB1AF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7.造影成像和造影定量分析功能(支持选配)。梯形成像、凸型扩展功能(支持腹部、线阵、相控阵探头)，具备触屏简捷操作模式，切换探头时间≤2秒。</w:t>
            </w:r>
          </w:p>
          <w:p w14:paraId="3C4398CD">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8.测量和分析：(B型、M型、频谱多普勒、彩色模式)一般测量;妇、产科测量包\心脏功能测量包\血管测量包\泌尿科测量与分析\肾脏测量包\容积测量包\多普勒血流测量与分析\自动多普勒血流测量与分析。</w:t>
            </w:r>
          </w:p>
          <w:p w14:paraId="6479B304">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★9.宠物心脏内置回归公式可明确不同体型宠物测量时的正常范围，根据测量值自动推算可能出现疾病的辅助诊断系统。</w:t>
            </w:r>
          </w:p>
          <w:p w14:paraId="1AC7AF0B">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▲10.AI智能测量：支持多模式(包含二维，M模式，频谱模式)硬盘≥500GB,智能测量心脏相关数据。(提供图片证明)</w:t>
            </w:r>
          </w:p>
          <w:p w14:paraId="2F033CBF">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11.一体化原始数据的简帖版可以存储和回放动态及静态图像以往图像与当前图像同屏对比显示,≥4个USB接口，支持一键快速将图像存储至USB、硬盘。支持将图像储存到移动硬盘或者其他USB装置。</w:t>
            </w:r>
          </w:p>
          <w:p w14:paraId="751DEC5B">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12.客户报告系统技术参数及要求：</w:t>
            </w:r>
          </w:p>
          <w:p w14:paraId="6E41CB69">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▲12.1电容操作触摸屏扫描方式：逐行扫描，高分辨率，全方位关节臂旋转。</w:t>
            </w:r>
          </w:p>
          <w:p w14:paraId="5FF67BA7">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12.2探头接口：≥4个，均可互换；且探头兼容便携式超声设备。探头规格频率：宽频带或变频探头，所有探头及所有模式有明确的工作频率显示，实现二维、彩色、多普勒频率独立可调，变频探头基波中心频率可选择≥4种，多普勒可选不同频率。</w:t>
            </w:r>
          </w:p>
          <w:p w14:paraId="360D781A">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▲12.3</w:t>
            </w:r>
            <w:r>
              <w:rPr>
                <w:rFonts w:hint="eastAsia" w:ascii="宋体" w:hAnsi="宋体" w:eastAsia="宋体" w:cs="宋体"/>
                <w:b w:val="0"/>
                <w:bCs/>
                <w:color w:val="000000" w:themeColor="text1"/>
                <w:sz w:val="24"/>
                <w:szCs w:val="24"/>
                <w:highlight w:val="none"/>
                <w:vertAlign w:val="baseline"/>
                <w:lang w:val="zh-CN" w:eastAsia="zh-CN"/>
                <w14:textFill>
                  <w14:solidFill>
                    <w14:schemeClr w14:val="tx1"/>
                  </w14:solidFill>
                </w14:textFill>
              </w:rPr>
              <w:t>工作范围：频率范围可在1</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val="zh-CN" w:eastAsia="zh-CN"/>
                <w14:textFill>
                  <w14:solidFill>
                    <w14:schemeClr w14:val="tx1"/>
                  </w14:solidFill>
                </w14:textFill>
              </w:rPr>
              <w:t>18</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MHz</w:t>
            </w:r>
            <w:r>
              <w:rPr>
                <w:rFonts w:hint="eastAsia" w:ascii="宋体" w:hAnsi="宋体" w:eastAsia="宋体" w:cs="宋体"/>
                <w:b w:val="0"/>
                <w:bCs/>
                <w:color w:val="000000" w:themeColor="text1"/>
                <w:sz w:val="24"/>
                <w:szCs w:val="24"/>
                <w:highlight w:val="none"/>
                <w:vertAlign w:val="baseline"/>
                <w:lang w:val="zh-CN" w:eastAsia="zh-CN"/>
                <w14:textFill>
                  <w14:solidFill>
                    <w14:schemeClr w14:val="tx1"/>
                  </w14:solidFill>
                </w14:textFill>
              </w:rPr>
              <w:t>之间选择，可在屏幕上显示。</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相控阵：B/PWD/CF或B/CWD/CF；线阵：B/PWD/CF；凸阵：B/PWD/CF二维灰阶显像主要参数。</w:t>
            </w:r>
          </w:p>
          <w:p w14:paraId="53052FD4">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12.4扫描频率：电子凸阵：超声频率3.0—9.0MHz电子线阵：超声频率6.0—16.0MHz电子中高频相控阵：超声频率3.0—10.0MHz电子超高频相控阵：超声频率4.0—12.0MHz。</w:t>
            </w:r>
          </w:p>
          <w:p w14:paraId="65448ED0">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▲12.5回放重现：灰阶图像回放≥10000幅、回放时间≥1500秒。(提供图片)</w:t>
            </w:r>
            <w:r>
              <w:rPr>
                <w:rStyle w:val="7"/>
                <w:rFonts w:hint="eastAsia" w:ascii="宋体" w:hAnsi="宋体" w:eastAsia="宋体" w:cs="宋体"/>
                <w:b w:val="0"/>
                <w:bCs/>
                <w:i w:val="0"/>
                <w:iCs w:val="0"/>
                <w:caps w:val="0"/>
                <w:color w:val="000000" w:themeColor="text1"/>
                <w:spacing w:val="0"/>
                <w:sz w:val="24"/>
                <w:szCs w:val="24"/>
                <w:highlight w:val="none"/>
                <w:shd w:val="clear" w:color="auto" w:fill="FFFFFF"/>
                <w14:textFill>
                  <w14:solidFill>
                    <w14:schemeClr w14:val="tx1"/>
                  </w14:solidFill>
                </w14:textFill>
              </w:rPr>
              <w:t> </w:t>
            </w:r>
          </w:p>
          <w:p w14:paraId="0CC3B222">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①预设条件：针对不同的检查脏器，预置最佳化图像的检查条件，减少操作时的调节，以及常用所需的外部调节及组合调节。</w:t>
            </w:r>
          </w:p>
          <w:p w14:paraId="0F2D6F7C">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★12.6包含：高频心脏探头、中频心脏探头、凸阵探头(腹部)、线阵探头(血管，肠道，浅表器官，淋巴结)。</w:t>
            </w:r>
          </w:p>
        </w:tc>
        <w:tc>
          <w:tcPr>
            <w:tcW w:w="735" w:type="dxa"/>
            <w:noWrap w:val="0"/>
            <w:vAlign w:val="center"/>
          </w:tcPr>
          <w:p w14:paraId="62AFE4E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6E7D08B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74AB1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2A1C23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1314" w:type="dxa"/>
            <w:noWrap w:val="0"/>
            <w:vAlign w:val="center"/>
          </w:tcPr>
          <w:p w14:paraId="7FC7F93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动物血细胞分析仪</w:t>
            </w:r>
          </w:p>
        </w:tc>
        <w:tc>
          <w:tcPr>
            <w:tcW w:w="6074" w:type="dxa"/>
            <w:noWrap w:val="0"/>
            <w:vAlign w:val="center"/>
          </w:tcPr>
          <w:p w14:paraId="754C0846">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检测项目与参数(≥40项)CBC+DIFF：WBC、RBC、HGB、HCT、MCV、MCH、MCHC、PLT、MPV、PDW、PCT、RDW、HDW等白细胞5分类：中性粒、淋巴、单核、嗜酸、嗜碱(计数+百分比)红细胞7分类：正常红细胞、小红细胞、大红细胞、棘形、靶形、皱缩、破碎红细胞(AI形态识别)血小板3分类：正常、大血小板、聚集血小板扩展：有核红细胞(NRBC)、网织红细胞(RET)、异常细胞提示(幼稚/异型淋巴)。</w:t>
            </w:r>
          </w:p>
          <w:p w14:paraId="46E30AFF">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2.速度与样本</w:t>
            </w:r>
          </w:p>
          <w:p w14:paraId="675B007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2.1检测速度：≥60样本/小时(CBC+DIFF+AI形态)。</w:t>
            </w:r>
          </w:p>
          <w:p w14:paraId="0311FC0B">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2.2样本类型：EDTA-K₂抗凝静脉全血、末梢全血、预稀释。</w:t>
            </w:r>
          </w:p>
          <w:p w14:paraId="51E8BAB4">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2.3样本用量：全血≤20μL、预稀释≤25μL。</w:t>
            </w:r>
          </w:p>
          <w:p w14:paraId="28947AF9">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2.4进样方式：全自动进样、手动进样、急诊优先。</w:t>
            </w:r>
          </w:p>
          <w:p w14:paraId="56248A7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3.精度与线性</w:t>
            </w:r>
          </w:p>
          <w:p w14:paraId="30B75110">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3.1WBC：0.00–400.00×10⁹/L，CV≤2.0%，RBC：0.00–8.00×10¹²/L，CV≤1.5%，HGB：0–250g/L，CV≤1.5%。</w:t>
            </w:r>
          </w:p>
          <w:p w14:paraId="5C3BEE81">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3.2PLT：0–1000×10⁹/L，CV≤3.0%。</w:t>
            </w:r>
          </w:p>
          <w:p w14:paraId="1331D0C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3.3携带污染率：≤0.5%</w:t>
            </w:r>
          </w:p>
          <w:p w14:paraId="23913AB8">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4.AI形态学:AI细胞图像识别</w:t>
            </w:r>
          </w:p>
          <w:p w14:paraId="222DCA62">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 实时采集细胞图像，AI自动分类+形态判读</w:t>
            </w:r>
          </w:p>
          <w:p w14:paraId="3D9FFCA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4.2红细胞7类形态：AI自动标记异常形态，支持图像复核</w:t>
            </w:r>
          </w:p>
          <w:p w14:paraId="49804C51">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4.3血小板3类：区分聚集/大血小板，减少计数误差</w:t>
            </w:r>
          </w:p>
          <w:p w14:paraId="4783B98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4.4异常预警：幼稚细胞、异型淋巴、碎片红细胞自动提示</w:t>
            </w:r>
          </w:p>
          <w:p w14:paraId="7DEAD7D4">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4.5图像存储：每样本≥100张细胞图像，可追溯、可导出</w:t>
            </w:r>
          </w:p>
          <w:p w14:paraId="63AA40DE">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5.硬件与软件</w:t>
            </w:r>
          </w:p>
          <w:p w14:paraId="7749AE58">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5.1显示：≥10.1英寸彩色触摸屏，中文界面.</w:t>
            </w:r>
          </w:p>
          <w:p w14:paraId="52208F2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5.2存储：≥100,000组结果(含图像+直方图+散点图)。</w:t>
            </w:r>
          </w:p>
          <w:p w14:paraId="28203BE1">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5.3接口：USB、RS232、以太网，支持HL7、LIS系统对接。</w:t>
            </w:r>
          </w:p>
          <w:p w14:paraId="7511BB50">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5.4打印：内置热敏/外接A4，支持图文报告。</w:t>
            </w:r>
          </w:p>
          <w:p w14:paraId="449D3DD5">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5.5质控：支持全自动质控、多水平质控、质控图、失控报警。</w:t>
            </w:r>
          </w:p>
          <w:p w14:paraId="306F0AF8">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5.6校准：支持全自动校准、人工校准双模式。</w:t>
            </w:r>
          </w:p>
        </w:tc>
        <w:tc>
          <w:tcPr>
            <w:tcW w:w="735" w:type="dxa"/>
            <w:noWrap w:val="0"/>
            <w:vAlign w:val="center"/>
          </w:tcPr>
          <w:p w14:paraId="5223AF8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466AFB0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21E5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F24EA4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w:t>
            </w:r>
          </w:p>
        </w:tc>
        <w:tc>
          <w:tcPr>
            <w:tcW w:w="1314" w:type="dxa"/>
            <w:noWrap w:val="0"/>
            <w:vAlign w:val="center"/>
          </w:tcPr>
          <w:p w14:paraId="5D4A536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动物尿液分析仪</w:t>
            </w:r>
          </w:p>
        </w:tc>
        <w:tc>
          <w:tcPr>
            <w:tcW w:w="6074" w:type="dxa"/>
            <w:noWrap w:val="0"/>
            <w:vAlign w:val="center"/>
          </w:tcPr>
          <w:p w14:paraId="09B8EB6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1.测试速度:≥120次/小时(连续测试);≥40次/小时(常规测试)存储:2000个样本结果，重复性:测试结果变异系数(CV)≤1.0%。</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2.测试原理:冷光源反射测定原理。</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3.测试波长:525nm,635nm。</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4.测试项目(≥):微量白蛋白、肌酐、尿钙、抗坏血酸、葡萄糖、胆红素、酮体、比重、隐血、pH值、蛋白质、尿胆原、亚硝酸盐、白细胞、微量白蛋白肌酐比率。</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5.配套尿液分析试纸条</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-尿液11参数测试和15参数测试</w:t>
            </w:r>
          </w:p>
        </w:tc>
        <w:tc>
          <w:tcPr>
            <w:tcW w:w="735" w:type="dxa"/>
            <w:noWrap w:val="0"/>
            <w:vAlign w:val="center"/>
          </w:tcPr>
          <w:p w14:paraId="1248FA0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50483F3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433FC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5E9D0A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p>
        </w:tc>
        <w:tc>
          <w:tcPr>
            <w:tcW w:w="1314" w:type="dxa"/>
            <w:noWrap w:val="0"/>
            <w:vAlign w:val="center"/>
          </w:tcPr>
          <w:p w14:paraId="31EDA28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动物全自动生化分析仪</w:t>
            </w:r>
          </w:p>
        </w:tc>
        <w:tc>
          <w:tcPr>
            <w:tcW w:w="6074" w:type="dxa"/>
            <w:noWrap w:val="0"/>
            <w:vAlign w:val="center"/>
          </w:tcPr>
          <w:p w14:paraId="610D8FA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1.检测样本：全血、血浆、血清等。</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1.1样本量：≥90-120μL。</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1.2条码识读：二维码自动读取。</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1.3检测时间：≥8-12分钟/样本。</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1.4检测原理：吸收光谱比色法。</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2.分析方法：终点法、速率法、比浊法等。</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2.1温度：≥37℃±0.3℃。</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2.2吸光度范围：≥0-3.0Abs。</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2.3精密度：0.001Abs。</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3.分析仪质控：自检及检测过程中对分析仪各组件功能进行智能质控。</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4.工作环境：温度：10-30℃湿度：≤85%光源：高性能LED灯。</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5.光路系统：具备至少八段波长同步检测，波长范围覆盖340nm至800nm，必须包含340nm、405nm、450nm、546nm、600nm这几个核心检测波长。</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5.电源：AC220V,50Hz。</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6.额定功率：≥60VA.。</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7.操作界面：Linux</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≥8寸1024*768,多点电容触摸屏，支持中英文切换。</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8.存储量：≥50000个。</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br w:type="textWrapping"/>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9.打印机：内置热敏打印机。</w:t>
            </w:r>
          </w:p>
        </w:tc>
        <w:tc>
          <w:tcPr>
            <w:tcW w:w="735" w:type="dxa"/>
            <w:noWrap w:val="0"/>
            <w:vAlign w:val="center"/>
          </w:tcPr>
          <w:p w14:paraId="36EB992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4AD4EBC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7F3F9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5683E7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p>
        </w:tc>
        <w:tc>
          <w:tcPr>
            <w:tcW w:w="1314" w:type="dxa"/>
            <w:noWrap w:val="0"/>
            <w:vAlign w:val="center"/>
          </w:tcPr>
          <w:p w14:paraId="1225139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动物血气电解质免疫分析仪</w:t>
            </w:r>
          </w:p>
        </w:tc>
        <w:tc>
          <w:tcPr>
            <w:tcW w:w="6074" w:type="dxa"/>
            <w:noWrap w:val="0"/>
            <w:vAlign w:val="center"/>
          </w:tcPr>
          <w:p w14:paraId="1C50E57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一、血气电解质</w:t>
            </w:r>
          </w:p>
          <w:p w14:paraId="3F1CA7B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检测标本：动脉全血和静脉全血</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F34401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样本量：90-120μl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8975A9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条码识读：二维条码自动读取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9C72CA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检测原理：</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微电极</w:t>
            </w:r>
            <w:r>
              <w:rPr>
                <w:rFonts w:hint="eastAsia" w:ascii="宋体" w:hAnsi="宋体" w:eastAsia="宋体" w:cs="宋体"/>
                <w:b w:val="0"/>
                <w:bCs/>
                <w:color w:val="000000" w:themeColor="text1"/>
                <w:spacing w:val="6"/>
                <w:sz w:val="24"/>
                <w:szCs w:val="24"/>
                <w:highlight w:val="none"/>
                <w14:textFill>
                  <w14:solidFill>
                    <w14:schemeClr w14:val="tx1"/>
                  </w14:solidFill>
                </w14:textFill>
              </w:rPr>
              <w:t>电化学检测技术</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E35FB0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分析方法：电阻法、电流法和电导法</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360CED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交叉污染：0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8258CB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温控精度</w:t>
            </w:r>
            <w:r>
              <w:rPr>
                <w:rFonts w:hint="eastAsia" w:ascii="宋体" w:hAnsi="宋体" w:eastAsia="宋体" w:cs="宋体"/>
                <w:b w:val="0"/>
                <w:bCs/>
                <w:color w:val="000000" w:themeColor="text1"/>
                <w:spacing w:val="6"/>
                <w:sz w:val="24"/>
                <w:szCs w:val="24"/>
                <w:highlight w:val="none"/>
                <w14:textFill>
                  <w14:solidFill>
                    <w14:schemeClr w14:val="tx1"/>
                  </w14:solidFill>
                </w14:textFill>
              </w:rPr>
              <w:tab/>
            </w:r>
            <w:r>
              <w:rPr>
                <w:rFonts w:hint="eastAsia" w:ascii="宋体" w:hAnsi="宋体" w:eastAsia="宋体" w:cs="宋体"/>
                <w:b w:val="0"/>
                <w:bCs/>
                <w:color w:val="000000" w:themeColor="text1"/>
                <w:spacing w:val="6"/>
                <w:sz w:val="24"/>
                <w:szCs w:val="24"/>
                <w:highlight w:val="none"/>
                <w14:textFill>
                  <w14:solidFill>
                    <w14:schemeClr w14:val="tx1"/>
                  </w14:solidFill>
                </w14:textFill>
              </w:rPr>
              <w:t>37±0.3℃</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9D9CE4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二、荧光免疫</w:t>
            </w:r>
          </w:p>
          <w:p w14:paraId="3746068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14:textFill>
                  <w14:solidFill>
                    <w14:schemeClr w14:val="tx1"/>
                  </w14:solidFill>
                </w14:textFill>
              </w:rPr>
              <w:t>检测标本：全血、血清、血浆、腹水、粪便、眼口鼻拭子等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67C498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样本量：90-120μl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D01D9A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pacing w:val="6"/>
                <w:sz w:val="24"/>
                <w:szCs w:val="24"/>
                <w:highlight w:val="none"/>
                <w14:textFill>
                  <w14:solidFill>
                    <w14:schemeClr w14:val="tx1"/>
                  </w14:solidFill>
                </w14:textFill>
              </w:rPr>
              <w:t>条码识读：二维条码自动读取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E40EB9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pacing w:val="6"/>
                <w:sz w:val="24"/>
                <w:szCs w:val="24"/>
                <w:highlight w:val="none"/>
                <w14:textFill>
                  <w14:solidFill>
                    <w14:schemeClr w14:val="tx1"/>
                  </w14:solidFill>
                </w14:textFill>
              </w:rPr>
              <w:t>检测原理：荧光层析免疫技术</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42335F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12.</w:t>
            </w:r>
            <w:r>
              <w:rPr>
                <w:rFonts w:hint="eastAsia" w:ascii="宋体" w:hAnsi="宋体" w:eastAsia="宋体" w:cs="宋体"/>
                <w:b w:val="0"/>
                <w:bCs/>
                <w:color w:val="000000" w:themeColor="text1"/>
                <w:spacing w:val="6"/>
                <w:sz w:val="24"/>
                <w:szCs w:val="24"/>
                <w:highlight w:val="none"/>
                <w14:textFill>
                  <w14:solidFill>
                    <w14:schemeClr w14:val="tx1"/>
                  </w14:solidFill>
                </w14:textFill>
              </w:rPr>
              <w:t>分析方法：竞争法、夹心法等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162EF9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13.</w:t>
            </w:r>
            <w:r>
              <w:rPr>
                <w:rFonts w:hint="eastAsia" w:ascii="宋体" w:hAnsi="宋体" w:eastAsia="宋体" w:cs="宋体"/>
                <w:b w:val="0"/>
                <w:bCs/>
                <w:color w:val="000000" w:themeColor="text1"/>
                <w:spacing w:val="6"/>
                <w:sz w:val="24"/>
                <w:szCs w:val="24"/>
                <w:highlight w:val="none"/>
                <w14:textFill>
                  <w14:solidFill>
                    <w14:schemeClr w14:val="tx1"/>
                  </w14:solidFill>
                </w14:textFill>
              </w:rPr>
              <w:t>交叉污染：0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D155BC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14.</w:t>
            </w:r>
            <w:r>
              <w:rPr>
                <w:rFonts w:hint="eastAsia" w:ascii="宋体" w:hAnsi="宋体" w:eastAsia="宋体" w:cs="宋体"/>
                <w:b w:val="0"/>
                <w:bCs/>
                <w:color w:val="000000" w:themeColor="text1"/>
                <w:spacing w:val="6"/>
                <w:sz w:val="24"/>
                <w:szCs w:val="24"/>
                <w:highlight w:val="none"/>
                <w14:textFill>
                  <w14:solidFill>
                    <w14:schemeClr w14:val="tx1"/>
                  </w14:solidFill>
                </w14:textFill>
              </w:rPr>
              <w:t>测试通道：血气电解质通道、荧光免疫通道</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E630F0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15.</w:t>
            </w:r>
            <w:r>
              <w:rPr>
                <w:rFonts w:hint="eastAsia" w:ascii="宋体" w:hAnsi="宋体" w:eastAsia="宋体" w:cs="宋体"/>
                <w:b w:val="0"/>
                <w:bCs/>
                <w:color w:val="000000" w:themeColor="text1"/>
                <w:spacing w:val="6"/>
                <w:sz w:val="24"/>
                <w:szCs w:val="24"/>
                <w:highlight w:val="none"/>
                <w14:textFill>
                  <w14:solidFill>
                    <w14:schemeClr w14:val="tx1"/>
                  </w14:solidFill>
                </w14:textFill>
              </w:rPr>
              <w:t>额定功率：≥3</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VA</w:t>
            </w:r>
          </w:p>
          <w:p w14:paraId="74CF3C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16.</w:t>
            </w:r>
            <w:r>
              <w:rPr>
                <w:rFonts w:hint="eastAsia" w:ascii="宋体" w:hAnsi="宋体" w:eastAsia="宋体" w:cs="宋体"/>
                <w:b w:val="0"/>
                <w:bCs/>
                <w:color w:val="000000" w:themeColor="text1"/>
                <w:spacing w:val="6"/>
                <w:sz w:val="24"/>
                <w:szCs w:val="24"/>
                <w:highlight w:val="none"/>
                <w14:textFill>
                  <w14:solidFill>
                    <w14:schemeClr w14:val="tx1"/>
                  </w14:solidFill>
                </w14:textFill>
              </w:rPr>
              <w:t>操作界面：≥7.0寸800*480,IPS高清显示屏，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多种语言选择</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826AD2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pacing w:val="6"/>
                <w:sz w:val="24"/>
                <w:szCs w:val="24"/>
                <w:highlight w:val="none"/>
                <w14:textFill>
                  <w14:solidFill>
                    <w14:schemeClr w14:val="tx1"/>
                  </w14:solidFill>
                </w14:textFill>
              </w:rPr>
              <w:t>存储量：≥MAX50万个客户数据</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830C0A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18.</w:t>
            </w:r>
            <w:r>
              <w:rPr>
                <w:rFonts w:hint="eastAsia" w:ascii="宋体" w:hAnsi="宋体" w:eastAsia="宋体" w:cs="宋体"/>
                <w:b w:val="0"/>
                <w:bCs/>
                <w:color w:val="000000" w:themeColor="text1"/>
                <w:spacing w:val="6"/>
                <w:sz w:val="24"/>
                <w:szCs w:val="24"/>
                <w:highlight w:val="none"/>
                <w14:textFill>
                  <w14:solidFill>
                    <w14:schemeClr w14:val="tx1"/>
                  </w14:solidFill>
                </w14:textFill>
              </w:rPr>
              <w:t>打印机：内置热敏打印机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F272D8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pacing w:val="6"/>
                <w:sz w:val="24"/>
                <w:szCs w:val="24"/>
                <w:highlight w:val="none"/>
                <w14:textFill>
                  <w14:solidFill>
                    <w14:schemeClr w14:val="tx1"/>
                  </w14:solidFill>
                </w14:textFill>
              </w:rPr>
              <w:t>数据接口：≥4个USB接口；≥</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个网口</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1F59D8C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4D4F5EB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06A0D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A391BF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p>
        </w:tc>
        <w:tc>
          <w:tcPr>
            <w:tcW w:w="1314" w:type="dxa"/>
            <w:noWrap w:val="0"/>
            <w:vAlign w:val="center"/>
          </w:tcPr>
          <w:p w14:paraId="2937C8B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核酸提取仪+等温荧光核酸检测仪</w:t>
            </w:r>
          </w:p>
        </w:tc>
        <w:tc>
          <w:tcPr>
            <w:tcW w:w="6074" w:type="dxa"/>
            <w:noWrap w:val="0"/>
            <w:vAlign w:val="center"/>
          </w:tcPr>
          <w:p w14:paraId="0E3EADD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1.磁珠法核酸提取，通量1–4样本，紫外消毒。</w:t>
            </w:r>
          </w:p>
          <w:p w14:paraId="5A3CF3A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2.等温扩增技术核酸检测，时间≤20分钟，灵敏度≤1copy/μL。</w:t>
            </w:r>
          </w:p>
          <w:p w14:paraId="4F56525D">
            <w:pPr>
              <w:keepNext w:val="0"/>
              <w:keepLines w:val="0"/>
              <w:widowControl/>
              <w:numPr>
                <w:ilvl w:val="0"/>
                <w:numId w:val="0"/>
              </w:numPr>
              <w:suppressLineNumbers w:val="0"/>
              <w:jc w:val="both"/>
              <w:textAlignment w:val="bottom"/>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3.通量≥8孔，双荧光通道，检测指标≥16个</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,自动完成数据分析和报告生成，支持多途径报告传输。</w:t>
            </w:r>
          </w:p>
          <w:p w14:paraId="5A48C3B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4.提取处理体积20–1000μL，回收率95%，≥5英寸触控</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屏幕</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p w14:paraId="6751670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5.检测温度精度±0.5℃，控温范围室温–65℃，功率≥120W。</w:t>
            </w:r>
          </w:p>
          <w:p w14:paraId="71145D2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6.光通道：FAM/ROX</w:t>
            </w:r>
          </w:p>
        </w:tc>
        <w:tc>
          <w:tcPr>
            <w:tcW w:w="735" w:type="dxa"/>
            <w:noWrap w:val="0"/>
            <w:vAlign w:val="center"/>
          </w:tcPr>
          <w:p w14:paraId="72E8402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078A3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套</w:t>
            </w:r>
          </w:p>
        </w:tc>
      </w:tr>
      <w:tr w14:paraId="7EEF3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463CC8A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w:t>
            </w:r>
          </w:p>
        </w:tc>
        <w:tc>
          <w:tcPr>
            <w:tcW w:w="1314" w:type="dxa"/>
            <w:noWrap w:val="0"/>
            <w:vAlign w:val="center"/>
          </w:tcPr>
          <w:p w14:paraId="7A05AF6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宠物疾病诊疗台</w:t>
            </w:r>
          </w:p>
        </w:tc>
        <w:tc>
          <w:tcPr>
            <w:tcW w:w="6074" w:type="dxa"/>
            <w:noWrap w:val="0"/>
            <w:vAlign w:val="center"/>
          </w:tcPr>
          <w:p w14:paraId="7BA14FE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1.台面圆角处理，便于清洁。</w:t>
            </w:r>
          </w:p>
          <w:p w14:paraId="6907420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2.内置高精度称重模块。</w:t>
            </w:r>
          </w:p>
          <w:p w14:paraId="18684ED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3.用于宠物诊疗、外伤处理、接诊、称重。</w:t>
            </w:r>
          </w:p>
          <w:p w14:paraId="749192B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4.外形尺寸≥900mm×500mm×800mm。</w:t>
            </w:r>
          </w:p>
          <w:p w14:paraId="21AD475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5.整体采用304不锈钢材质。</w:t>
            </w:r>
          </w:p>
        </w:tc>
        <w:tc>
          <w:tcPr>
            <w:tcW w:w="735" w:type="dxa"/>
            <w:noWrap w:val="0"/>
            <w:vAlign w:val="center"/>
          </w:tcPr>
          <w:p w14:paraId="7B96F08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p>
        </w:tc>
        <w:tc>
          <w:tcPr>
            <w:tcW w:w="718" w:type="dxa"/>
            <w:noWrap w:val="0"/>
            <w:vAlign w:val="center"/>
          </w:tcPr>
          <w:p w14:paraId="09A639C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25B76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3EC6CBC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p>
        </w:tc>
        <w:tc>
          <w:tcPr>
            <w:tcW w:w="1314" w:type="dxa"/>
            <w:noWrap w:val="0"/>
            <w:vAlign w:val="center"/>
          </w:tcPr>
          <w:p w14:paraId="2BC510B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处置台</w:t>
            </w:r>
          </w:p>
        </w:tc>
        <w:tc>
          <w:tcPr>
            <w:tcW w:w="6074" w:type="dxa"/>
            <w:noWrap w:val="0"/>
            <w:vAlign w:val="center"/>
          </w:tcPr>
          <w:p w14:paraId="2CE85A6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1.多功能湿式处置台，主体304不锈钢</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厚度≥1.2mm。</w:t>
            </w:r>
          </w:p>
          <w:p w14:paraId="371953F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2.全圆角一体化焊接结构，台面承重≥150kg。</w:t>
            </w:r>
          </w:p>
          <w:p w14:paraId="696482F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3.落地式全封闭柜体，</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底脚可调。</w:t>
            </w:r>
          </w:p>
          <w:p w14:paraId="68FDE82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4.一体化台面，内嵌水槽、抽拉龙头，防滑耐酸碱耐高温。</w:t>
            </w:r>
          </w:p>
          <w:p w14:paraId="0756C33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5.配置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3个静音抽屉、对开门储物柜、可调层板、锁具。</w:t>
            </w:r>
          </w:p>
          <w:p w14:paraId="54C2570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6.给排水防臭防堵、溢水保护、防溅设计，台面</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配备</w:t>
            </w:r>
            <w:r>
              <w:rPr>
                <w:rFonts w:hint="eastAsia" w:ascii="宋体" w:hAnsi="宋体" w:eastAsia="宋体" w:cs="宋体"/>
                <w:b w:val="0"/>
                <w:bCs/>
                <w:color w:val="000000" w:themeColor="text1"/>
                <w:spacing w:val="6"/>
                <w:sz w:val="24"/>
                <w:szCs w:val="24"/>
                <w:highlight w:val="none"/>
                <w14:textFill>
                  <w14:solidFill>
                    <w14:schemeClr w14:val="tx1"/>
                  </w14:solidFill>
                </w14:textFill>
              </w:rPr>
              <w:t>防水插座。</w:t>
            </w:r>
          </w:p>
        </w:tc>
        <w:tc>
          <w:tcPr>
            <w:tcW w:w="735" w:type="dxa"/>
            <w:noWrap w:val="0"/>
            <w:vAlign w:val="center"/>
          </w:tcPr>
          <w:p w14:paraId="0469AD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3645AEC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6420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80F2AA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p>
        </w:tc>
        <w:tc>
          <w:tcPr>
            <w:tcW w:w="1314" w:type="dxa"/>
            <w:noWrap w:val="0"/>
            <w:vAlign w:val="center"/>
          </w:tcPr>
          <w:p w14:paraId="02E2A58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体重秤</w:t>
            </w:r>
          </w:p>
        </w:tc>
        <w:tc>
          <w:tcPr>
            <w:tcW w:w="6074" w:type="dxa"/>
            <w:noWrap w:val="0"/>
            <w:vAlign w:val="center"/>
          </w:tcPr>
          <w:p w14:paraId="3875C1F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1.电子秤两台一组。</w:t>
            </w:r>
          </w:p>
          <w:p w14:paraId="205C7A6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2.一台量程≥150kg，精度0.1kg。</w:t>
            </w:r>
          </w:p>
          <w:p w14:paraId="6C330C0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3.一台量程≥30kg，精度0.01kg。</w:t>
            </w:r>
          </w:p>
          <w:p w14:paraId="25CD782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4.秤盘防滑设计，防水易清洁。</w:t>
            </w:r>
          </w:p>
        </w:tc>
        <w:tc>
          <w:tcPr>
            <w:tcW w:w="735" w:type="dxa"/>
            <w:noWrap w:val="0"/>
            <w:vAlign w:val="center"/>
          </w:tcPr>
          <w:p w14:paraId="4D5F453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5C470AA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09AE9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6B4490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10</w:t>
            </w:r>
          </w:p>
        </w:tc>
        <w:tc>
          <w:tcPr>
            <w:tcW w:w="1314" w:type="dxa"/>
            <w:noWrap w:val="0"/>
            <w:vAlign w:val="center"/>
          </w:tcPr>
          <w:p w14:paraId="44248E4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笼子</w:t>
            </w:r>
          </w:p>
        </w:tc>
        <w:tc>
          <w:tcPr>
            <w:tcW w:w="6074" w:type="dxa"/>
            <w:noWrap w:val="0"/>
            <w:vAlign w:val="center"/>
          </w:tcPr>
          <w:p w14:paraId="1D2EE72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随意组合，可按需定制</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笼体结构合理</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承压</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坚固耐用。</w:t>
            </w:r>
          </w:p>
          <w:p w14:paraId="4E2DA5A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2.滑动式设计门锁，</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自动上锁。</w:t>
            </w:r>
          </w:p>
          <w:p w14:paraId="34B6AF8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3.脚踏板网格和笼门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经</w:t>
            </w:r>
            <w:r>
              <w:rPr>
                <w:rFonts w:hint="eastAsia" w:ascii="宋体" w:hAnsi="宋体" w:eastAsia="宋体" w:cs="宋体"/>
                <w:b w:val="0"/>
                <w:bCs/>
                <w:color w:val="000000" w:themeColor="text1"/>
                <w:spacing w:val="6"/>
                <w:sz w:val="24"/>
                <w:szCs w:val="24"/>
                <w:highlight w:val="none"/>
                <w14:textFill>
                  <w14:solidFill>
                    <w14:schemeClr w14:val="tx1"/>
                  </w14:solidFill>
                </w14:textFill>
              </w:rPr>
              <w:t>高频高电流焊接。</w:t>
            </w:r>
          </w:p>
          <w:p w14:paraId="15030A0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配备</w:t>
            </w:r>
            <w:r>
              <w:rPr>
                <w:rFonts w:hint="eastAsia" w:ascii="宋体" w:hAnsi="宋体" w:eastAsia="宋体" w:cs="宋体"/>
                <w:b w:val="0"/>
                <w:bCs/>
                <w:color w:val="000000" w:themeColor="text1"/>
                <w:spacing w:val="6"/>
                <w:sz w:val="24"/>
                <w:szCs w:val="24"/>
                <w:highlight w:val="none"/>
                <w14:textFill>
                  <w14:solidFill>
                    <w14:schemeClr w14:val="tx1"/>
                  </w14:solidFill>
                </w14:textFill>
              </w:rPr>
              <w:t>接污盘。</w:t>
            </w:r>
          </w:p>
          <w:p w14:paraId="594D24D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5.内设无缝挡水板。</w:t>
            </w:r>
          </w:p>
          <w:p w14:paraId="24E26DA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6.下层笼活动抽板设计，抽板抽出可变为大笼子。</w:t>
            </w:r>
          </w:p>
          <w:p w14:paraId="60A52AE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7.底部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配</w:t>
            </w:r>
            <w:r>
              <w:rPr>
                <w:rFonts w:hint="eastAsia" w:ascii="宋体" w:hAnsi="宋体" w:eastAsia="宋体" w:cs="宋体"/>
                <w:b w:val="0"/>
                <w:bCs/>
                <w:color w:val="000000" w:themeColor="text1"/>
                <w:spacing w:val="6"/>
                <w:sz w:val="24"/>
                <w:szCs w:val="24"/>
                <w:highlight w:val="none"/>
                <w14:textFill>
                  <w14:solidFill>
                    <w14:schemeClr w14:val="tx1"/>
                  </w14:solidFill>
                </w14:textFill>
              </w:rPr>
              <w:t>移动刹车轮。</w:t>
            </w:r>
          </w:p>
          <w:p w14:paraId="72157B9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14:textFill>
                  <w14:solidFill>
                    <w14:schemeClr w14:val="tx1"/>
                  </w14:solidFill>
                </w14:textFill>
              </w:rPr>
              <w:t>外形尺寸</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(约)</w:t>
            </w:r>
            <w:r>
              <w:rPr>
                <w:rFonts w:hint="eastAsia" w:ascii="宋体" w:hAnsi="宋体" w:eastAsia="宋体" w:cs="宋体"/>
                <w:b w:val="0"/>
                <w:bCs/>
                <w:color w:val="000000" w:themeColor="text1"/>
                <w:spacing w:val="6"/>
                <w:sz w:val="24"/>
                <w:szCs w:val="24"/>
                <w:highlight w:val="none"/>
                <w14:textFill>
                  <w14:solidFill>
                    <w14:schemeClr w14:val="tx1"/>
                  </w14:solidFill>
                </w14:textFill>
              </w:rPr>
              <w:t>：长1500mm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深700mm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高1575</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上层笼：长500mm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高610mm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深700mm</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下层笼：长750mm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高820mm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深700mm</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36CA46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整体</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采用</w:t>
            </w:r>
            <w:r>
              <w:rPr>
                <w:rFonts w:hint="eastAsia" w:ascii="宋体" w:hAnsi="宋体" w:eastAsia="宋体" w:cs="宋体"/>
                <w:b w:val="0"/>
                <w:bCs/>
                <w:color w:val="000000" w:themeColor="text1"/>
                <w:spacing w:val="6"/>
                <w:sz w:val="24"/>
                <w:szCs w:val="24"/>
                <w:highlight w:val="none"/>
                <w14:textFill>
                  <w14:solidFill>
                    <w14:schemeClr w14:val="tx1"/>
                  </w14:solidFill>
                </w14:textFill>
              </w:rPr>
              <w:t>304不锈钢，</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经</w:t>
            </w:r>
            <w:r>
              <w:rPr>
                <w:rFonts w:hint="eastAsia" w:ascii="宋体" w:hAnsi="宋体" w:eastAsia="宋体" w:cs="宋体"/>
                <w:b w:val="0"/>
                <w:bCs/>
                <w:color w:val="000000" w:themeColor="text1"/>
                <w:spacing w:val="6"/>
                <w:sz w:val="24"/>
                <w:szCs w:val="24"/>
                <w:highlight w:val="none"/>
                <w14:textFill>
                  <w14:solidFill>
                    <w14:schemeClr w14:val="tx1"/>
                  </w14:solidFill>
                </w14:textFill>
              </w:rPr>
              <w:t>防腐、防酸</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处理</w:t>
            </w:r>
            <w:r>
              <w:rPr>
                <w:rFonts w:hint="eastAsia" w:ascii="宋体" w:hAnsi="宋体" w:eastAsia="宋体" w:cs="宋体"/>
                <w:b w:val="0"/>
                <w:bCs/>
                <w:color w:val="000000" w:themeColor="text1"/>
                <w:spacing w:val="6"/>
                <w:sz w:val="24"/>
                <w:szCs w:val="24"/>
                <w:highlight w:val="none"/>
                <w14:textFill>
                  <w14:solidFill>
                    <w14:schemeClr w14:val="tx1"/>
                  </w14:solidFill>
                </w14:textFill>
              </w:rPr>
              <w:t>，笼体材料厚度≥1.2mm，笼门用直径≥8mm和直径≥6mm的钢丝组成，踏脚网格用直径≥8mm和直径≥4mm的钢丝组成，接污盘材料厚度≥0.8mm。底部移动轮采用高强度医用万向刹车轮。</w:t>
            </w:r>
          </w:p>
        </w:tc>
        <w:tc>
          <w:tcPr>
            <w:tcW w:w="735" w:type="dxa"/>
            <w:noWrap w:val="0"/>
            <w:vAlign w:val="center"/>
          </w:tcPr>
          <w:p w14:paraId="30AB73E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p>
        </w:tc>
        <w:tc>
          <w:tcPr>
            <w:tcW w:w="718" w:type="dxa"/>
            <w:noWrap w:val="0"/>
            <w:vAlign w:val="center"/>
          </w:tcPr>
          <w:p w14:paraId="2200E9F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314A5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1E2B6C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11</w:t>
            </w:r>
          </w:p>
        </w:tc>
        <w:tc>
          <w:tcPr>
            <w:tcW w:w="1314" w:type="dxa"/>
            <w:noWrap w:val="0"/>
            <w:vAlign w:val="center"/>
          </w:tcPr>
          <w:p w14:paraId="7D1A886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输液泵</w:t>
            </w:r>
          </w:p>
        </w:tc>
        <w:tc>
          <w:tcPr>
            <w:tcW w:w="6074" w:type="dxa"/>
            <w:noWrap w:val="0"/>
            <w:vAlign w:val="center"/>
          </w:tcPr>
          <w:p w14:paraId="1FB7243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1.输液精度≤±5%</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D9605D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2.速率范围：0.1—2000ml/h,最小步进0.1ml/h</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9A83F9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3.快进流速范围：0.1—2000ml/h</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9292C9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4.支持ml/h和滴/min两种流速单位</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2E0941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气泡识别敏感度</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5档可调</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A05874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6.锁屏功能：支持自动锁屏，自动锁屏时间可调</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C14A59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7.在线滴定功能：安全不中断输液而更改速率</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C139D8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8.分低级、中级、高级三级报警。</w:t>
            </w:r>
          </w:p>
          <w:p w14:paraId="34E70FA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声光报警提示，同时显示具体报警信息</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611D83D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p>
        </w:tc>
        <w:tc>
          <w:tcPr>
            <w:tcW w:w="718" w:type="dxa"/>
            <w:noWrap w:val="0"/>
            <w:vAlign w:val="center"/>
          </w:tcPr>
          <w:p w14:paraId="112D927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5CAD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F09BAD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12</w:t>
            </w:r>
          </w:p>
        </w:tc>
        <w:tc>
          <w:tcPr>
            <w:tcW w:w="1314" w:type="dxa"/>
            <w:noWrap w:val="0"/>
            <w:vAlign w:val="center"/>
          </w:tcPr>
          <w:p w14:paraId="6F796C3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裂隙灯</w:t>
            </w:r>
          </w:p>
        </w:tc>
        <w:tc>
          <w:tcPr>
            <w:tcW w:w="6074" w:type="dxa"/>
            <w:noWrap w:val="0"/>
            <w:vAlign w:val="center"/>
          </w:tcPr>
          <w:p w14:paraId="3EE8A1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1.适配犬猫眼科检查。</w:t>
            </w:r>
          </w:p>
          <w:p w14:paraId="635DBEF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2.总</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放大</w:t>
            </w:r>
            <w:r>
              <w:rPr>
                <w:rFonts w:hint="eastAsia" w:ascii="宋体" w:hAnsi="宋体" w:eastAsia="宋体" w:cs="宋体"/>
                <w:b w:val="0"/>
                <w:bCs/>
                <w:color w:val="000000" w:themeColor="text1"/>
                <w:spacing w:val="6"/>
                <w:sz w:val="24"/>
                <w:szCs w:val="24"/>
                <w:highlight w:val="none"/>
                <w14:textFill>
                  <w14:solidFill>
                    <w14:schemeClr w14:val="tx1"/>
                  </w14:solidFill>
                </w14:textFill>
              </w:rPr>
              <w:t>倍率10X/16X，物镜≥1X。</w:t>
            </w:r>
          </w:p>
          <w:p w14:paraId="33115C2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3.裂隙宽度0–10mm连续可调，高度1/3/5/10mm。</w:t>
            </w:r>
          </w:p>
          <w:p w14:paraId="28639A5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4.水平旋转±30°，光斑1/3/5/10mm。</w:t>
            </w:r>
          </w:p>
          <w:p w14:paraId="55DA55B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5.配置(</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)减光、无赤、钴蓝滤片。</w:t>
            </w:r>
          </w:p>
          <w:p w14:paraId="051A289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6.LED光源3.0–3.6V/3W。</w:t>
            </w:r>
          </w:p>
          <w:p w14:paraId="5A77EF2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7.配置(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不少于</w:t>
            </w:r>
            <w:r>
              <w:rPr>
                <w:rFonts w:hint="eastAsia" w:ascii="宋体" w:hAnsi="宋体" w:eastAsia="宋体" w:cs="宋体"/>
                <w:b w:val="0"/>
                <w:bCs/>
                <w:color w:val="000000" w:themeColor="text1"/>
                <w:spacing w:val="6"/>
                <w:sz w:val="24"/>
                <w:szCs w:val="24"/>
                <w:highlight w:val="none"/>
                <w14:textFill>
                  <w14:solidFill>
                    <w14:schemeClr w14:val="tx1"/>
                  </w14:solidFill>
                </w14:textFill>
              </w:rPr>
              <w:t>)：主机、10X/16X目镜、电池、充电器、支架、对焦棒、手机支架。</w:t>
            </w:r>
          </w:p>
        </w:tc>
        <w:tc>
          <w:tcPr>
            <w:tcW w:w="735" w:type="dxa"/>
            <w:noWrap w:val="0"/>
            <w:vAlign w:val="center"/>
          </w:tcPr>
          <w:p w14:paraId="79B49CE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11FC729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2F7E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983657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13</w:t>
            </w:r>
          </w:p>
        </w:tc>
        <w:tc>
          <w:tcPr>
            <w:tcW w:w="1314" w:type="dxa"/>
            <w:noWrap w:val="0"/>
            <w:vAlign w:val="center"/>
          </w:tcPr>
          <w:p w14:paraId="5FD5603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眼压计</w:t>
            </w:r>
          </w:p>
        </w:tc>
        <w:tc>
          <w:tcPr>
            <w:tcW w:w="6074" w:type="dxa"/>
            <w:noWrap w:val="0"/>
            <w:vAlign w:val="center"/>
          </w:tcPr>
          <w:p w14:paraId="6947DF7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1.测量范围：5.0-70.0mmHg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1640B0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2.显示范围：0-99.9mmHg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D02DDC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3.测量精度：0.1mmHg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12FD06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4.测量准确度：±1.2mmHg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IOP≤20mmHg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±2.2mmHg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IOP&gt;20mmHg</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801650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5.测量角度范围：240°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1F5EF4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6.辅助测量：辅助判断距离过远或过近；</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一键完成</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6次测量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25547A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7.历史数据量：存储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100组数据，可区分左右眼</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A4FC0C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8.配置清单(</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不少于</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)：1个眼压计主机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1个探针座</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1个TVP40探针</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1个探针座盖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1个铝盒</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1个电池盖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A583A6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应用范围：用于对猫、狗、马、兔进行眼压测量。</w:t>
            </w:r>
          </w:p>
        </w:tc>
        <w:tc>
          <w:tcPr>
            <w:tcW w:w="735" w:type="dxa"/>
            <w:noWrap w:val="0"/>
            <w:vAlign w:val="center"/>
          </w:tcPr>
          <w:p w14:paraId="5399FB0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32E20A7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05F9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D8D85E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14</w:t>
            </w:r>
          </w:p>
        </w:tc>
        <w:tc>
          <w:tcPr>
            <w:tcW w:w="1314" w:type="dxa"/>
            <w:noWrap w:val="0"/>
            <w:vAlign w:val="center"/>
          </w:tcPr>
          <w:p w14:paraId="7DF0114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压力蒸汽灭菌器</w:t>
            </w:r>
          </w:p>
        </w:tc>
        <w:tc>
          <w:tcPr>
            <w:tcW w:w="6074" w:type="dxa"/>
            <w:noWrap w:val="0"/>
            <w:vAlign w:val="center"/>
          </w:tcPr>
          <w:p w14:paraId="5CCBE82E">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1.锅盖启闭装置，采用拨杆式多连杆同步伸缩结构。</w:t>
            </w:r>
          </w:p>
          <w:p w14:paraId="6F73CC8E">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2.外壳采用工程与不锈钢材料组合而成，灭菌锅体采用304不锈钢材质。</w:t>
            </w:r>
          </w:p>
          <w:p w14:paraId="3A163D24">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3.采用自胀式密封圈结构。</w:t>
            </w:r>
          </w:p>
          <w:p w14:paraId="55233B5F">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4.操作台采用LCD液晶窗动态显示，整个灭菌行程实行微电脑图文显示及自动循环控制，灭菌结束</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报警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后自动停机。</w:t>
            </w:r>
          </w:p>
          <w:p w14:paraId="390F7C57">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5.具有一键制灭菌功能选择，可根据不同的灭菌物品快速明了地进行所需选择。</w:t>
            </w:r>
          </w:p>
          <w:p w14:paraId="3EA7706C">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6.具有风冷式快速冷却装置，标配冷却风扇，灭菌结束可快速降低腔体温度。</w:t>
            </w:r>
          </w:p>
          <w:p w14:paraId="2A260E09">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7.具有故障自动检测判断系统。</w:t>
            </w:r>
          </w:p>
          <w:p w14:paraId="07BA3C3F">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8.具有自动排放冷空气及灭菌结束自动排气功能，内置蒸汽集汽水箱，无蒸汽外排现象。</w:t>
            </w:r>
          </w:p>
          <w:p w14:paraId="78467792">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9.采用电器与机械互动的安全联锁结构，腔体带压状态下锁住锅盖把手，禁止带压开启锅盖。</w:t>
            </w:r>
          </w:p>
          <w:p w14:paraId="1458D9EB">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10.配备机械式安全泄压阀、电控式超压保护装置双套保护系统。</w:t>
            </w:r>
          </w:p>
          <w:p w14:paraId="79B02A55">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11.具备断水防干烧保护、漏电保护系统。</w:t>
            </w:r>
          </w:p>
          <w:p w14:paraId="41DA07FF">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12.可预置固定程序针对固体、液体的灭菌选择模式。</w:t>
            </w:r>
          </w:p>
          <w:p w14:paraId="23E6666B">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13.采用三级排气方式，包含全排、微排、不排模式。</w:t>
            </w:r>
          </w:p>
          <w:p w14:paraId="0F29CF6E">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14.具备温度偏差修正功能。</w:t>
            </w:r>
          </w:p>
          <w:p w14:paraId="2730D611">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15.设备底部配置脚轮。</w:t>
            </w:r>
          </w:p>
          <w:p w14:paraId="027E554D">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16.具有验证接口。</w:t>
            </w:r>
          </w:p>
          <w:p w14:paraId="268628BE">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17.内腔厚度≥2mm。</w:t>
            </w:r>
          </w:p>
          <w:p w14:paraId="1A9DA944">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1</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14:textFill>
                  <w14:solidFill>
                    <w14:schemeClr w14:val="tx1"/>
                  </w14:solidFill>
                </w14:textFill>
              </w:rPr>
              <w:t>.打印选配：</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可增配针式打印功能，可打印灭菌日期、温度、时间、压力。</w:t>
            </w:r>
          </w:p>
          <w:p w14:paraId="611E9404">
            <w:pPr>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可增配USB接口，实时导出存储灭菌数据。</w:t>
            </w:r>
          </w:p>
          <w:p w14:paraId="48298D3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2</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z w:val="24"/>
                <w:szCs w:val="24"/>
                <w:highlight w:val="none"/>
                <w14:textFill>
                  <w14:solidFill>
                    <w14:schemeClr w14:val="tx1"/>
                  </w14:solidFill>
                </w14:textFill>
              </w:rPr>
              <w:t>设备参数：容积≥50升；功率≥3.5kW；灭菌温度设定范围50℃-13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℃；灭菌室尺寸</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直径*高度</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≥350×550mm；灭菌时间设定范围1—9999min；设计压力≥0.24Mpa；额定工作压力≤0.217Mpa</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48C103AB">
            <w:pPr>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21.提供压力蒸汽灭菌器制造商的《特种设备生产许可证》(许可项目须包含压力容器制造)或《压力容器质量证明书》。</w:t>
            </w:r>
          </w:p>
        </w:tc>
        <w:tc>
          <w:tcPr>
            <w:tcW w:w="735" w:type="dxa"/>
            <w:noWrap w:val="0"/>
            <w:vAlign w:val="center"/>
          </w:tcPr>
          <w:p w14:paraId="7E58E90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2B24FD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6FB3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27E958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15</w:t>
            </w:r>
          </w:p>
        </w:tc>
        <w:tc>
          <w:tcPr>
            <w:tcW w:w="1314" w:type="dxa"/>
            <w:noWrap w:val="0"/>
            <w:vAlign w:val="center"/>
          </w:tcPr>
          <w:p w14:paraId="0CF750F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犬静脉输液模型</w:t>
            </w:r>
          </w:p>
        </w:tc>
        <w:tc>
          <w:tcPr>
            <w:tcW w:w="6074" w:type="dxa"/>
            <w:noWrap w:val="0"/>
            <w:vAlign w:val="center"/>
          </w:tcPr>
          <w:p w14:paraId="1A7920E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.模拟犬肢分布主要静脉血管，可进行静脉注射、输液、抽血穿刺练习，进针有落空感，正确穿刺有回血。</w:t>
            </w:r>
          </w:p>
          <w:p w14:paraId="4A87724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pacing w:val="6"/>
                <w:sz w:val="24"/>
                <w:szCs w:val="24"/>
                <w:highlight w:val="none"/>
                <w14:textFill>
                  <w14:solidFill>
                    <w14:schemeClr w14:val="tx1"/>
                  </w14:solidFill>
                </w14:textFill>
              </w:rPr>
              <w:t>.静脉血管和皮肤穿刺部位可反复穿刺不渗漏，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更换。</w:t>
            </w:r>
          </w:p>
          <w:p w14:paraId="192D998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pacing w:val="6"/>
                <w:sz w:val="24"/>
                <w:szCs w:val="24"/>
                <w:highlight w:val="none"/>
                <w14:textFill>
                  <w14:solidFill>
                    <w14:schemeClr w14:val="tx1"/>
                  </w14:solidFill>
                </w14:textFill>
              </w:rPr>
              <w:t>.液晶显示控制器控制，出血量大小0-100可调。</w:t>
            </w:r>
          </w:p>
          <w:p w14:paraId="60852FB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pacing w:val="6"/>
                <w:sz w:val="24"/>
                <w:szCs w:val="24"/>
                <w:highlight w:val="none"/>
                <w14:textFill>
                  <w14:solidFill>
                    <w14:schemeClr w14:val="tx1"/>
                  </w14:solidFill>
                </w14:textFill>
              </w:rPr>
              <w:t>.采用高分子材料制作，不锈钢模具浇铸。</w:t>
            </w:r>
          </w:p>
          <w:p w14:paraId="2396500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模型采用高分子环保材料，无刺鼻气味，能够确保使用者安全。犬前肢中铅、镉、汞、六价铬限值未超过国家标准限值。</w:t>
            </w:r>
          </w:p>
          <w:p w14:paraId="52ED473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.配置(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不低于</w:t>
            </w:r>
            <w:r>
              <w:rPr>
                <w:rFonts w:hint="eastAsia" w:ascii="宋体" w:hAnsi="宋体" w:eastAsia="宋体" w:cs="宋体"/>
                <w:b w:val="0"/>
                <w:bCs/>
                <w:color w:val="000000" w:themeColor="text1"/>
                <w:spacing w:val="6"/>
                <w:sz w:val="24"/>
                <w:szCs w:val="24"/>
                <w:highlight w:val="none"/>
                <w14:textFill>
                  <w14:solidFill>
                    <w14:schemeClr w14:val="tx1"/>
                  </w14:solidFill>
                </w14:textFill>
              </w:rPr>
              <w:t>)：小型犬前肢、后肢模型各1个；中型犬前肢、后肢模型各1个；高级中型犬前肢、后肢模型各1个。</w:t>
            </w:r>
          </w:p>
        </w:tc>
        <w:tc>
          <w:tcPr>
            <w:tcW w:w="735" w:type="dxa"/>
            <w:noWrap w:val="0"/>
            <w:vAlign w:val="center"/>
          </w:tcPr>
          <w:p w14:paraId="6498E05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02B28EF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套</w:t>
            </w:r>
          </w:p>
        </w:tc>
      </w:tr>
      <w:tr w14:paraId="73A00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BB51CF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16</w:t>
            </w:r>
          </w:p>
        </w:tc>
        <w:tc>
          <w:tcPr>
            <w:tcW w:w="1314" w:type="dxa"/>
            <w:noWrap w:val="0"/>
            <w:vAlign w:val="center"/>
          </w:tcPr>
          <w:p w14:paraId="7677343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犬导尿模型</w:t>
            </w:r>
          </w:p>
        </w:tc>
        <w:tc>
          <w:tcPr>
            <w:tcW w:w="6074" w:type="dxa"/>
            <w:noWrap w:val="0"/>
            <w:vAlign w:val="center"/>
          </w:tcPr>
          <w:p w14:paraId="0529D0D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1.配置(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不低于</w:t>
            </w:r>
            <w:r>
              <w:rPr>
                <w:rFonts w:hint="eastAsia" w:ascii="宋体" w:hAnsi="宋体" w:eastAsia="宋体" w:cs="宋体"/>
                <w:b w:val="0"/>
                <w:bCs/>
                <w:color w:val="000000" w:themeColor="text1"/>
                <w:spacing w:val="6"/>
                <w:sz w:val="24"/>
                <w:szCs w:val="24"/>
                <w:highlight w:val="none"/>
                <w14:textFill>
                  <w14:solidFill>
                    <w14:schemeClr w14:val="tx1"/>
                  </w14:solidFill>
                </w14:textFill>
              </w:rPr>
              <w:t>)：1个公犬导尿模型、1个母犬导尿模型。</w:t>
            </w:r>
          </w:p>
          <w:p w14:paraId="24F9E51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2.公犬模型参照成年公犬内外生殖器解剖结构设计，导尿管插入膀胱时</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有灯光</w:t>
            </w:r>
            <w:r>
              <w:rPr>
                <w:rFonts w:hint="eastAsia" w:ascii="宋体" w:hAnsi="宋体" w:eastAsia="宋体" w:cs="宋体"/>
                <w:b w:val="0"/>
                <w:bCs/>
                <w:color w:val="000000" w:themeColor="text1"/>
                <w:spacing w:val="6"/>
                <w:sz w:val="24"/>
                <w:szCs w:val="24"/>
                <w:highlight w:val="none"/>
                <w14:textFill>
                  <w14:solidFill>
                    <w14:schemeClr w14:val="tx1"/>
                  </w14:solidFill>
                </w14:textFill>
              </w:rPr>
              <w:t>显示并有模拟尿液流出及语音提示，操作时有真实阻力感</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51A5EF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3.母犬模型参照成年母犬外生殖器会阴设计，小阴唇可分开暴露尿道口，导尿管插入膀胱时绿灯显示并有模拟尿液流出及语音提示，操作时有真实阻力感。</w:t>
            </w:r>
          </w:p>
          <w:p w14:paraId="7DA248D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4.采用高分子材料制作，不锈钢模具浇铸，外观形态逼真，消毒清洗不变形。</w:t>
            </w:r>
          </w:p>
        </w:tc>
        <w:tc>
          <w:tcPr>
            <w:tcW w:w="735" w:type="dxa"/>
            <w:noWrap w:val="0"/>
            <w:vAlign w:val="center"/>
          </w:tcPr>
          <w:p w14:paraId="4A5F18A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6DDF999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套</w:t>
            </w:r>
          </w:p>
        </w:tc>
      </w:tr>
      <w:tr w14:paraId="3791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83FD67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17</w:t>
            </w:r>
          </w:p>
        </w:tc>
        <w:tc>
          <w:tcPr>
            <w:tcW w:w="1314" w:type="dxa"/>
            <w:noWrap w:val="0"/>
            <w:vAlign w:val="center"/>
          </w:tcPr>
          <w:p w14:paraId="3FC4708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犬气管插管训练模型</w:t>
            </w:r>
          </w:p>
        </w:tc>
        <w:tc>
          <w:tcPr>
            <w:tcW w:w="6074" w:type="dxa"/>
            <w:noWrap w:val="0"/>
            <w:vAlign w:val="center"/>
          </w:tcPr>
          <w:p w14:paraId="797C34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1.成年犬只，形态逼真，包括头，颈，前胸，皮毛，口腔气管结构解剖标志明显。</w:t>
            </w:r>
          </w:p>
          <w:p w14:paraId="217D798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2.采用高分子材质，环保无污染，肤质仿真度高仰卧位，头可后仰进行气管插管的训练操作与教学演示插管进程中全程语音播报，插管正确与错误的提示，音量大小可调节。</w:t>
            </w:r>
          </w:p>
          <w:p w14:paraId="0F91B16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3.进行气管插管训练操作时</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正确操作插入气道，有电子语音提示正确。</w:t>
            </w:r>
          </w:p>
          <w:p w14:paraId="19F9208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4.进行气管插管训练操作时，错误操作插入食道，有电子语音提示错误。</w:t>
            </w:r>
          </w:p>
          <w:p w14:paraId="25EEF4C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5.模型中铅、镉、汞、六价铬限值未超过</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国标</w:t>
            </w:r>
            <w:r>
              <w:rPr>
                <w:rFonts w:hint="eastAsia" w:ascii="宋体" w:hAnsi="宋体" w:eastAsia="宋体" w:cs="宋体"/>
                <w:b w:val="0"/>
                <w:bCs/>
                <w:color w:val="000000" w:themeColor="text1"/>
                <w:spacing w:val="6"/>
                <w:sz w:val="24"/>
                <w:szCs w:val="24"/>
                <w:highlight w:val="none"/>
                <w14:textFill>
                  <w14:solidFill>
                    <w14:schemeClr w14:val="tx1"/>
                  </w14:solidFill>
                </w14:textFill>
              </w:rPr>
              <w:t>限值</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436C282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p>
        </w:tc>
        <w:tc>
          <w:tcPr>
            <w:tcW w:w="718" w:type="dxa"/>
            <w:noWrap w:val="0"/>
            <w:vAlign w:val="center"/>
          </w:tcPr>
          <w:p w14:paraId="1A828D3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7533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06B30F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18</w:t>
            </w:r>
          </w:p>
        </w:tc>
        <w:tc>
          <w:tcPr>
            <w:tcW w:w="1314" w:type="dxa"/>
            <w:noWrap w:val="0"/>
            <w:vAlign w:val="center"/>
          </w:tcPr>
          <w:p w14:paraId="2920618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高级外科多技能训练模型</w:t>
            </w:r>
          </w:p>
        </w:tc>
        <w:tc>
          <w:tcPr>
            <w:tcW w:w="6074" w:type="dxa"/>
            <w:noWrap w:val="0"/>
            <w:vAlign w:val="center"/>
          </w:tcPr>
          <w:p w14:paraId="33B448D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1.皮肤模块：支持外科皮肤切开、缝合、打结、剪线、拆线练习。</w:t>
            </w:r>
          </w:p>
          <w:p w14:paraId="21ABBB7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2.肠管模块：20mm、30mm两种直径，支持肠管钳夹、切开、吻合、打结练习。</w:t>
            </w:r>
          </w:p>
          <w:p w14:paraId="071D39C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3.血管模块：支持血管钳夹、切断、结扎练习。</w:t>
            </w:r>
          </w:p>
          <w:p w14:paraId="4A6363D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4.深部打结模块：支持狭小空间深部打结练习。</w:t>
            </w:r>
          </w:p>
          <w:p w14:paraId="3AC4786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5.模型体积小，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模块可更换。</w:t>
            </w:r>
          </w:p>
          <w:p w14:paraId="5CF1983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6.采用热塑弹性体、乳胶材料制作，可消毒清洗不变形。</w:t>
            </w:r>
          </w:p>
        </w:tc>
        <w:tc>
          <w:tcPr>
            <w:tcW w:w="735" w:type="dxa"/>
            <w:noWrap w:val="0"/>
            <w:vAlign w:val="center"/>
          </w:tcPr>
          <w:p w14:paraId="05506D4B">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10</w:t>
            </w:r>
          </w:p>
        </w:tc>
        <w:tc>
          <w:tcPr>
            <w:tcW w:w="718" w:type="dxa"/>
            <w:noWrap w:val="0"/>
            <w:vAlign w:val="center"/>
          </w:tcPr>
          <w:p w14:paraId="1EF7117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6742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24B3C4C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19</w:t>
            </w:r>
          </w:p>
        </w:tc>
        <w:tc>
          <w:tcPr>
            <w:tcW w:w="1314" w:type="dxa"/>
            <w:noWrap w:val="0"/>
            <w:vAlign w:val="center"/>
          </w:tcPr>
          <w:p w14:paraId="69B895D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半透明犬肌内注射模型</w:t>
            </w:r>
          </w:p>
        </w:tc>
        <w:tc>
          <w:tcPr>
            <w:tcW w:w="6074" w:type="dxa"/>
            <w:noWrap w:val="0"/>
            <w:vAlign w:val="center"/>
          </w:tcPr>
          <w:p w14:paraId="69FB87A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1.半边透明设计，展示臀部肌肉组织、骨骼结构。</w:t>
            </w:r>
          </w:p>
          <w:p w14:paraId="6257CD2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2.骨骼标志可触及，便于确定注射部位。</w:t>
            </w:r>
          </w:p>
          <w:p w14:paraId="2CEDEC6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3.注射操作正确时灯光显示；扎入过深或部位错误时灯光闪烁并报警。</w:t>
            </w:r>
          </w:p>
          <w:p w14:paraId="7860293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4.采用塑胶弹性体材料制作，不锈钢模具浇注，手感真实，进针痕迹不明显。</w:t>
            </w:r>
          </w:p>
        </w:tc>
        <w:tc>
          <w:tcPr>
            <w:tcW w:w="735" w:type="dxa"/>
            <w:noWrap w:val="0"/>
            <w:vAlign w:val="center"/>
          </w:tcPr>
          <w:p w14:paraId="740EE01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2C402D0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0F8C5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DBCCC9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20</w:t>
            </w:r>
          </w:p>
        </w:tc>
        <w:tc>
          <w:tcPr>
            <w:tcW w:w="1314" w:type="dxa"/>
            <w:noWrap w:val="0"/>
            <w:vAlign w:val="center"/>
          </w:tcPr>
          <w:p w14:paraId="11658F0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犬心肺复苏模型</w:t>
            </w:r>
          </w:p>
        </w:tc>
        <w:tc>
          <w:tcPr>
            <w:tcW w:w="6074" w:type="dxa"/>
            <w:noWrap w:val="0"/>
            <w:vAlign w:val="center"/>
          </w:tcPr>
          <w:p w14:paraId="31477B7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1.成年中型犬比例仿制，侧卧位，支持胸外按压、口对鼻/口对口人工呼吸。</w:t>
            </w:r>
          </w:p>
          <w:p w14:paraId="55F6316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2.有效人工呼吸可见胸廓起伏，支持前臂静脉输液注射、股动脉搏动模拟。</w:t>
            </w:r>
          </w:p>
          <w:p w14:paraId="1D28FFC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3.内置锂电池供电，</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与平板无线连接。</w:t>
            </w:r>
          </w:p>
          <w:p w14:paraId="73B88A2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设置CPR操作参数，实时记录按压和吹气的正确/错误次数，动态显示按压深度和吹气量，对应不同颜色指示灯提示。</w:t>
            </w:r>
          </w:p>
          <w:p w14:paraId="6B09963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5.支持操作过程记录、存储、打印及历史成绩查看，教师可输入评语。</w:t>
            </w:r>
          </w:p>
        </w:tc>
        <w:tc>
          <w:tcPr>
            <w:tcW w:w="735" w:type="dxa"/>
            <w:noWrap w:val="0"/>
            <w:vAlign w:val="center"/>
          </w:tcPr>
          <w:p w14:paraId="0877B360">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837F60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3101F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7942F5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21</w:t>
            </w:r>
          </w:p>
        </w:tc>
        <w:tc>
          <w:tcPr>
            <w:tcW w:w="1314" w:type="dxa"/>
            <w:noWrap w:val="0"/>
            <w:vAlign w:val="center"/>
          </w:tcPr>
          <w:p w14:paraId="1BCD0B7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高速离心机</w:t>
            </w:r>
          </w:p>
        </w:tc>
        <w:tc>
          <w:tcPr>
            <w:tcW w:w="6074" w:type="dxa"/>
            <w:noWrap w:val="0"/>
            <w:vAlign w:val="center"/>
          </w:tcPr>
          <w:p w14:paraId="6CF246B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1.最高转速≥16500r/min，转速精度≤±30r/min；最大相对离心力≥26000xg，支持直接设置离心力或转速，支持能以1或10或100三种步进任意选取一种递增。</w:t>
            </w:r>
          </w:p>
          <w:p w14:paraId="25AC8EF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2.最大容量：≥4×100ml，可选配≥9种容量的转子。</w:t>
            </w:r>
          </w:p>
          <w:p w14:paraId="14063C2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3.定时范围：1s～99min59s/1min～99h59min；具有启动计时、到转速计时两种计时模式。</w:t>
            </w:r>
          </w:p>
          <w:p w14:paraId="53D17CD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4.自动吸合电子门锁，只需要轻轻合上门盖即可自动关闭，运行时门盖未关闭离心机不能启动且报门锁故障。</w:t>
            </w:r>
          </w:p>
          <w:p w14:paraId="623650C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5.加/减速曲线：10档加速曲线、11档减速曲线，支持根据实验需求，自定义升速、降速时间曲线，使分离效果达到最佳状态。</w:t>
            </w:r>
          </w:p>
          <w:p w14:paraId="7AE752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6.控制系统</w:t>
            </w:r>
          </w:p>
          <w:p w14:paraId="3545E26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①</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≥5英寸高灵敏度、高清触摸屏控制，支持戴手套操作，设置参数与运行参数同屏显示。</w:t>
            </w:r>
          </w:p>
          <w:p w14:paraId="23E7D2E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②</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配置要求：24×1.5/2.0ml角转子。</w:t>
            </w:r>
          </w:p>
        </w:tc>
        <w:tc>
          <w:tcPr>
            <w:tcW w:w="735" w:type="dxa"/>
            <w:noWrap w:val="0"/>
            <w:vAlign w:val="center"/>
          </w:tcPr>
          <w:p w14:paraId="2E0BA1C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EA918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457F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787A93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22</w:t>
            </w:r>
          </w:p>
        </w:tc>
        <w:tc>
          <w:tcPr>
            <w:tcW w:w="1314" w:type="dxa"/>
            <w:noWrap w:val="0"/>
            <w:vAlign w:val="center"/>
          </w:tcPr>
          <w:p w14:paraId="29572A5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核酸提取仪</w:t>
            </w:r>
          </w:p>
        </w:tc>
        <w:tc>
          <w:tcPr>
            <w:tcW w:w="6074" w:type="dxa"/>
            <w:noWrap w:val="0"/>
            <w:vAlign w:val="center"/>
          </w:tcPr>
          <w:p w14:paraId="5F1492D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一次性完成</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16个样本的提取</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C6809A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2.最大处理体积：</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1700μL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0142A4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3.适用耗材：96深孔板、单条六联管</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00E60C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4.混合方式：旋转混匀</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1BEA3D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5.温控范围：裂解、洗脱双功能温控，温控范围：30℃~120℃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305669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6.温控精度：升温速率4℃/s，温度准确度±1℃,温度均匀性≤1℃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8B8D01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7.操作语言：内置中/英两种操作语言，</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自由切换</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F21CCB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8.程序管理：</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灵活新建、编辑、应用及删除程序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1AF5AA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9.操作方式：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手机/平板电脑管理实验程序及远程操控仪器</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6.</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英寸全彩液晶屏操控仪器运行</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p>
          <w:p w14:paraId="26EB5EE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10.程序存储：仪器内部可存储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100组程序，软件可存储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10000组程序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E12CF8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11.试剂识别：</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自动识别试剂信息，自动运行实验</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4081EA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12.搅拌套检测：全流程搅拌套状态监测</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60D84A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13.磁珠残留量：≤1%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360257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14.断电保护：意外断电再供电时，</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自由选择是否继续运行实验</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C66966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15.紫外消毒：</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具备</w:t>
            </w:r>
            <w:r>
              <w:rPr>
                <w:rFonts w:hint="eastAsia" w:ascii="宋体" w:hAnsi="宋体" w:eastAsia="宋体" w:cs="宋体"/>
                <w:b w:val="0"/>
                <w:bCs/>
                <w:color w:val="000000" w:themeColor="text1"/>
                <w:spacing w:val="6"/>
                <w:sz w:val="24"/>
                <w:szCs w:val="24"/>
                <w:highlight w:val="none"/>
                <w14:textFill>
                  <w14:solidFill>
                    <w14:schemeClr w14:val="tx1"/>
                  </w14:solidFill>
                </w14:textFill>
              </w:rPr>
              <w:t>臭氧+紫外消毒</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BF5668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16.自动关机：</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紫外消毒后，自动关机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9C5E49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17.负压HEPA：负压HEPA排气过滤模块</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7ED37C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18.仪器接口：USB接口</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663797C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27487BA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18A0B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33A0E5B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23</w:t>
            </w:r>
          </w:p>
        </w:tc>
        <w:tc>
          <w:tcPr>
            <w:tcW w:w="1314" w:type="dxa"/>
            <w:noWrap w:val="0"/>
            <w:vAlign w:val="center"/>
          </w:tcPr>
          <w:p w14:paraId="5CE6C40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荧光定量PCR仪</w:t>
            </w:r>
          </w:p>
        </w:tc>
        <w:tc>
          <w:tcPr>
            <w:tcW w:w="6074" w:type="dxa"/>
            <w:noWrap w:val="0"/>
            <w:vAlign w:val="center"/>
          </w:tcPr>
          <w:p w14:paraId="132AF8F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1.适用耗材：0.2mL透明无裙边48孔板、八联管、单管等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12463E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2.检测通量：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≥48</w:t>
            </w:r>
            <w:r>
              <w:rPr>
                <w:rFonts w:hint="eastAsia" w:ascii="宋体" w:hAnsi="宋体" w:eastAsia="宋体" w:cs="宋体"/>
                <w:b w:val="0"/>
                <w:bCs/>
                <w:color w:val="000000" w:themeColor="text1"/>
                <w:spacing w:val="6"/>
                <w:sz w:val="24"/>
                <w:szCs w:val="24"/>
                <w:highlight w:val="none"/>
                <w14:textFill>
                  <w14:solidFill>
                    <w14:schemeClr w14:val="tx1"/>
                  </w14:solidFill>
                </w14:textFill>
              </w:rPr>
              <w:t>孔</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C21350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3.适用染料/探针：通道1：FAM，SYBRGreenI等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通道2：VIC，HEX，TET，JOE等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通道3：ROX，TexasRed等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1D1118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通道4：Cy5等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AAB7EC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4.反应体系：10μL-100μL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89F1C7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5.温控技术：半导体制冷片加热制冷技术</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396997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6.温控范围：3℃~100.0℃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C3C447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7.温度准确性：≤0.1℃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7E9334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8.模块控温精度：≤0.1℃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A5F30D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9.温度均匀性：±0.2℃</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E5AD9F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10.最大升温速率：8℃/s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A7E6BE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11.平均升温速率：6.</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EA2914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12.最大降温速率：6.</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19E548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13.平均降温速率：4℃/s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985B34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14.支持温度梯度</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梯度跨度：1℃~40℃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545F8B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.温度程序：支持标准PCR、梯度PCR、降落PCR、长片段PCR等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E82924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.高亮免维护LED激发光源</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光电二极管检测器件</w:t>
            </w:r>
          </w:p>
          <w:p w14:paraId="56A8AA6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pacing w:val="6"/>
                <w:sz w:val="24"/>
                <w:szCs w:val="24"/>
                <w:highlight w:val="none"/>
                <w14:textFill>
                  <w14:solidFill>
                    <w14:schemeClr w14:val="tx1"/>
                  </w14:solidFill>
                </w14:textFill>
              </w:rPr>
              <w:t>.荧光扫描时间：</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2秒内完成</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48孔4色检测</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AF8BDE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18</w:t>
            </w:r>
            <w:r>
              <w:rPr>
                <w:rFonts w:hint="eastAsia" w:ascii="宋体" w:hAnsi="宋体" w:eastAsia="宋体" w:cs="宋体"/>
                <w:b w:val="0"/>
                <w:bCs/>
                <w:color w:val="000000" w:themeColor="text1"/>
                <w:spacing w:val="6"/>
                <w:sz w:val="24"/>
                <w:szCs w:val="24"/>
                <w:highlight w:val="none"/>
                <w14:textFill>
                  <w14:solidFill>
                    <w14:schemeClr w14:val="tx1"/>
                  </w14:solidFill>
                </w14:textFill>
              </w:rPr>
              <w:t>.荧光线性：≥0.99</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77E525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19</w:t>
            </w:r>
            <w:r>
              <w:rPr>
                <w:rFonts w:hint="eastAsia" w:ascii="宋体" w:hAnsi="宋体" w:eastAsia="宋体" w:cs="宋体"/>
                <w:b w:val="0"/>
                <w:bCs/>
                <w:color w:val="000000" w:themeColor="text1"/>
                <w:spacing w:val="6"/>
                <w:sz w:val="24"/>
                <w:szCs w:val="24"/>
                <w:highlight w:val="none"/>
                <w14:textFill>
                  <w14:solidFill>
                    <w14:schemeClr w14:val="tx1"/>
                  </w14:solidFill>
                </w14:textFill>
              </w:rPr>
              <w:t>.样本重复性：Ct值CV%≤0.5%</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8658C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.样本线性：r/≥0.99</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7D1C6B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.≥7英寸全彩触摸显示屏，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单机运行</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BE12DD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pacing w:val="6"/>
                <w:sz w:val="24"/>
                <w:szCs w:val="24"/>
                <w:highlight w:val="none"/>
                <w14:textFill>
                  <w14:solidFill>
                    <w14:schemeClr w14:val="tx1"/>
                  </w14:solidFill>
                </w14:textFill>
              </w:rPr>
              <w:t>.支持绝对定量、相对定量、等温扩增、熔解曲线、高分辨熔解曲线、基因分型、终点荧光分析等功能。</w:t>
            </w:r>
          </w:p>
          <w:p w14:paraId="67D2B73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一台主控计算机控制</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10台仪器</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218A80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具备</w:t>
            </w:r>
            <w:r>
              <w:rPr>
                <w:rFonts w:hint="eastAsia" w:ascii="宋体" w:hAnsi="宋体" w:eastAsia="宋体" w:cs="宋体"/>
                <w:b w:val="0"/>
                <w:bCs/>
                <w:color w:val="000000" w:themeColor="text1"/>
                <w:spacing w:val="6"/>
                <w:sz w:val="24"/>
                <w:szCs w:val="24"/>
                <w:highlight w:val="none"/>
                <w14:textFill>
                  <w14:solidFill>
                    <w14:schemeClr w14:val="tx1"/>
                  </w14:solidFill>
                </w14:textFill>
              </w:rPr>
              <w:t>瞬时断电保护，在仪器重启后继续运行未完成实验</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2B5F88F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FEE265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452F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670918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24</w:t>
            </w:r>
          </w:p>
        </w:tc>
        <w:tc>
          <w:tcPr>
            <w:tcW w:w="1314" w:type="dxa"/>
            <w:noWrap w:val="0"/>
            <w:vAlign w:val="center"/>
          </w:tcPr>
          <w:p w14:paraId="277E9B1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超净工作台</w:t>
            </w:r>
          </w:p>
        </w:tc>
        <w:tc>
          <w:tcPr>
            <w:tcW w:w="6074" w:type="dxa"/>
            <w:noWrap w:val="0"/>
            <w:vAlign w:val="center"/>
          </w:tcPr>
          <w:p w14:paraId="41B7BEA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1.彩色LCD液晶数显屏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在一个界面实时显示风速档位、运行时间、过滤器与紫外灯剩余寿命百分比、环境温度</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等。</w:t>
            </w:r>
          </w:p>
          <w:p w14:paraId="3C0692B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触键实现三档调速</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DC3848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3.双侧壁玻璃窗设计</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C86E33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4.洁净度</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ISO4级</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DB321D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5.菌落数≤0.5个／皿·时(Φ90mm培养平皿</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30A027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6.平均风速范围0.3～0.6m/s</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7AEB6B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7.噪声≤67dB</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C201B0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8.照明灯照度≥300LX</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9E8CF3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9.照明与灭菌互锁功能有效避免在工作时意外打开灭菌功能对样品及人员的伤害</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03BB71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10.紫外灭菌灯需要提供第三方出具的灭菌效果检测报告。</w:t>
            </w:r>
          </w:p>
          <w:p w14:paraId="6FBB4E0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.提供灭菌灯、过滤器寿命可视化预警功能</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1FEA4A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pacing w:val="6"/>
                <w:sz w:val="24"/>
                <w:szCs w:val="24"/>
                <w:highlight w:val="none"/>
                <w14:textFill>
                  <w14:solidFill>
                    <w14:schemeClr w14:val="tx1"/>
                  </w14:solidFill>
                </w14:textFill>
              </w:rPr>
              <w:t>.带备用插座设计，带有断电保护功能</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DB4809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13</w:t>
            </w:r>
            <w:r>
              <w:rPr>
                <w:rFonts w:hint="eastAsia" w:ascii="宋体" w:hAnsi="宋体" w:eastAsia="宋体" w:cs="宋体"/>
                <w:b w:val="0"/>
                <w:bCs/>
                <w:color w:val="000000" w:themeColor="text1"/>
                <w:spacing w:val="6"/>
                <w:sz w:val="24"/>
                <w:szCs w:val="24"/>
                <w:highlight w:val="none"/>
                <w14:textFill>
                  <w14:solidFill>
                    <w14:schemeClr w14:val="tx1"/>
                  </w14:solidFill>
                </w14:textFill>
              </w:rPr>
              <w:t>.工作区尺寸满足双人单面操作需求</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69B593A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pacing w:val="6"/>
                <w:sz w:val="24"/>
                <w:szCs w:val="24"/>
                <w:highlight w:val="none"/>
                <w14:textFill>
                  <w14:solidFill>
                    <w14:schemeClr w14:val="tx1"/>
                  </w14:solidFill>
                </w14:textFill>
              </w:rPr>
              <w:t>.带刹车装置的万向转动脚轮</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735" w:type="dxa"/>
            <w:noWrap w:val="0"/>
            <w:vAlign w:val="center"/>
          </w:tcPr>
          <w:p w14:paraId="310A493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7C50FA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1E63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26D4B1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25</w:t>
            </w:r>
          </w:p>
        </w:tc>
        <w:tc>
          <w:tcPr>
            <w:tcW w:w="1314" w:type="dxa"/>
            <w:noWrap w:val="0"/>
            <w:vAlign w:val="center"/>
          </w:tcPr>
          <w:p w14:paraId="5473366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CO2培养箱</w:t>
            </w:r>
          </w:p>
        </w:tc>
        <w:tc>
          <w:tcPr>
            <w:tcW w:w="6074" w:type="dxa"/>
            <w:noWrap w:val="0"/>
            <w:vAlign w:val="center"/>
          </w:tcPr>
          <w:p w14:paraId="78FBD9C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六</w:t>
            </w:r>
            <w:r>
              <w:rPr>
                <w:rFonts w:hint="eastAsia" w:ascii="宋体" w:hAnsi="宋体" w:eastAsia="宋体" w:cs="宋体"/>
                <w:b w:val="0"/>
                <w:bCs/>
                <w:color w:val="000000" w:themeColor="text1"/>
                <w:spacing w:val="6"/>
                <w:sz w:val="24"/>
                <w:szCs w:val="24"/>
                <w:highlight w:val="none"/>
                <w14:textFill>
                  <w14:solidFill>
                    <w14:schemeClr w14:val="tx1"/>
                  </w14:solidFill>
                </w14:textFill>
              </w:rPr>
              <w:t>面直热式加热方式，温度波动性≤±0.1℃,温度均匀度≤±0.2℃</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设置为37℃时</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1C327A3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2.箱体有效容积≥85L</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AD6A86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3.标准的右侧开门方式、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依据需求可选开门方向</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BB343A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4.不锈钢抛光一体内腔圆角设计，静置托板</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抽拉取出，</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调整托板间高度，</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托板架无需使用工具可拆卸并可全部取出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78826A5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具备</w:t>
            </w:r>
            <w:r>
              <w:rPr>
                <w:rFonts w:hint="eastAsia" w:ascii="宋体" w:hAnsi="宋体" w:eastAsia="宋体" w:cs="宋体"/>
                <w:b w:val="0"/>
                <w:bCs/>
                <w:color w:val="000000" w:themeColor="text1"/>
                <w:spacing w:val="6"/>
                <w:sz w:val="24"/>
                <w:szCs w:val="24"/>
                <w:highlight w:val="none"/>
                <w14:textFill>
                  <w14:solidFill>
                    <w14:schemeClr w14:val="tx1"/>
                  </w14:solidFill>
                </w14:textFill>
              </w:rPr>
              <w:t>独立湿度盘可依据需求取出或放入</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D1645F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具备</w:t>
            </w:r>
            <w:r>
              <w:rPr>
                <w:rFonts w:hint="eastAsia" w:ascii="宋体" w:hAnsi="宋体" w:eastAsia="宋体" w:cs="宋体"/>
                <w:b w:val="0"/>
                <w:bCs/>
                <w:color w:val="000000" w:themeColor="text1"/>
                <w:spacing w:val="6"/>
                <w:sz w:val="24"/>
                <w:szCs w:val="24"/>
                <w:highlight w:val="none"/>
                <w14:textFill>
                  <w14:solidFill>
                    <w14:schemeClr w14:val="tx1"/>
                  </w14:solidFill>
                </w14:textFill>
              </w:rPr>
              <w:t>UV紫外灭菌，无需单独对组件进行高温高压消毒和重新组装</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4DFC2AD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pacing w:val="6"/>
                <w:sz w:val="24"/>
                <w:szCs w:val="24"/>
                <w:highlight w:val="none"/>
                <w14:textFill>
                  <w14:solidFill>
                    <w14:schemeClr w14:val="tx1"/>
                  </w14:solidFill>
                </w14:textFill>
              </w:rPr>
              <w:t>.具备HEPA过滤气流系统，开门后5分钟内可完成舱室内空气过滤</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56B291E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14:textFill>
                  <w14:solidFill>
                    <w14:schemeClr w14:val="tx1"/>
                  </w14:solidFill>
                </w14:textFill>
              </w:rPr>
              <w:t>.具备红外线</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IR</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CO₂探测传感器，CO₂控制范围0～20%，CO₂控制精度0.1%</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28B8BCD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.配有</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5寸LCD触控操作屏，</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可在同一界面显示设定温度、二氧化碳浓度值以及实时的温度和二氧化碳浓度值；可显示即时运行曲线，历史运行曲线，</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通过USB接口导出3个月以上的历史数据；可存储</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25万条信息；具备参数超限声音和视觉报警，屏幕菜单提示；具备定时功能，时间设置范围0~99小时</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02DC24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.具有三级管理权限，包括管理员、试验员和操作员，至少提供</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7个及不同等级的用户账号</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D0417C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14:textFill>
                  <w14:solidFill>
                    <w14:schemeClr w14:val="tx1"/>
                  </w14:solidFill>
                </w14:textFill>
              </w:rPr>
              <w:t>.箱体耐受实验室常用消毒剂的消杀。</w:t>
            </w:r>
          </w:p>
        </w:tc>
        <w:tc>
          <w:tcPr>
            <w:tcW w:w="735" w:type="dxa"/>
            <w:noWrap w:val="0"/>
            <w:vAlign w:val="center"/>
          </w:tcPr>
          <w:p w14:paraId="39690CB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1D91E38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5C413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7D59E6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26</w:t>
            </w:r>
          </w:p>
        </w:tc>
        <w:tc>
          <w:tcPr>
            <w:tcW w:w="1314" w:type="dxa"/>
            <w:noWrap w:val="0"/>
            <w:vAlign w:val="center"/>
          </w:tcPr>
          <w:p w14:paraId="0C6047A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恒温震荡培养箱</w:t>
            </w:r>
          </w:p>
        </w:tc>
        <w:tc>
          <w:tcPr>
            <w:tcW w:w="6074" w:type="dxa"/>
            <w:noWrap w:val="0"/>
            <w:vAlign w:val="center"/>
          </w:tcPr>
          <w:p w14:paraId="0AE7F24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1.分层培养结构：设备配置双层培养托板，具备分层工作模式，一层实现振荡培养，一层实现静置培养。</w:t>
            </w:r>
          </w:p>
          <w:p w14:paraId="08A0DDE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控制系统：采用LCD按键控制器，可同步显示温度、转速等运行参数；参数偏离设定阈值时，具备声光报警功能；设备具备断电记忆功能，断电重启后自动恢复原设定参数并提示断电异常记录；定时调控范围0h～99h。</w:t>
            </w:r>
          </w:p>
          <w:p w14:paraId="2D83EF2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3.箱体防护结构：采用双层玻璃门结构；舱室内置照明及紫外杀菌系统，可完成舱室灭菌作业。</w:t>
            </w:r>
          </w:p>
          <w:p w14:paraId="15E85E9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4.内腔结构：内腔采用全不锈钢弧度转角一体成型结构。</w:t>
            </w:r>
          </w:p>
          <w:p w14:paraId="02DF097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5.防水防护性能：设备采用防水箱体结构，驱动马达、电子元器件等水汽敏感部件外置安装，可在高温高湿工况下运行。</w:t>
            </w:r>
          </w:p>
          <w:p w14:paraId="2371BF6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6.清洁防护要求：设备具备碎瓶防护结构，培养容器破碎不损坏设备；箱体底部支持水洗，可使用清洁剂、灭菌剂进行消杀清洁。</w:t>
            </w:r>
          </w:p>
          <w:p w14:paraId="7938B73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7.夹具配置：夹具采用一体成型304不锈钢材质，无焊接缝；夹具固定臂做塑封处理。</w:t>
            </w:r>
          </w:p>
          <w:p w14:paraId="4AD3CC5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8.温控循环结构：配置无热量防水风机，均衡舱室内温度，降低设备背景热源。</w:t>
            </w:r>
          </w:p>
          <w:p w14:paraId="0B915E9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9.摇板配置：摇板厚度≥8mm，采用镀铬铝合金拉丝材质。</w:t>
            </w:r>
          </w:p>
          <w:p w14:paraId="32237EE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10.门体联动保护：设备运行过程中，舱门开启时振荡板自动柔性制动停机；舱门关闭后自动柔性提速至设定转速。</w:t>
            </w:r>
          </w:p>
          <w:p w14:paraId="1131577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11.振荡参数：具备多档振幅可调功能</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，振幅调节范围涵盖25mm至50mm</w:t>
            </w:r>
            <w:r>
              <w:rPr>
                <w:rFonts w:hint="eastAsia" w:ascii="宋体" w:hAnsi="宋体" w:eastAsia="宋体" w:cs="宋体"/>
                <w:b w:val="0"/>
                <w:bCs/>
                <w:color w:val="000000" w:themeColor="text1"/>
                <w:spacing w:val="6"/>
                <w:sz w:val="24"/>
                <w:szCs w:val="24"/>
                <w:highlight w:val="none"/>
                <w14:textFill>
                  <w14:solidFill>
                    <w14:schemeClr w14:val="tx1"/>
                  </w14:solidFill>
                </w14:textFill>
              </w:rPr>
              <w:t>；转速调控范围2rpm～300rpm，转速控制精准。</w:t>
            </w:r>
          </w:p>
          <w:p w14:paraId="2A83124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12.温度控制指标：控温范围RT+5℃～60℃，温度设定精度0.1℃；舱室内温度均匀性≤±0.5℃。</w:t>
            </w:r>
          </w:p>
          <w:p w14:paraId="3DE99E6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13.承载规格：上层为静置托板，下层为振荡托板；最大承载配置：125ml×20、250ml×16、500ml×9、1000ml×8、2000ml×5、3000ml×2、5000ml×1、50ml试管架×2。</w:t>
            </w:r>
          </w:p>
        </w:tc>
        <w:tc>
          <w:tcPr>
            <w:tcW w:w="735" w:type="dxa"/>
            <w:noWrap w:val="0"/>
            <w:vAlign w:val="center"/>
          </w:tcPr>
          <w:p w14:paraId="1ACDF2D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5ACAD65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23DA1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71503D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27</w:t>
            </w:r>
          </w:p>
        </w:tc>
        <w:tc>
          <w:tcPr>
            <w:tcW w:w="1314" w:type="dxa"/>
            <w:noWrap w:val="0"/>
            <w:vAlign w:val="center"/>
          </w:tcPr>
          <w:p w14:paraId="647EBD7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酶标仪</w:t>
            </w:r>
          </w:p>
        </w:tc>
        <w:tc>
          <w:tcPr>
            <w:tcW w:w="6074" w:type="dxa"/>
            <w:noWrap w:val="0"/>
            <w:vAlign w:val="center"/>
          </w:tcPr>
          <w:p w14:paraId="79516039">
            <w:pPr>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14:textFill>
                  <w14:solidFill>
                    <w14:schemeClr w14:val="tx1"/>
                  </w14:solidFill>
                </w14:textFill>
              </w:rPr>
              <w:t>波长范围：330-1100nm</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14:textFill>
                  <w14:solidFill>
                    <w14:schemeClr w14:val="tx1"/>
                  </w14:solidFill>
                </w14:textFill>
              </w:rPr>
              <w:t>滤光片配置：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10个滤光片位置，标配405nm、450nm、492nm、630nm,</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选配6定制波长</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14:textFill>
                  <w14:solidFill>
                    <w14:schemeClr w14:val="tx1"/>
                  </w14:solidFill>
                </w14:textFill>
              </w:rPr>
              <w:t>吸光度范围：0.000―4.000A</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光通道数：</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8通道光路检测，另设一个独立参比通道(</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选配)</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示值稳定性：≤±0.002A或≤0.5%T/10min。</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示值误差(准确性)：≤±0.005A或±0.2%T。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重复性：≤0.2%或≤0.2%T。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14:textFill>
                  <w14:solidFill>
                    <w14:schemeClr w14:val="tx1"/>
                  </w14:solidFill>
                </w14:textFill>
              </w:rPr>
              <w:t>灵敏度：≥0.01(L/mg)。</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z w:val="24"/>
                <w:szCs w:val="24"/>
                <w:highlight w:val="none"/>
                <w14:textFill>
                  <w14:solidFill>
                    <w14:schemeClr w14:val="tx1"/>
                  </w14:solidFill>
                </w14:textFill>
              </w:rPr>
              <w:t>通道差异：≤0.01A。</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z w:val="24"/>
                <w:szCs w:val="24"/>
                <w:highlight w:val="none"/>
                <w14:textFill>
                  <w14:solidFill>
                    <w14:schemeClr w14:val="tx1"/>
                  </w14:solidFill>
                </w14:textFill>
              </w:rPr>
              <w:t>波长示值误差：±1nm</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z w:val="24"/>
                <w:szCs w:val="24"/>
                <w:highlight w:val="none"/>
                <w14:textFill>
                  <w14:solidFill>
                    <w14:schemeClr w14:val="tx1"/>
                  </w14:solidFill>
                </w14:textFill>
              </w:rPr>
              <w:t>半宽度：≤8nm</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b w:val="0"/>
                <w:bCs/>
                <w:color w:val="000000" w:themeColor="text1"/>
                <w:sz w:val="24"/>
                <w:szCs w:val="24"/>
                <w:highlight w:val="none"/>
                <w14:textFill>
                  <w14:solidFill>
                    <w14:schemeClr w14:val="tx1"/>
                  </w14:solidFill>
                </w14:textFill>
              </w:rPr>
              <w:t>峰值透射比：≥35%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b w:val="0"/>
                <w:bCs/>
                <w:color w:val="000000" w:themeColor="text1"/>
                <w:sz w:val="24"/>
                <w:szCs w:val="24"/>
                <w:highlight w:val="none"/>
                <w14:textFill>
                  <w14:solidFill>
                    <w14:schemeClr w14:val="tx1"/>
                  </w14:solidFill>
                </w14:textFill>
              </w:rPr>
              <w:t>分辨率：0.001A，0.0001A</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w:t>
            </w:r>
            <w:r>
              <w:rPr>
                <w:rFonts w:hint="eastAsia" w:ascii="宋体" w:hAnsi="宋体" w:eastAsia="宋体" w:cs="宋体"/>
                <w:b w:val="0"/>
                <w:bCs/>
                <w:color w:val="000000" w:themeColor="text1"/>
                <w:sz w:val="24"/>
                <w:szCs w:val="24"/>
                <w:highlight w:val="none"/>
                <w14:textFill>
                  <w14:solidFill>
                    <w14:schemeClr w14:val="tx1"/>
                  </w14:solidFill>
                </w14:textFill>
              </w:rPr>
              <w:t>读板速度：单波长≤3秒/96孔，双波长≤6秒/96孔</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bCs/>
                <w:color w:val="000000" w:themeColor="text1"/>
                <w:sz w:val="24"/>
                <w:szCs w:val="24"/>
                <w:highlight w:val="none"/>
                <w14:textFill>
                  <w14:solidFill>
                    <w14:schemeClr w14:val="tx1"/>
                  </w14:solidFill>
                </w14:textFill>
              </w:rPr>
              <w:t>振板功能：速度和时间可调</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b w:val="0"/>
                <w:bCs/>
                <w:color w:val="000000" w:themeColor="text1"/>
                <w:sz w:val="24"/>
                <w:szCs w:val="24"/>
                <w:highlight w:val="none"/>
                <w14:textFill>
                  <w14:solidFill>
                    <w14:schemeClr w14:val="tx1"/>
                  </w14:solidFill>
                </w14:textFill>
              </w:rPr>
              <w:t>光源类型：卤钨灯</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板条类型：标准96孔或其他型酶标板、条</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18.</w:t>
            </w:r>
            <w:r>
              <w:rPr>
                <w:rFonts w:hint="eastAsia" w:ascii="宋体" w:hAnsi="宋体" w:eastAsia="宋体" w:cs="宋体"/>
                <w:b w:val="0"/>
                <w:bCs/>
                <w:color w:val="000000" w:themeColor="text1"/>
                <w:sz w:val="24"/>
                <w:szCs w:val="24"/>
                <w:highlight w:val="none"/>
                <w14:textFill>
                  <w14:solidFill>
                    <w14:schemeClr w14:val="tx1"/>
                  </w14:solidFill>
                </w14:textFill>
              </w:rPr>
              <w:t>适用孔型：平底、U型和V型</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val="0"/>
                <w:bCs/>
                <w:color w:val="000000" w:themeColor="text1"/>
                <w:sz w:val="24"/>
                <w:szCs w:val="24"/>
                <w:highlight w:val="none"/>
                <w14:textFill>
                  <w14:solidFill>
                    <w14:schemeClr w14:val="tx1"/>
                  </w14:solidFill>
                </w14:textFill>
              </w:rPr>
              <w:t>显示方式：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7寸彩色液晶显示屏显示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val="0"/>
                <w:bCs/>
                <w:color w:val="000000" w:themeColor="text1"/>
                <w:sz w:val="24"/>
                <w:szCs w:val="24"/>
                <w:highlight w:val="none"/>
                <w14:textFill>
                  <w14:solidFill>
                    <w14:schemeClr w14:val="tx1"/>
                  </w14:solidFill>
                </w14:textFill>
              </w:rPr>
              <w:t>输入方式：触摸屏输入，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可选配鼠标和键盘</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w:t>
            </w:r>
            <w:r>
              <w:rPr>
                <w:rFonts w:hint="eastAsia" w:ascii="宋体" w:hAnsi="宋体" w:eastAsia="宋体" w:cs="宋体"/>
                <w:b w:val="0"/>
                <w:bCs/>
                <w:color w:val="000000" w:themeColor="text1"/>
                <w:sz w:val="24"/>
                <w:szCs w:val="24"/>
                <w:highlight w:val="none"/>
                <w14:textFill>
                  <w14:solidFill>
                    <w14:schemeClr w14:val="tx1"/>
                  </w14:solidFill>
                </w14:textFill>
              </w:rPr>
              <w:t>打印：内置热敏打印机，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可外接打印机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22.</w:t>
            </w:r>
            <w:r>
              <w:rPr>
                <w:rFonts w:hint="eastAsia" w:ascii="宋体" w:hAnsi="宋体" w:eastAsia="宋体" w:cs="宋体"/>
                <w:b w:val="0"/>
                <w:bCs/>
                <w:color w:val="000000" w:themeColor="text1"/>
                <w:sz w:val="24"/>
                <w:szCs w:val="24"/>
                <w:highlight w:val="none"/>
                <w14:textFill>
                  <w14:solidFill>
                    <w14:schemeClr w14:val="tx1"/>
                  </w14:solidFill>
                </w14:textFill>
              </w:rPr>
              <w:t>接口：</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≥2个</w:t>
            </w:r>
            <w:r>
              <w:rPr>
                <w:rFonts w:hint="eastAsia" w:ascii="宋体" w:hAnsi="宋体" w:eastAsia="宋体" w:cs="宋体"/>
                <w:b w:val="0"/>
                <w:bCs/>
                <w:color w:val="000000" w:themeColor="text1"/>
                <w:sz w:val="24"/>
                <w:szCs w:val="24"/>
                <w:highlight w:val="none"/>
                <w14:textFill>
                  <w14:solidFill>
                    <w14:schemeClr w14:val="tx1"/>
                  </w14:solidFill>
                </w14:textFill>
              </w:rPr>
              <w:t>USB口、串口、并口</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 w:val="0"/>
                <w:bCs/>
                <w:color w:val="000000" w:themeColor="text1"/>
                <w:sz w:val="24"/>
                <w:szCs w:val="24"/>
                <w:highlight w:val="none"/>
                <w14:textFill>
                  <w14:solidFill>
                    <w14:schemeClr w14:val="tx1"/>
                  </w14:solidFill>
                </w14:textFill>
              </w:rPr>
              <w:t>数据储存：</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200,000个测试数据，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500个以上测试项目(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z w:val="24"/>
                <w:szCs w:val="24"/>
                <w:highlight w:val="none"/>
                <w14:textFill>
                  <w14:solidFill>
                    <w14:schemeClr w14:val="tx1"/>
                  </w14:solidFill>
                </w14:textFill>
              </w:rPr>
              <w:t>可扩展)</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tc>
        <w:tc>
          <w:tcPr>
            <w:tcW w:w="735" w:type="dxa"/>
            <w:noWrap w:val="0"/>
            <w:vAlign w:val="center"/>
          </w:tcPr>
          <w:p w14:paraId="45F9043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1C672CB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28F49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9F350E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28</w:t>
            </w:r>
          </w:p>
        </w:tc>
        <w:tc>
          <w:tcPr>
            <w:tcW w:w="1314" w:type="dxa"/>
            <w:noWrap w:val="0"/>
            <w:vAlign w:val="center"/>
          </w:tcPr>
          <w:p w14:paraId="2FB994C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基因扩增仪</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单头</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tc>
        <w:tc>
          <w:tcPr>
            <w:tcW w:w="6074" w:type="dxa"/>
            <w:noWrap w:val="0"/>
            <w:vAlign w:val="center"/>
          </w:tcPr>
          <w:p w14:paraId="78205D5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1.样本通量：≥96。</w:t>
            </w:r>
          </w:p>
          <w:p w14:paraId="6773075D">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2.适用耗材：0.2mL96孔PCR板,0.2mLPCR单管,0.2mLPCR8联管。</w:t>
            </w:r>
          </w:p>
          <w:p w14:paraId="059F81FA">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3.反应体系：≥10-100μL。</w:t>
            </w:r>
          </w:p>
          <w:p w14:paraId="01E6773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4.控温技术：半导体制冷片加热制冷技术，采用半导体制冷器。</w:t>
            </w:r>
          </w:p>
          <w:p w14:paraId="43334E8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5.温控方式：BLOCK、TUBE模式。</w:t>
            </w:r>
          </w:p>
          <w:p w14:paraId="2D24E8EB">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6.风道设计：前进风后出风设计。</w:t>
            </w:r>
          </w:p>
          <w:p w14:paraId="7C04EC62">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7.模块控温范围：4.0～105.0℃。</w:t>
            </w:r>
          </w:p>
          <w:p w14:paraId="704C80E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8.最大升降温速度：≥5℃/s。</w:t>
            </w:r>
          </w:p>
          <w:p w14:paraId="496408F3">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9.温控精度：≤±0.1℃。</w:t>
            </w:r>
          </w:p>
          <w:p w14:paraId="23CA8F6A">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10.模块温度均匀性：≤±0.2℃。</w:t>
            </w:r>
          </w:p>
          <w:p w14:paraId="674C671F">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11.热盖温度范围：30℃～110℃。</w:t>
            </w:r>
          </w:p>
          <w:p w14:paraId="7FB8CF9B">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12.自动热盖：热盖可根据实际使用状态调整高度和压力以适应不同反应管，有效防止试剂蒸发和污染。</w:t>
            </w:r>
          </w:p>
          <w:p w14:paraId="2FCF0215">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13.热盖压紧方式：一次压紧热盖，无需反复调节。</w:t>
            </w:r>
          </w:p>
          <w:p w14:paraId="302D5824">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14.热盖自动关闭：样品台温度低于用户设定值或程序结束时，热盖自动关闭。</w:t>
            </w:r>
          </w:p>
          <w:p w14:paraId="6CDCC7CF">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15.变速温度可调：0.1℃～5℃。</w:t>
            </w:r>
          </w:p>
          <w:p w14:paraId="567BFA17">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16.低温保存功能：具有SOAK低温保存功能。</w:t>
            </w:r>
          </w:p>
          <w:p w14:paraId="20C5B34B">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17.梯度温度范围：30-99.9℃。</w:t>
            </w:r>
          </w:p>
          <w:p w14:paraId="0140B6E8">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18.梯度温差范围：1-42℃。</w:t>
            </w:r>
          </w:p>
          <w:p w14:paraId="17533E57">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19.最大步骤：100个，可做二重嵌套循环。</w:t>
            </w:r>
          </w:p>
          <w:p w14:paraId="3552670C">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20.最大循环数：标准循环99(嵌套2级)可做巢式PCR。</w:t>
            </w:r>
          </w:p>
          <w:p w14:paraId="04E1F730">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21.时间递增/递减：0-10分可做LongPCR。</w:t>
            </w:r>
          </w:p>
          <w:p w14:paraId="68657A20">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22.温度递增/递减：0-10℃可做TouchdownPCR。</w:t>
            </w:r>
          </w:p>
          <w:p w14:paraId="79C60CB2">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23.液晶显示：≥8英寸全彩液晶显示屏，实时图文显示运行状态。</w:t>
            </w:r>
          </w:p>
          <w:p w14:paraId="1B910F98">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24.支持手机移动端同步app，实时监控设备运行情况。</w:t>
            </w:r>
          </w:p>
          <w:p w14:paraId="5051DA38">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25.支持电脑控制多台仪器的远程控制及管理工作。</w:t>
            </w:r>
          </w:p>
          <w:p w14:paraId="055C9655">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26.程序存储数：≥2000，支持通过U盘无限拓展存储。</w:t>
            </w:r>
          </w:p>
          <w:p w14:paraId="610DCB76">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27.具备断电保存、程序运行报告记录、文件加密、Tm计算、中英文语言设置等功能。</w:t>
            </w:r>
          </w:p>
          <w:p w14:paraId="1B4E3F1F">
            <w:pP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28.信息接口：USB2.0、LAN、wifi。</w:t>
            </w:r>
          </w:p>
        </w:tc>
        <w:tc>
          <w:tcPr>
            <w:tcW w:w="735" w:type="dxa"/>
            <w:noWrap w:val="0"/>
            <w:vAlign w:val="center"/>
          </w:tcPr>
          <w:p w14:paraId="1955505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B7C3EA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60099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26D16E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29</w:t>
            </w:r>
          </w:p>
        </w:tc>
        <w:tc>
          <w:tcPr>
            <w:tcW w:w="1314" w:type="dxa"/>
            <w:noWrap w:val="0"/>
            <w:vAlign w:val="center"/>
          </w:tcPr>
          <w:p w14:paraId="2811A48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通用型电泳仪电源</w:t>
            </w:r>
          </w:p>
        </w:tc>
        <w:tc>
          <w:tcPr>
            <w:tcW w:w="6074" w:type="dxa"/>
            <w:noWrap w:val="0"/>
            <w:vAlign w:val="center"/>
          </w:tcPr>
          <w:p w14:paraId="72EFC5E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1.输出类型：恒压、恒流、恒功率输出</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连续可调</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p w14:paraId="70D4BD1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2.输出范围：3～300V、1～400mA、1～120W。</w:t>
            </w:r>
          </w:p>
          <w:p w14:paraId="263EB96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3.分辨率：电压1V、电流1mA、功率1W。</w:t>
            </w:r>
          </w:p>
          <w:p w14:paraId="7243A37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4.定时范围：1分钟～99小时。</w:t>
            </w:r>
          </w:p>
          <w:p w14:paraId="1F2C335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5.显示：带背光的LCD液晶屏</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128×64像素</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p w14:paraId="5912203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6.输出插孔：</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4组。</w:t>
            </w:r>
          </w:p>
          <w:p w14:paraId="43D718F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7.尺寸</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约</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：280×23</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×11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mm。</w:t>
            </w:r>
          </w:p>
        </w:tc>
        <w:tc>
          <w:tcPr>
            <w:tcW w:w="735" w:type="dxa"/>
            <w:noWrap w:val="0"/>
            <w:vAlign w:val="center"/>
          </w:tcPr>
          <w:p w14:paraId="5E504A8F">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A6C9D6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01E64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7D3AF61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30</w:t>
            </w:r>
          </w:p>
        </w:tc>
        <w:tc>
          <w:tcPr>
            <w:tcW w:w="1314" w:type="dxa"/>
            <w:noWrap w:val="0"/>
            <w:vAlign w:val="center"/>
          </w:tcPr>
          <w:p w14:paraId="4DA0AF1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水平电泳槽</w:t>
            </w:r>
          </w:p>
        </w:tc>
        <w:tc>
          <w:tcPr>
            <w:tcW w:w="6074" w:type="dxa"/>
            <w:noWrap w:val="0"/>
            <w:vAlign w:val="center"/>
          </w:tcPr>
          <w:p w14:paraId="27B461E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1.支持120mm×120mm、120mm×60mm、60mm×120mm、60mm×60mm</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等</w:t>
            </w:r>
            <w:r>
              <w:rPr>
                <w:rFonts w:hint="eastAsia" w:ascii="宋体" w:hAnsi="宋体" w:eastAsia="宋体" w:cs="宋体"/>
                <w:b w:val="0"/>
                <w:bCs/>
                <w:color w:val="000000" w:themeColor="text1"/>
                <w:spacing w:val="6"/>
                <w:sz w:val="24"/>
                <w:szCs w:val="24"/>
                <w:highlight w:val="none"/>
                <w14:textFill>
                  <w14:solidFill>
                    <w14:schemeClr w14:val="tx1"/>
                  </w14:solidFill>
                </w14:textFill>
              </w:rPr>
              <w:t>规格凝胶面积。</w:t>
            </w:r>
          </w:p>
          <w:p w14:paraId="1E02A38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2.样品通量：1.5mm厚度凝胶适配1齿、2齿、3齿；1.0mm厚度凝胶适配6齿、8齿、11齿、13齿、18齿、25齿。</w:t>
            </w:r>
          </w:p>
          <w:p w14:paraId="3A036D1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3.缓冲液容积：≥550ml。</w:t>
            </w:r>
          </w:p>
          <w:p w14:paraId="2660AE2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pacing w:val="6"/>
                <w:sz w:val="24"/>
                <w:szCs w:val="24"/>
                <w:highlight w:val="none"/>
                <w14:textFill>
                  <w14:solidFill>
                    <w14:schemeClr w14:val="tx1"/>
                  </w14:solidFill>
                </w14:textFill>
              </w:rPr>
              <w:t>.PC材质一体注塑成型。</w:t>
            </w:r>
          </w:p>
          <w:p w14:paraId="704A615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.配置双色上盖，开盖切断电泳电场。</w:t>
            </w:r>
          </w:p>
          <w:p w14:paraId="21C26C5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.托盘配置把手，具备防漂移结构，设有加样背景色。</w:t>
            </w:r>
          </w:p>
          <w:p w14:paraId="0EC9206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pacing w:val="6"/>
                <w:sz w:val="24"/>
                <w:szCs w:val="24"/>
                <w:highlight w:val="none"/>
                <w14:textFill>
                  <w14:solidFill>
                    <w14:schemeClr w14:val="tx1"/>
                  </w14:solidFill>
                </w14:textFill>
              </w:rPr>
              <w:t>.配备安全开盖按钮、专用制胶盒，具备水平调节功能。</w:t>
            </w:r>
          </w:p>
          <w:p w14:paraId="34A20B6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14:textFill>
                  <w14:solidFill>
                    <w14:schemeClr w14:val="tx1"/>
                  </w14:solidFill>
                </w14:textFill>
              </w:rPr>
              <w:t>.支持电极架可拆卸。</w:t>
            </w:r>
          </w:p>
          <w:p w14:paraId="384D198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pacing w:val="6"/>
                <w:sz w:val="24"/>
                <w:szCs w:val="24"/>
                <w:highlight w:val="none"/>
                <w14:textFill>
                  <w14:solidFill>
                    <w14:schemeClr w14:val="tx1"/>
                  </w14:solidFill>
                </w14:textFill>
              </w:rPr>
              <w:t>.适用范围：适用于DNA检测、分离及分子量测试。</w:t>
            </w:r>
          </w:p>
        </w:tc>
        <w:tc>
          <w:tcPr>
            <w:tcW w:w="735" w:type="dxa"/>
            <w:noWrap w:val="0"/>
            <w:vAlign w:val="center"/>
          </w:tcPr>
          <w:p w14:paraId="25F04F3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2C61C2A">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342D8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6A847E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31</w:t>
            </w:r>
          </w:p>
        </w:tc>
        <w:tc>
          <w:tcPr>
            <w:tcW w:w="1314" w:type="dxa"/>
            <w:noWrap w:val="0"/>
            <w:vAlign w:val="center"/>
          </w:tcPr>
          <w:p w14:paraId="32DA313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全自动凝胶成像系统</w:t>
            </w:r>
          </w:p>
        </w:tc>
        <w:tc>
          <w:tcPr>
            <w:tcW w:w="6074" w:type="dxa"/>
            <w:noWrap w:val="0"/>
            <w:vAlign w:val="center"/>
          </w:tcPr>
          <w:p w14:paraId="7DFECB5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1.运行环境：供给电压220V，频率50~60Hz；环境温度15℃~30℃；相对湿度≤90%；最大功率≤60W。</w:t>
            </w:r>
          </w:p>
          <w:p w14:paraId="54943C9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2.采用ABS材料一体机箱，暗箱尺寸(约)：280mm×400mm×300mm。</w:t>
            </w:r>
          </w:p>
          <w:p w14:paraId="2402356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3.摄像配置：搭载USB3.0接口科研相机。</w:t>
            </w:r>
          </w:p>
          <w:p w14:paraId="7B75FF4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4.感光效率(QE)：≥80%。</w:t>
            </w:r>
          </w:p>
          <w:p w14:paraId="0FF5A86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5.有效像素：≥500万像素，曝光时间1ms-10000ms。</w:t>
            </w:r>
          </w:p>
          <w:p w14:paraId="21284BD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6.像素密度：16bit(0-65535色)。</w:t>
            </w:r>
          </w:p>
          <w:p w14:paraId="1546DBF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7.像素尺寸：≥3.45μm×3.45μm。</w:t>
            </w:r>
          </w:p>
          <w:p w14:paraId="6129F3D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8.像素合并：1×1。</w:t>
            </w:r>
          </w:p>
          <w:p w14:paraId="4A2B694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9.动态范围：≥4.8个数量级。</w:t>
            </w:r>
          </w:p>
          <w:p w14:paraId="26750A5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10.电动镜头：自动聚焦镜头，全程聚焦速度≤5S。</w:t>
            </w:r>
          </w:p>
          <w:p w14:paraId="3BF17EDC">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11.LED透射白色光源：LED冷光顶针磁吸式，0—100%光源强度软件可调，激发光源智能开启与关闭，用于蜡染和银染的蛋白胶。</w:t>
            </w:r>
          </w:p>
          <w:p w14:paraId="3700C4F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12.紫外样品台：开门式抽屉灯管无影低背景样品台，LED紫外台波长302nm，成像面积≥21cm×21cm。</w:t>
            </w:r>
          </w:p>
          <w:p w14:paraId="7ADAFD4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13.LED反射白光：采用双侧反射模式。</w:t>
            </w:r>
          </w:p>
          <w:p w14:paraId="4EBC482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14.切胶装置：抽屉开放式结构，配置590nm光学滤镜，紫外线防护率</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99.</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%，防护面积≥20cm×20cm。</w:t>
            </w:r>
          </w:p>
          <w:p w14:paraId="2D895FB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15.滤光片：标配590nm波长滤光片。</w:t>
            </w:r>
          </w:p>
          <w:p w14:paraId="4B78136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16.采用USB3.0线材完成图像传输与仪器控制。</w:t>
            </w:r>
          </w:p>
          <w:p w14:paraId="40BC1B9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17.软件功能：具备自动曝光功能，可估算样品拍摄时间，支持积分拍摄调控；具备一键拍摄功能，可自动调控灯光与镜头，实现实验结果提前预览；自动曝光时间可自动录入时间框；支持图片批量导入、导出、删除，可自动识别U盘完成保存；可输出PDF、图片格式报告，满足GMP认证标准；具备一键自动分析功能；可实现条带自动检测、分子量测算、条带浓度测算、相对含量百分数分析、绝对浓度和密度计算，支持文字、符号注释添加，可输出数据报告。</w:t>
            </w:r>
          </w:p>
          <w:p w14:paraId="089E43E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.设备用途：用于紫外核酸凝胶成像、透射白光蛋白凝胶成像，可开展光密度成像、色度分析、克隆/斑点计数、微孔板定量、放射自显影胶片成像作业。</w:t>
            </w:r>
          </w:p>
        </w:tc>
        <w:tc>
          <w:tcPr>
            <w:tcW w:w="735" w:type="dxa"/>
            <w:noWrap w:val="0"/>
            <w:vAlign w:val="center"/>
          </w:tcPr>
          <w:p w14:paraId="0F93034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2E1773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1AFDE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BD62373">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32</w:t>
            </w:r>
          </w:p>
        </w:tc>
        <w:tc>
          <w:tcPr>
            <w:tcW w:w="1314" w:type="dxa"/>
            <w:noWrap w:val="0"/>
            <w:vAlign w:val="center"/>
          </w:tcPr>
          <w:p w14:paraId="7A70F0DC">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教学一体机</w:t>
            </w:r>
          </w:p>
        </w:tc>
        <w:tc>
          <w:tcPr>
            <w:tcW w:w="6074" w:type="dxa"/>
            <w:noWrap w:val="0"/>
            <w:vAlign w:val="center"/>
          </w:tcPr>
          <w:p w14:paraId="38BF909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1.显示屏幕：屏幕尺寸≥86英寸LED液晶屏，显示比例16:9，屏幕分辨率≥3840*2160。</w:t>
            </w:r>
          </w:p>
          <w:p w14:paraId="1B20BA1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2.整机规格：整机宽度≥4200mm，高度≥1200mm。</w:t>
            </w:r>
          </w:p>
          <w:p w14:paraId="017090F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整机嵌入式系统版本支持包括但不限于信创系统</w:t>
            </w:r>
            <w:r>
              <w:rPr>
                <w:rFonts w:hint="eastAsia" w:ascii="宋体" w:hAnsi="宋体" w:eastAsia="宋体" w:cs="宋体"/>
                <w:b w:val="0"/>
                <w:bCs/>
                <w:color w:val="000000" w:themeColor="text1"/>
                <w:spacing w:val="6"/>
                <w:sz w:val="24"/>
                <w:szCs w:val="24"/>
                <w:highlight w:val="none"/>
                <w14:textFill>
                  <w14:solidFill>
                    <w14:schemeClr w14:val="tx1"/>
                  </w14:solidFill>
                </w14:textFill>
              </w:rPr>
              <w:t>，主频≥1.6GHz，内存≥2GB，存储空间≥32GB。</w:t>
            </w:r>
          </w:p>
          <w:p w14:paraId="599C994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4.显示灰度：屏幕灰度分辨等级≥256灰阶。</w:t>
            </w:r>
          </w:p>
          <w:p w14:paraId="71B4F2B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5.贴合工艺：屏幕与保护层采用贴合工艺。</w:t>
            </w:r>
          </w:p>
          <w:p w14:paraId="4EB46FD6">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6.整机听力模式下具备AI人声语言增强功能，支持三档强弱调节。</w:t>
            </w:r>
          </w:p>
          <w:p w14:paraId="67396A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7.整机设备内置2.2声道扬声器，最大功率≥8</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0</w:t>
            </w:r>
            <w:r>
              <w:rPr>
                <w:rFonts w:hint="eastAsia" w:ascii="宋体" w:hAnsi="宋体" w:eastAsia="宋体" w:cs="宋体"/>
                <w:b w:val="0"/>
                <w:bCs/>
                <w:color w:val="000000" w:themeColor="text1"/>
                <w:spacing w:val="6"/>
                <w:sz w:val="24"/>
                <w:szCs w:val="24"/>
                <w:highlight w:val="none"/>
                <w14:textFill>
                  <w14:solidFill>
                    <w14:schemeClr w14:val="tx1"/>
                  </w14:solidFill>
                </w14:textFill>
              </w:rPr>
              <w:t>W。</w:t>
            </w:r>
          </w:p>
          <w:p w14:paraId="09D7F25D">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8.整机内置语音助手，通过整机麦克风及智能笔以唤醒词调起语音助手，支持语音交互的方式调节整机音量、亮度，语音操控打开系统已安装应用。</w:t>
            </w:r>
          </w:p>
          <w:p w14:paraId="2CF1D8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9.前置接口：前置双系统USB3.0接口数量≥2路。</w:t>
            </w:r>
          </w:p>
          <w:p w14:paraId="57E741C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10.扩展接口：前置Typec接口数量≥1路。</w:t>
            </w:r>
          </w:p>
          <w:p w14:paraId="36C2681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11.电源按键：电源键集成开机、关机、待机功能。</w:t>
            </w:r>
          </w:p>
          <w:p w14:paraId="432BC38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12.护眼功能：具备减滤蓝光功能，配置前置物理按键，</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支持</w:t>
            </w:r>
            <w:r>
              <w:rPr>
                <w:rFonts w:hint="eastAsia" w:ascii="宋体" w:hAnsi="宋体" w:eastAsia="宋体" w:cs="宋体"/>
                <w:b w:val="0"/>
                <w:bCs/>
                <w:color w:val="000000" w:themeColor="text1"/>
                <w:spacing w:val="6"/>
                <w:sz w:val="24"/>
                <w:szCs w:val="24"/>
                <w:highlight w:val="none"/>
                <w14:textFill>
                  <w14:solidFill>
                    <w14:schemeClr w14:val="tx1"/>
                  </w14:solidFill>
                </w14:textFill>
              </w:rPr>
              <w:t>一键启用减滤蓝光模式。</w:t>
            </w:r>
          </w:p>
          <w:p w14:paraId="63B1DFF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13.内置一体化摄像头，拍摄像素≥1600万。</w:t>
            </w:r>
          </w:p>
          <w:p w14:paraId="0ED12757">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14.整机内置非独立外扩展的8阵列麦克风，拾音角度达到150°。</w:t>
            </w:r>
          </w:p>
          <w:p w14:paraId="1FA8C13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15.具备无线传屏功能，支持外部电脑画面无线传输至本机显示。</w:t>
            </w:r>
          </w:p>
          <w:p w14:paraId="7AEA0A6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16.显示模式：支持纸质护眼模式，可调整画面纹理，支持透明度调节。</w:t>
            </w:r>
          </w:p>
          <w:p w14:paraId="57DB20D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17.音效调节：支持高级音效设置，可调节左右声道平衡；中低频段调节范围125Hz～1KHz，高频段调节范围2KHz～16KHz，分贝调节范围-12dB～12dB。</w:t>
            </w:r>
          </w:p>
          <w:p w14:paraId="011D1332">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18.硬件配置：搭载国产化CPU；内存≥8GBDDR4；硬盘≥256GBSSD固态硬盘。</w:t>
            </w:r>
          </w:p>
        </w:tc>
        <w:tc>
          <w:tcPr>
            <w:tcW w:w="735" w:type="dxa"/>
            <w:noWrap w:val="0"/>
            <w:vAlign w:val="center"/>
          </w:tcPr>
          <w:p w14:paraId="786C355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6BFAD97D">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个</w:t>
            </w:r>
          </w:p>
        </w:tc>
      </w:tr>
      <w:tr w14:paraId="4F92E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0DCE3C6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33</w:t>
            </w:r>
          </w:p>
        </w:tc>
        <w:tc>
          <w:tcPr>
            <w:tcW w:w="1314" w:type="dxa"/>
            <w:noWrap w:val="0"/>
            <w:vAlign w:val="center"/>
          </w:tcPr>
          <w:p w14:paraId="55D0826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冰箱</w:t>
            </w:r>
          </w:p>
        </w:tc>
        <w:tc>
          <w:tcPr>
            <w:tcW w:w="6074" w:type="dxa"/>
            <w:noWrap w:val="0"/>
            <w:vAlign w:val="center"/>
          </w:tcPr>
          <w:p w14:paraId="71A3907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1.规格(约)：525mm×57</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mm×1790mm，采用独立式放置方式。</w:t>
            </w:r>
          </w:p>
          <w:p w14:paraId="259D6B9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pacing w:val="6"/>
                <w:sz w:val="24"/>
                <w:szCs w:val="24"/>
                <w:highlight w:val="none"/>
                <w14:textFill>
                  <w14:solidFill>
                    <w14:schemeClr w14:val="tx1"/>
                  </w14:solidFill>
                </w14:textFill>
              </w:rPr>
              <w:t>.三开门冰箱，总容积≥21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L。</w:t>
            </w:r>
          </w:p>
          <w:p w14:paraId="02A503C4">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pacing w:val="6"/>
                <w:sz w:val="24"/>
                <w:szCs w:val="24"/>
                <w:highlight w:val="none"/>
                <w14:textFill>
                  <w14:solidFill>
                    <w14:schemeClr w14:val="tx1"/>
                  </w14:solidFill>
                </w14:textFill>
              </w:rPr>
              <w:t>.冷藏室容积≥120L，冷冻室容积≥70L。</w:t>
            </w:r>
          </w:p>
          <w:p w14:paraId="0FCEE37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3.采用机械控温、风冷制冷方式。</w:t>
            </w:r>
          </w:p>
          <w:p w14:paraId="434F64AA">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4.冷冻能力≥2kg/12h，一级能效等级。</w:t>
            </w:r>
          </w:p>
          <w:p w14:paraId="48D17C9E">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5.配备LED显示屏，额定耗电量≤0.</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pacing w:val="6"/>
                <w:sz w:val="24"/>
                <w:szCs w:val="24"/>
                <w:highlight w:val="none"/>
                <w14:textFill>
                  <w14:solidFill>
                    <w14:schemeClr w14:val="tx1"/>
                  </w14:solidFill>
                </w14:textFill>
              </w:rPr>
              <w:t>度/天。</w:t>
            </w:r>
          </w:p>
          <w:p w14:paraId="4E54A41F">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6.噪声值≤36dB，采用两侧散热结构。</w:t>
            </w:r>
          </w:p>
          <w:p w14:paraId="0515607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7.制冷剂类型为R600a，搭载变频压缩机。</w:t>
            </w:r>
          </w:p>
          <w:p w14:paraId="65E8F298">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8.适用电源220V/50Hz，具备无霜运行特性。</w:t>
            </w:r>
          </w:p>
          <w:p w14:paraId="349EB695">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9.面板材质：采用PCM彩涂板，面板颜色</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可选</w:t>
            </w:r>
            <w:r>
              <w:rPr>
                <w:rFonts w:hint="eastAsia" w:ascii="宋体" w:hAnsi="宋体" w:eastAsia="宋体" w:cs="宋体"/>
                <w:b w:val="0"/>
                <w:bCs/>
                <w:color w:val="000000" w:themeColor="text1"/>
                <w:spacing w:val="6"/>
                <w:sz w:val="24"/>
                <w:szCs w:val="24"/>
                <w:highlight w:val="none"/>
                <w14:textFill>
                  <w14:solidFill>
                    <w14:schemeClr w14:val="tx1"/>
                  </w14:solidFill>
                </w14:textFill>
              </w:rPr>
              <w:t>。</w:t>
            </w:r>
          </w:p>
        </w:tc>
        <w:tc>
          <w:tcPr>
            <w:tcW w:w="735" w:type="dxa"/>
            <w:noWrap w:val="0"/>
            <w:vAlign w:val="center"/>
          </w:tcPr>
          <w:p w14:paraId="278F9EC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w:t>
            </w:r>
          </w:p>
        </w:tc>
        <w:tc>
          <w:tcPr>
            <w:tcW w:w="718" w:type="dxa"/>
            <w:noWrap w:val="0"/>
            <w:vAlign w:val="center"/>
          </w:tcPr>
          <w:p w14:paraId="43020D1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台</w:t>
            </w:r>
          </w:p>
        </w:tc>
      </w:tr>
      <w:tr w14:paraId="397F6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6D17223">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34</w:t>
            </w:r>
          </w:p>
        </w:tc>
        <w:tc>
          <w:tcPr>
            <w:tcW w:w="1314" w:type="dxa"/>
            <w:noWrap w:val="0"/>
            <w:vAlign w:val="center"/>
          </w:tcPr>
          <w:p w14:paraId="365E24D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纯水仪</w:t>
            </w:r>
          </w:p>
        </w:tc>
        <w:tc>
          <w:tcPr>
            <w:tcW w:w="6074" w:type="dxa"/>
            <w:noWrap w:val="0"/>
            <w:vAlign w:val="center"/>
          </w:tcPr>
          <w:p w14:paraId="6CC105EF">
            <w:pP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RO制水系统，制水流速(常温)≥3L/分钟，不需要压力桶，工作范围0.1-0.4Mpa，滤芯级数≥5级，接入市政自来水，膜通量达到1000以上，额定净水量≥5300L，需安装于实验台面下，出水龙头位于台面上。具有滤芯更换提示功能出水水质符合GB5749要求。</w:t>
            </w:r>
          </w:p>
        </w:tc>
        <w:tc>
          <w:tcPr>
            <w:tcW w:w="735" w:type="dxa"/>
            <w:noWrap w:val="0"/>
            <w:vAlign w:val="center"/>
          </w:tcPr>
          <w:p w14:paraId="39A34662">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18" w:type="dxa"/>
            <w:noWrap w:val="0"/>
            <w:vAlign w:val="center"/>
          </w:tcPr>
          <w:p w14:paraId="78263C4A">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台</w:t>
            </w:r>
          </w:p>
        </w:tc>
      </w:tr>
      <w:tr w14:paraId="2076B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58F2113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35</w:t>
            </w:r>
          </w:p>
        </w:tc>
        <w:tc>
          <w:tcPr>
            <w:tcW w:w="1314" w:type="dxa"/>
            <w:noWrap w:val="0"/>
            <w:vAlign w:val="center"/>
          </w:tcPr>
          <w:p w14:paraId="4E7539A9">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教师椅</w:t>
            </w:r>
          </w:p>
        </w:tc>
        <w:tc>
          <w:tcPr>
            <w:tcW w:w="6074" w:type="dxa"/>
            <w:noWrap w:val="0"/>
            <w:vAlign w:val="center"/>
          </w:tcPr>
          <w:p w14:paraId="1C820F9B">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1.椅背高度≥50cm，座垫宽度≥4</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cm，扶手高度≥22cm。</w:t>
            </w:r>
          </w:p>
          <w:p w14:paraId="41629F59">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2.总高度≤9</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pacing w:val="6"/>
                <w:sz w:val="24"/>
                <w:szCs w:val="24"/>
                <w:highlight w:val="none"/>
                <w14:textFill>
                  <w14:solidFill>
                    <w14:schemeClr w14:val="tx1"/>
                  </w14:solidFill>
                </w14:textFill>
              </w:rPr>
              <w:t>cm，总宽度≥45cm。</w:t>
            </w:r>
          </w:p>
          <w:p w14:paraId="3CA99A23">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3.钢管弓形架，配置海绵、网布、腰托、可旋转头枕。</w:t>
            </w:r>
          </w:p>
        </w:tc>
        <w:tc>
          <w:tcPr>
            <w:tcW w:w="735" w:type="dxa"/>
            <w:noWrap w:val="0"/>
            <w:vAlign w:val="center"/>
          </w:tcPr>
          <w:p w14:paraId="149026D8">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208F4F9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把</w:t>
            </w:r>
          </w:p>
        </w:tc>
      </w:tr>
      <w:tr w14:paraId="4116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7" w:type="dxa"/>
            <w:noWrap w:val="0"/>
            <w:vAlign w:val="center"/>
          </w:tcPr>
          <w:p w14:paraId="78A3E935">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36</w:t>
            </w:r>
          </w:p>
        </w:tc>
        <w:tc>
          <w:tcPr>
            <w:tcW w:w="1314" w:type="dxa"/>
            <w:noWrap w:val="0"/>
            <w:vAlign w:val="center"/>
          </w:tcPr>
          <w:p w14:paraId="2C8FDA4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实验台</w:t>
            </w:r>
          </w:p>
        </w:tc>
        <w:tc>
          <w:tcPr>
            <w:tcW w:w="6074" w:type="dxa"/>
            <w:noWrap w:val="0"/>
            <w:vAlign w:val="center"/>
          </w:tcPr>
          <w:p w14:paraId="41AB535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1.实验台安装部分(数量约36米边台，具体数量以学校根据场地大小要求为主)</w:t>
            </w:r>
          </w:p>
          <w:p w14:paraId="4AD20F9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1.1柜体可采用≥1.0mm厚钢板一次性折弯成型，气体保护焊接，表面经环氧树脂粉末静电喷涂，高温固化处理。</w:t>
            </w:r>
          </w:p>
          <w:p w14:paraId="5797088E">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1.2结构整体为拆装式结构分为多个单元独立柜体，外盖式结构面板，门板抽面均为双层结构，柜体上部分为抽屉，下部分为柜门。柜体内部预留层板孔，支持可配置一块可调节活动层板。</w:t>
            </w:r>
          </w:p>
          <w:p w14:paraId="37B8FB0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1.3独立柜体，双柜尺寸(约)1000mm、975mm、900mm、800mm。单柜尺寸(约)：500mm、450mm、400mm支持可搭配空位，键盘位，单抽位等，整体颜色为灰白色，与面板一体折弯成型一字拉手。</w:t>
            </w:r>
          </w:p>
          <w:p w14:paraId="016E290B">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1.4滑轨选用三节滚珠静音滑轨，耐用、顺滑、承重性好。铰链选用直弯弹簧铰链，经久耐用不生锈。地脚≥8mm螺杆尼龙塑料底座承重及防腐蚀防水性强。</w:t>
            </w:r>
          </w:p>
          <w:p w14:paraId="566CFE6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highlight w:val="none"/>
                <w:vertAlign w:val="baseline"/>
                <w:lang w:val="en-US" w:eastAsia="zh-CN" w:bidi="ar-SA"/>
                <w14:textFill>
                  <w14:solidFill>
                    <w14:schemeClr w14:val="tx1"/>
                  </w14:solidFill>
                </w14:textFill>
              </w:rPr>
              <w:t>2.实验台安装</w:t>
            </w:r>
          </w:p>
          <w:p w14:paraId="29535C7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2.1台面：采用≥20mm厚实验室专用陶瓷台面，陶瓷台面经高温长时间煅烧而成，釉面和坯体结合后不脱落、不脱层，耐磨、耐强腐蚀。黑色坯体可避免台面侧面因二次低温上釉脱落现象的发生。(提供检测报告)</w:t>
            </w:r>
          </w:p>
          <w:p w14:paraId="789AB57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2.2工艺要求：参照T/CIQA10-2020附录D标准，表面为釉面烧成颜色，无空洞，无直径2mm以上气泡，无杂色，为一体实芯坯体，样品釉面与坯体之间无脱层，釉面与坯体呈一体，釉面为烧成颜色(非坯体颜色)。(提供检测报告)</w:t>
            </w:r>
          </w:p>
          <w:p w14:paraId="73B21AD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2.3表面耐污染性：参照检测依据GB/T17657-2022检测标准，至少包含有：乳酸90%、硫氰酸钾饱和溶液、丙烯酸99%、四氯化碳(纯品)、四氢呋喃99%、异丙醇99%、甲醇99%、次甲基蓝(亚甲基蓝)饱和溶液、草酸饱和溶液、氢氧化钠饱和溶液、甲醛40%、英雄红墨水、氢氧化钾饱和溶液、乙酰丙酮99%、高氯酸钾饱和溶液、硫酸98%、三氯甲烷99%、硝酸68%、盐酸38%等≥20种化学试剂，检测结果为5级(无明显变化)。(提供检测报告)</w:t>
            </w:r>
          </w:p>
          <w:p w14:paraId="3BABBEF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2.4抗冲击性：参照检测依据GB/T3810.5-2016检测标准，提供抗冲击性检测报告，结果≥0.8。(提供检测报告)</w:t>
            </w:r>
          </w:p>
          <w:p w14:paraId="7B15382F">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2.5耐高温：参照检测依据T/CIQA10-2020附录G检测标准，提供陶瓷台面表面耐高温检测证明，要求检测温度≥1000度，高温测试后表面无开裂无变色。(提供检测报告)</w:t>
            </w:r>
          </w:p>
          <w:p w14:paraId="78B11EE8">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kern w:val="0"/>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2.6承载测试：参照检测依据T/CIQA10-2020附录A检测标准：施加重量≥1200kg荷载;保载时间≥1000h,加载面积为900mm×650mm,检测结果样品未被破坏。(提供检测报告)</w:t>
            </w:r>
          </w:p>
          <w:p w14:paraId="1B8036E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3.配套水系统</w:t>
            </w:r>
          </w:p>
          <w:p w14:paraId="58CF8F2E">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3.1采用纯铜制作，经耐酸碱环氧树脂粉末涂料热固处理，防酸碱、耐腐蚀。开关采用进口精密陶瓷阀芯、耐磨、耐腐蚀。出水口为全铜和PP两种材质，并具有缓压作用，可拆卸清洗，随意更换雾状水嘴。鹅颈出水管可360度旋转。</w:t>
            </w:r>
          </w:p>
          <w:p w14:paraId="3444617B">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3.2采用高密度PP水槽,经全自动高频模压机一次成型</w:t>
            </w:r>
          </w:p>
          <w:p w14:paraId="68CEC882">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3.3PP滴水棒及蓄水槽，适用于将洗涤后的试管、烧杯等玻璃器皿倒置悬挂晾干，积水排放于水槽中。</w:t>
            </w:r>
          </w:p>
          <w:p w14:paraId="36B2B860">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3.4主体:①加厚铜质，洗眼喷头:加厚铜质环氧树脂涂层外加软性橡胶,出水经缓压处理呈泡沫状水柱,防止冲伤眼睛。莲蓬头护罩：Φ70橡胶质护杯，以避免紧急使用时瞬间接触眼部造成碰撞二次伤害。②防尘盖:PP材质,平常可防尘，使用时可随时被水冲开，并降低突然时短暂的高水压，防止冲伤眼睛，防尘盖有连接于护罩可防尘脱落。使用时自动被水冲开。③水流锁定开关:水流开启,水流锁定功能一次完成,方便使用。控水阀:止逆阀,其阀门可自动关闭前置过滤器：配有小型前置过滤器主要去除管道所产生的沉淀杂质和细菌、微生物残骸、铁锈、沙泥等≥5微米以上的颗粒杂质，避免眼睛及人体肌肤受到伤害。④供水软管:长度1.5米,软性PVC管外覆不锈钢网,外层包裹PE管。</w:t>
            </w:r>
          </w:p>
          <w:p w14:paraId="04A0FF84">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3.5操作：承受压力：0.1bar-10bar，供给水温度：27℃-37℃进水接口：内接口G1/2.出水量：单洗眼器≥6升/分钟，双洗眼器≥11.0升/分钟。</w:t>
            </w:r>
          </w:p>
        </w:tc>
        <w:tc>
          <w:tcPr>
            <w:tcW w:w="735" w:type="dxa"/>
            <w:noWrap w:val="0"/>
            <w:vAlign w:val="center"/>
          </w:tcPr>
          <w:p w14:paraId="05A0FF96">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421FC037">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项</w:t>
            </w:r>
          </w:p>
        </w:tc>
      </w:tr>
      <w:tr w14:paraId="7FBE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1C171257">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37</w:t>
            </w:r>
          </w:p>
        </w:tc>
        <w:tc>
          <w:tcPr>
            <w:tcW w:w="1314" w:type="dxa"/>
            <w:noWrap w:val="0"/>
            <w:vAlign w:val="center"/>
          </w:tcPr>
          <w:p w14:paraId="31E8E36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7"/>
                <w:sz w:val="24"/>
                <w:szCs w:val="24"/>
                <w:highlight w:val="none"/>
                <w14:textFill>
                  <w14:solidFill>
                    <w14:schemeClr w14:val="tx1"/>
                  </w14:solidFill>
                </w14:textFill>
              </w:rPr>
              <w:t>功能区标准化改造</w:t>
            </w:r>
          </w:p>
        </w:tc>
        <w:tc>
          <w:tcPr>
            <w:tcW w:w="6074" w:type="dxa"/>
            <w:noWrap w:val="0"/>
            <w:vAlign w:val="center"/>
          </w:tcPr>
          <w:p w14:paraId="1F9A367D">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1.改造</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概况</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实验室改造包含原有墙体拆除、水电改造、整体装修、功能分区施工，打造满足宠物样本检测、理化分析、微生物检验的标准化</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实训</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室。</w:t>
            </w:r>
          </w:p>
          <w:p w14:paraId="26EA5324">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拆除工程</w:t>
            </w:r>
          </w:p>
          <w:p w14:paraId="33EB81FB">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墙体拆除：拆除</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实训楼指定</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房间间墙及非承重隔墙，打通</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约</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120㎡整体空间，拆除垃圾全部装袋并清运，拆除过程需保护原有结构梁、柱及水电管线，避免破坏主体结构。</w:t>
            </w:r>
          </w:p>
          <w:p w14:paraId="17691C83">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2.2</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地面/顶面基层处理：铲除乳胶漆墙面</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等原有实训室</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及清理基层浮灰、空鼓层，为后续装修施工做准备。</w:t>
            </w:r>
          </w:p>
          <w:p w14:paraId="2B97E58A">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水电改造工程</w:t>
            </w:r>
          </w:p>
          <w:p w14:paraId="65C58229">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强电系统</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①总配电负荷</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20kW，分路供电：大型仪器设备</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生化仪、PCR仪动物B超等</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单独回路</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≥4平方铜线</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，照明、插座、空调、通风系统分路设置，每路配备独立漏电保护器。</w:t>
            </w:r>
          </w:p>
          <w:p w14:paraId="1B5C56F1">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②预留设备专用插座：每台大型仪器预留16A五孔插座，墙面插座高度距地0.3m或满足实验室用电相关要求，实验台插座嵌入台面板下，配备防溅盒。</w:t>
            </w:r>
          </w:p>
          <w:p w14:paraId="6B43E87D">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③照明系统：采用防眩光LED洁净灯，照度≥500lux，显色指数Ra≥90，实验室入口设置双控开关，应急照明持续时间≥90分钟。</w:t>
            </w:r>
          </w:p>
          <w:p w14:paraId="34D8F2B9">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3.2</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给排水系统</w:t>
            </w:r>
          </w:p>
          <w:p w14:paraId="251E2B60">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①供水：实验区设置多组PPR供水点</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满足实验要求</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w:t>
            </w:r>
          </w:p>
          <w:p w14:paraId="466C7A30">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②排水：采用耐酸碱UPVC排水管，设置实验室专用地漏</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带水封防臭</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，污水需经酸碱中和池预处理后接入校园污水管网，排水坡度≥2%，管道需做防腐蚀处理</w:t>
            </w:r>
          </w:p>
          <w:p w14:paraId="615B1579">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装修工程</w:t>
            </w:r>
          </w:p>
          <w:p w14:paraId="0D7AD557">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地面工程：铺设2mm厚同质透心PVC地板，颜色为乳白色，满足防滑、抗菌、耐磨、易消毒要求，表面耐磨转数≥10000转，接缝采用热焊处理，无缝隙，地面整体平整度误差≤2mm/2m。</w:t>
            </w:r>
          </w:p>
          <w:p w14:paraId="202CEA6D">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4.2</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墙面工程：采用A级防火彩钢板</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厚度≥50mm，芯材为岩棉</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，墙面接缝采用中性硅酮耐候胶密封，气密性≤0.05mm，墙角采用圆弧过渡</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R≥50mm</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，便于清洁消毒；墙面颜色为白色，墙面平整度误差≤3mm/2m。</w:t>
            </w:r>
          </w:p>
          <w:p w14:paraId="0535AF5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4.3</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安装要求：造型高度差≥200mm，灯带密封处理，避免漏光，造型与铝方通无缝衔接，无明显缝隙。方形/线性发光1.结构工艺：定制方形嵌套式发光，采用铝合金边框+亚克力透光板制作，边框内嵌LED线性灯带</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冷蓝色</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，形成回字形发光效果；光源配置：内置LED光源，色温6000K，显色指数Ra≥90，亮度均匀，无暗区</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403EC6BA">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4.4</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施工要求：灯带线条笔直，与整体风格统一。</w:t>
            </w:r>
          </w:p>
          <w:p w14:paraId="364BA4DB">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4.5</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辅助照明内嵌LED筒灯</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冷白色，色温6000K</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，间距≤1.5m，亮度≥3000lm，显色指数Ra≥90，无频闪；筒灯与线性灯带、环形灯带统一接入中控系统，支持场景模式切换。</w:t>
            </w:r>
          </w:p>
          <w:p w14:paraId="32560FE9">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4.6</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基础墙面采用A级防火石膏板+轻钢龙骨基层，表面涂刷哑光白色无机涂料，颜色均匀一致，无明显色差；墙面需做圆弧过渡处理，阴阳角R≥30mm，避免直角生硬感，强化未来感。</w:t>
            </w:r>
          </w:p>
          <w:p w14:paraId="25AEDC8F">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4.7</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造型墙面造型结构：定制圆形/弧形嵌入式造型墙，采用50mm厚A级防火彩钢板+5mm亚克力透光板制作，造型边缘内嵌LED线性灯带</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冷蓝色，色温6000-6500K</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，灯带亮度可调，无明显频闪</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4C45CA6D">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4.8</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发光文化墙1.结构工艺：采用UV软膜灯箱，边框为铝合金材质，厚度≥100mm，表面为高清UV喷绘画面</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蓝色科技主题</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，透光率≥85%</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04ACE6B2">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4.10</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光源配置：内置LED侧发光光源，色温6000K，显色指数Ra≥90，亮度均匀度≥85%，无暗区、无频闪</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p>
          <w:p w14:paraId="682F45DC">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4.11</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尺寸要求：灯箱边框与墙面齐平，四周内嵌细LED灯带，形成双层发光效果，强化科技纵深感。</w:t>
            </w:r>
          </w:p>
          <w:p w14:paraId="5189056A">
            <w:pPr>
              <w:jc w:val="left"/>
              <w:rPr>
                <w:rFonts w:hint="eastAsia" w:ascii="宋体" w:hAnsi="宋体" w:eastAsia="宋体" w:cs="宋体"/>
                <w:b w:val="0"/>
                <w:bCs/>
                <w:color w:val="000000" w:themeColor="text1"/>
                <w:sz w:val="24"/>
                <w:szCs w:val="24"/>
                <w:highlight w:val="none"/>
                <w:vertAlign w:val="baseline"/>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14</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.辅助灯光线条墙面顶部、底部内嵌LED线性灯带</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冷蓝色</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，灯带采用铝合金型材固定，与墙面齐平安装，灯带间距均匀，线条笔直，无扭曲、漏光现象；灯带亮度可通过中控系统统一调节。</w:t>
            </w:r>
          </w:p>
          <w:p w14:paraId="5607F53D">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通风与环境控制</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安装通风系统</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换气次数≥15次/小时，采用初效+中效+高效三级过滤，高效过滤器效率≥99.9</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0</w:t>
            </w:r>
            <w:r>
              <w:rPr>
                <w:rFonts w:hint="eastAsia" w:ascii="宋体" w:hAnsi="宋体" w:eastAsia="宋体" w:cs="宋体"/>
                <w:b w:val="0"/>
                <w:bCs/>
                <w:color w:val="000000" w:themeColor="text1"/>
                <w:sz w:val="24"/>
                <w:szCs w:val="24"/>
                <w:highlight w:val="none"/>
                <w:vertAlign w:val="baseline"/>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，气流组织采用上送侧回方式，避免涡流产生。</w:t>
            </w:r>
          </w:p>
          <w:p w14:paraId="4035774F">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安全与配套设施：</w:t>
            </w:r>
          </w:p>
          <w:p w14:paraId="3B0F3839">
            <w:pPr>
              <w:jc w:val="left"/>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6.1</w:t>
            </w:r>
            <w:r>
              <w:rPr>
                <w:rFonts w:hint="eastAsia" w:ascii="宋体" w:hAnsi="宋体" w:eastAsia="宋体" w:cs="宋体"/>
                <w:b w:val="0"/>
                <w:bCs/>
                <w:color w:val="000000" w:themeColor="text1"/>
                <w:sz w:val="24"/>
                <w:szCs w:val="24"/>
                <w:highlight w:val="none"/>
                <w:vertAlign w:val="baseline"/>
                <w:lang w:eastAsia="zh-CN"/>
                <w14:textFill>
                  <w14:solidFill>
                    <w14:schemeClr w14:val="tx1"/>
                  </w14:solidFill>
                </w14:textFill>
              </w:rPr>
              <w:t>配备生物安全防护设施：消毒灯≥4组(30W/组，每10㎡1组)</w:t>
            </w:r>
          </w:p>
          <w:p w14:paraId="30E2A123">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6.2储物空间配套：配套吊柜储物空间，具体尺寸为后墙长度为6.45，宽度为3米，侧墙长度为10米，高度3米的区域设置储物吊柜，柜面为相关宠物动画风格。</w:t>
            </w:r>
          </w:p>
          <w:p w14:paraId="3EF2E1C7">
            <w:pPr>
              <w:jc w:val="left"/>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7.文化建设：整体设计贴合宠物医疗、动物诊疗行业VI体系，风格统一、板式规整、配色专业，无花哨设计，适配校园整体文化风格，内容符合最新《动物诊疗管理办法》《生物安全管理规范》《高职院校实训室建设标准》。</w:t>
            </w:r>
          </w:p>
          <w:p w14:paraId="7A2E3C61">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九、施工要求：</w:t>
            </w:r>
          </w:p>
          <w:p w14:paraId="498DB940">
            <w:pPr>
              <w:keepNext w:val="0"/>
              <w:keepLines w:val="0"/>
              <w:pageBreakBefore w:val="0"/>
              <w:widowControl/>
              <w:kinsoku w:val="0"/>
              <w:wordWrap/>
              <w:overflowPunct/>
              <w:topLinePunct w:val="0"/>
              <w:autoSpaceDE w:val="0"/>
              <w:autoSpaceDN w:val="0"/>
              <w:bidi w:val="0"/>
              <w:adjustRightInd w:val="0"/>
              <w:snapToGrid w:val="0"/>
              <w:spacing w:line="240" w:lineRule="auto"/>
              <w:jc w:val="left"/>
              <w:textAlignment w:val="baseline"/>
              <w:rPr>
                <w:rFonts w:hint="eastAsia" w:ascii="宋体" w:hAnsi="宋体" w:eastAsia="宋体" w:cs="宋体"/>
                <w:b w:val="0"/>
                <w:bCs/>
                <w:color w:val="000000" w:themeColor="text1"/>
                <w:spacing w:val="6"/>
                <w:sz w:val="24"/>
                <w:szCs w:val="24"/>
                <w:highlight w:val="none"/>
                <w:lang w:val="en-US"/>
                <w14:textFill>
                  <w14:solidFill>
                    <w14:schemeClr w14:val="tx1"/>
                  </w14:solidFill>
                </w14:textFill>
              </w:rPr>
            </w:pPr>
            <w:r>
              <w:rPr>
                <w:rFonts w:hint="eastAsia" w:ascii="宋体" w:hAnsi="宋体" w:eastAsia="宋体" w:cs="宋体"/>
                <w:b w:val="0"/>
                <w:bCs/>
                <w:color w:val="000000" w:themeColor="text1"/>
                <w:kern w:val="0"/>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8.需在合同签订前提供效果图深化方案，明确、墙面、灯光、显示系统的具体布局与联动效果，经校方确认后方可施工。(提供承诺)</w:t>
            </w:r>
          </w:p>
        </w:tc>
        <w:tc>
          <w:tcPr>
            <w:tcW w:w="735" w:type="dxa"/>
            <w:noWrap w:val="0"/>
            <w:vAlign w:val="center"/>
          </w:tcPr>
          <w:p w14:paraId="2E35063F">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1</w:t>
            </w:r>
          </w:p>
        </w:tc>
        <w:tc>
          <w:tcPr>
            <w:tcW w:w="718" w:type="dxa"/>
            <w:noWrap w:val="0"/>
            <w:vAlign w:val="center"/>
          </w:tcPr>
          <w:p w14:paraId="0200780C">
            <w:pPr>
              <w:widowControl w:val="0"/>
              <w:jc w:val="cente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t>项</w:t>
            </w:r>
          </w:p>
        </w:tc>
      </w:tr>
      <w:tr w14:paraId="5DC1E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7" w:type="dxa"/>
            <w:noWrap w:val="0"/>
            <w:vAlign w:val="center"/>
          </w:tcPr>
          <w:p w14:paraId="6F06F151">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38</w:t>
            </w:r>
          </w:p>
        </w:tc>
        <w:tc>
          <w:tcPr>
            <w:tcW w:w="1314" w:type="dxa"/>
            <w:noWrap w:val="0"/>
            <w:vAlign w:val="center"/>
          </w:tcPr>
          <w:p w14:paraId="532F716E">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pacing w:val="7"/>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设备搬迁</w:t>
            </w:r>
          </w:p>
        </w:tc>
        <w:tc>
          <w:tcPr>
            <w:tcW w:w="6074" w:type="dxa"/>
            <w:noWrap w:val="0"/>
            <w:vAlign w:val="center"/>
          </w:tcPr>
          <w:p w14:paraId="7843B921">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1</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药品经营与管理实训室搬迁及场地适配：</w:t>
            </w:r>
          </w:p>
          <w:p w14:paraId="14DE556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pacing w:val="6"/>
                <w:sz w:val="24"/>
                <w:szCs w:val="24"/>
                <w:highlight w:val="none"/>
                <w14:textFill>
                  <w14:solidFill>
                    <w14:schemeClr w14:val="tx1"/>
                  </w14:solidFill>
                </w14:textFill>
              </w:rPr>
              <w:t>搬迁内容：西药柜/柜台、中药柜/柜台、阴凉柜、冰箱、教学家具、电脑、投影系统、危险化学品柜、教学器具及药品等全部物品</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3AA76DA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1.2</w:t>
            </w:r>
            <w:r>
              <w:rPr>
                <w:rFonts w:hint="eastAsia" w:ascii="宋体" w:hAnsi="宋体" w:eastAsia="宋体" w:cs="宋体"/>
                <w:b w:val="0"/>
                <w:bCs/>
                <w:color w:val="000000" w:themeColor="text1"/>
                <w:spacing w:val="6"/>
                <w:sz w:val="24"/>
                <w:szCs w:val="24"/>
                <w:highlight w:val="none"/>
                <w14:textFill>
                  <w14:solidFill>
                    <w14:schemeClr w14:val="tx1"/>
                  </w14:solidFill>
                </w14:textFill>
              </w:rPr>
              <w:t>场地适配：强弱电源改造、投影安装调试、空调系统安装</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p>
          <w:p w14:paraId="568CC003">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14:textFill>
                  <w14:solidFill>
                    <w14:schemeClr w14:val="tx1"/>
                  </w14:solidFill>
                </w14:textFill>
              </w:rPr>
              <w:t>2</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color w:val="000000" w:themeColor="text1"/>
                <w:spacing w:val="6"/>
                <w:sz w:val="24"/>
                <w:szCs w:val="24"/>
                <w:highlight w:val="none"/>
                <w14:textFill>
                  <w14:solidFill>
                    <w14:schemeClr w14:val="tx1"/>
                  </w14:solidFill>
                </w14:textFill>
              </w:rPr>
              <w:t>药品检测实训室搬迁及场地适配：</w:t>
            </w:r>
          </w:p>
          <w:p w14:paraId="03D56F87">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2.1</w:t>
            </w:r>
            <w:r>
              <w:rPr>
                <w:rFonts w:hint="eastAsia" w:ascii="宋体" w:hAnsi="宋体" w:eastAsia="宋体" w:cs="宋体"/>
                <w:b w:val="0"/>
                <w:bCs/>
                <w:color w:val="000000" w:themeColor="text1"/>
                <w:spacing w:val="6"/>
                <w:sz w:val="24"/>
                <w:szCs w:val="24"/>
                <w:highlight w:val="none"/>
                <w14:textFill>
                  <w14:solidFill>
                    <w14:schemeClr w14:val="tx1"/>
                  </w14:solidFill>
                </w14:textFill>
              </w:rPr>
              <w:t>搬迁内容：31米实验边台、10套万象抽气罩及配套管道、通风柜、空调、试剂柜、药品柜、气瓶柜、天平台、液相、气相色谱仪等精密检测仪器、配套设备、化学试剂、文件资料等。</w:t>
            </w:r>
          </w:p>
          <w:p w14:paraId="0471C292">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2.2</w:t>
            </w:r>
            <w:r>
              <w:rPr>
                <w:rFonts w:hint="eastAsia" w:ascii="宋体" w:hAnsi="宋体" w:eastAsia="宋体" w:cs="宋体"/>
                <w:b w:val="0"/>
                <w:bCs/>
                <w:color w:val="000000" w:themeColor="text1"/>
                <w:spacing w:val="6"/>
                <w:sz w:val="24"/>
                <w:szCs w:val="24"/>
                <w:highlight w:val="none"/>
                <w14:textFill>
                  <w14:solidFill>
                    <w14:schemeClr w14:val="tx1"/>
                  </w14:solidFill>
                </w14:textFill>
              </w:rPr>
              <w:t>场地适配：上下水改造、电源改造、管线补充、打孔施工、万象抽气罩及管道安装、空调安装</w:t>
            </w: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等</w:t>
            </w:r>
            <w:r>
              <w:rPr>
                <w:rFonts w:hint="eastAsia" w:ascii="宋体" w:hAnsi="宋体" w:eastAsia="宋体" w:cs="宋体"/>
                <w:b w:val="0"/>
                <w:bCs/>
                <w:color w:val="000000" w:themeColor="text1"/>
                <w:spacing w:val="6"/>
                <w:sz w:val="24"/>
                <w:szCs w:val="24"/>
                <w:highlight w:val="none"/>
                <w:lang w:eastAsia="zh-CN"/>
                <w14:textFill>
                  <w14:solidFill>
                    <w14:schemeClr w14:val="tx1"/>
                  </w14:solidFill>
                </w14:textFill>
              </w:rPr>
              <w:t>。</w:t>
            </w:r>
          </w:p>
          <w:p w14:paraId="03EFCA1F">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pacing w:val="6"/>
                <w:sz w:val="24"/>
                <w:szCs w:val="24"/>
                <w:highlight w:val="none"/>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2.3</w:t>
            </w:r>
            <w:r>
              <w:rPr>
                <w:rFonts w:hint="eastAsia" w:ascii="宋体" w:hAnsi="宋体" w:eastAsia="宋体" w:cs="宋体"/>
                <w:b w:val="0"/>
                <w:bCs/>
                <w:color w:val="000000" w:themeColor="text1"/>
                <w:spacing w:val="6"/>
                <w:sz w:val="24"/>
                <w:szCs w:val="24"/>
                <w:highlight w:val="none"/>
                <w14:textFill>
                  <w14:solidFill>
                    <w14:schemeClr w14:val="tx1"/>
                  </w14:solidFill>
                </w14:textFill>
              </w:rPr>
              <w:t>项目完成后，所有设备功能正常，场地布局整洁、规范，通过校方验收。</w:t>
            </w:r>
          </w:p>
        </w:tc>
        <w:tc>
          <w:tcPr>
            <w:tcW w:w="735" w:type="dxa"/>
            <w:noWrap w:val="0"/>
            <w:vAlign w:val="center"/>
          </w:tcPr>
          <w:p w14:paraId="1E96EFA4">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1</w:t>
            </w:r>
          </w:p>
        </w:tc>
        <w:tc>
          <w:tcPr>
            <w:tcW w:w="718" w:type="dxa"/>
            <w:noWrap w:val="0"/>
            <w:vAlign w:val="center"/>
          </w:tcPr>
          <w:p w14:paraId="703A6AF2">
            <w:pPr>
              <w:keepNext w:val="0"/>
              <w:keepLines w:val="0"/>
              <w:pageBreakBefore w:val="0"/>
              <w:widowControl/>
              <w:kinsoku w:val="0"/>
              <w:wordWrap/>
              <w:overflowPunct/>
              <w:topLinePunct w:val="0"/>
              <w:autoSpaceDE w:val="0"/>
              <w:autoSpaceDN w:val="0"/>
              <w:bidi w:val="0"/>
              <w:adjustRightInd w:val="0"/>
              <w:snapToGrid w:val="0"/>
              <w:spacing w:line="240" w:lineRule="auto"/>
              <w:jc w:val="center"/>
              <w:textAlignment w:val="baseline"/>
              <w:rPr>
                <w:rFonts w:hint="eastAsia" w:ascii="宋体" w:hAnsi="宋体" w:eastAsia="宋体" w:cs="宋体"/>
                <w:b w:val="0"/>
                <w:bCs/>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pacing w:val="6"/>
                <w:sz w:val="24"/>
                <w:szCs w:val="24"/>
                <w:highlight w:val="none"/>
                <w:lang w:val="en-US" w:eastAsia="zh-CN"/>
                <w14:textFill>
                  <w14:solidFill>
                    <w14:schemeClr w14:val="tx1"/>
                  </w14:solidFill>
                </w14:textFill>
              </w:rPr>
              <w:t>项</w:t>
            </w:r>
          </w:p>
        </w:tc>
      </w:tr>
      <w:tr w14:paraId="3DAF9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8" w:type="dxa"/>
            <w:gridSpan w:val="5"/>
            <w:noWrap w:val="0"/>
            <w:vAlign w:val="center"/>
          </w:tcPr>
          <w:p w14:paraId="7F340AA8">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说明：1.带“★”号的参数和带“▲”号参数均应以技术参数中要求的形式(如技术参数中无形式要求的，可提供不限于原厂印刷的产品说明书、制造商官方网站截图、第三方机构检验报告、带标识(说明)的功能截图等任意形式)提供相应的证明材料。任意一条带“★”号的参数未响应或者不满足的，将按无效响应处理。任意一条带“▲”号参数未响应或者不满足的，将按相应的扣分处理。</w:t>
            </w:r>
          </w:p>
          <w:p w14:paraId="58AD0E4B">
            <w:pPr>
              <w:keepNext w:val="0"/>
              <w:keepLines w:val="0"/>
              <w:pageBreakBefore w:val="0"/>
              <w:widowControl/>
              <w:kinsoku w:val="0"/>
              <w:wordWrap/>
              <w:overflowPunct/>
              <w:topLinePunct w:val="0"/>
              <w:autoSpaceDE w:val="0"/>
              <w:autoSpaceDN w:val="0"/>
              <w:bidi w:val="0"/>
              <w:adjustRightInd w:val="0"/>
              <w:snapToGrid w:val="0"/>
              <w:spacing w:line="240" w:lineRule="auto"/>
              <w:jc w:val="both"/>
              <w:textAlignment w:val="baseline"/>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2.以上技术参数中“支持...；具备...；配备...”等描述，为已具备的功能要求，且后期使用费用包含在响应(投标)报价中。成交后，中标人不允许以任何形式就以上</w:t>
            </w:r>
            <w:r>
              <w:rPr>
                <w:rFonts w:hint="eastAsia" w:ascii="宋体" w:hAnsi="宋体" w:eastAsia="宋体" w:cs="宋体"/>
                <w:b w:val="0"/>
                <w:bCs w:val="0"/>
                <w:color w:val="000000" w:themeColor="text1"/>
                <w:sz w:val="21"/>
                <w:szCs w:val="21"/>
                <w:highlight w:val="none"/>
                <w:lang w:val="en-CA"/>
                <w14:textFill>
                  <w14:solidFill>
                    <w14:schemeClr w14:val="tx1"/>
                  </w14:solidFill>
                </w14:textFill>
              </w:rPr>
              <w:t>已具备的功能</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向采购人收取费用，一律按虚假应标处理，由中标人承担因此产生的一切后果和责任。</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p>
        </w:tc>
      </w:tr>
    </w:tbl>
    <w:p w14:paraId="3E0B4FF2">
      <w:pPr>
        <w:rPr>
          <w:rFonts w:hint="eastAsia" w:ascii="宋体" w:hAnsi="宋体" w:eastAsia="宋体" w:cs="宋体"/>
          <w:b w:val="0"/>
          <w:bCs/>
          <w:sz w:val="24"/>
          <w:szCs w:val="24"/>
        </w:rPr>
      </w:pPr>
    </w:p>
    <w:p w14:paraId="69DCE39A">
      <w:pPr>
        <w:rPr>
          <w:rFonts w:ascii="仿宋_GB2312" w:hAnsi="仿宋_GB2312" w:eastAsia="仿宋_GB2312" w:cs="仿宋_GB2312"/>
        </w:rPr>
      </w:pPr>
    </w:p>
    <w:p w14:paraId="017228C7">
      <w:pPr>
        <w:rPr>
          <w:rFonts w:ascii="仿宋_GB2312" w:hAnsi="仿宋_GB2312" w:eastAsia="仿宋_GB2312" w:cs="仿宋_GB2312"/>
        </w:rPr>
      </w:pPr>
    </w:p>
    <w:p w14:paraId="4BCEE9F2">
      <w:pPr>
        <w:rPr>
          <w:rFonts w:ascii="仿宋_GB2312" w:hAnsi="仿宋_GB2312" w:eastAsia="仿宋_GB2312" w:cs="仿宋_GB2312"/>
        </w:rPr>
      </w:pPr>
    </w:p>
    <w:p w14:paraId="3B3D8071">
      <w:pPr>
        <w:keepNext w:val="0"/>
        <w:keepLines w:val="0"/>
        <w:pageBreakBefore w:val="0"/>
        <w:kinsoku/>
        <w:overflowPunct/>
        <w:topLinePunct w:val="0"/>
        <w:autoSpaceDE/>
        <w:autoSpaceDN/>
        <w:bidi w:val="0"/>
        <w:adjustRightInd/>
        <w:snapToGrid/>
        <w:spacing w:line="300" w:lineRule="auto"/>
        <w:textAlignment w:val="auto"/>
        <w:rPr>
          <w:rFonts w:hint="eastAsia" w:ascii="宋体" w:hAnsi="宋体" w:eastAsia="宋体" w:cs="宋体"/>
          <w:b/>
          <w:color w:val="FF0000"/>
          <w:szCs w:val="21"/>
        </w:rPr>
      </w:pPr>
      <w:r>
        <w:rPr>
          <w:rFonts w:hint="eastAsia" w:ascii="宋体" w:hAnsi="宋体" w:eastAsia="宋体" w:cs="宋体"/>
          <w:b/>
          <w:color w:val="FF0000"/>
          <w:szCs w:val="21"/>
        </w:rPr>
        <w:t>注：此</w:t>
      </w:r>
      <w:bookmarkStart w:id="0" w:name="_GoBack"/>
      <w:r>
        <w:rPr>
          <w:rFonts w:hint="eastAsia" w:ascii="宋体" w:hAnsi="宋体" w:eastAsia="宋体" w:cs="宋体"/>
          <w:b/>
          <w:color w:val="FF0000"/>
          <w:szCs w:val="21"/>
        </w:rPr>
        <w:t>附件采购需求仅作为潜在供应商知晓项目基本情况，采购文件具体内容请供应商用户登录“陕西省政府采购综合管理平台（以下简称“政府采购平台”），进入项目电子化交易系统”内下载的电子采购文件为准。</w:t>
      </w:r>
    </w:p>
    <w:bookmarkEnd w:id="0"/>
    <w:p w14:paraId="2754B8C6">
      <w:pPr>
        <w:rPr>
          <w:rFonts w:ascii="仿宋_GB2312" w:hAnsi="仿宋_GB2312" w:eastAsia="仿宋_GB2312" w:cs="仿宋_GB231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EE3C77"/>
    <w:rsid w:val="13F413C8"/>
    <w:rsid w:val="1EEE3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qFormat/>
    <w:uiPriority w:val="0"/>
    <w:pPr>
      <w:spacing w:after="120"/>
    </w:pPr>
    <w:rPr>
      <w:szCs w:val="22"/>
    </w:rPr>
  </w:style>
  <w:style w:type="table" w:styleId="5">
    <w:name w:val="Table Grid"/>
    <w:basedOn w:val="4"/>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7">
    <w:name w:val="Emphasis"/>
    <w:basedOn w:val="6"/>
    <w:qFormat/>
    <w:uiPriority w:val="0"/>
    <w:rPr>
      <w:i/>
    </w:rPr>
  </w:style>
  <w:style w:type="paragraph" w:customStyle="1" w:styleId="8">
    <w:name w:val="null3"/>
    <w:hidden/>
    <w:qFormat/>
    <w:uiPriority w:val="0"/>
    <w:rPr>
      <w:rFonts w:hint="eastAsia" w:asciiTheme="minorHAnsi" w:hAnsiTheme="minorHAnsi" w:eastAsiaTheme="minorEastAsia" w:cstheme="minorBidi"/>
      <w:lang w:val="en-US" w:eastAsia="zh-Hans"/>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2026-07-13T06:45:00Z</dcterms:created>
  <dc:creator>杜航</dc:creator>
  <cp:lastModifiedBy>杜航</cp:lastModifiedBy>
  <dcterms:modified xsi:type="dcterms:W3CDTF">2026-07-13T06:50:32Z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B8FD5EDDF0E8497F81DE48175EA8248A_11</vt:lpwstr>
  </property>
  <property fmtid="{D5CDD505-2E9C-101B-9397-08002B2CF9AE}" pid="4" name="KSOTemplateDocerSaveRecord">
    <vt:lpwstr>eyJoZGlkIjoiNGVjNGI1ZWQxMDUyODY5ZDAxOTAyNjljNjE1NWUwNGQiLCJ1c2VySWQiOiIzMDgwODY2MDYifQ==</vt:lpwstr>
  </property>
</Properties>
</file>