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版本号：0617-26A2FZ0505.1B220260817001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高清视频会议系统运维服务(三次)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0617-26A2FZ0505.1B2</w:t>
      </w:r>
      <w:r>
        <w:br/>
      </w:r>
      <w:r>
        <w:br/>
      </w:r>
      <w:r>
        <w:br/>
      </w:r>
    </w:p>
    <w:p>
      <w:pPr>
        <w:pStyle w:val="null3"/>
        <w:jc w:val="center"/>
        <w:outlineLvl w:val="2"/>
      </w:pPr>
      <w:r>
        <w:rPr>
          <w:rFonts w:ascii="仿宋_GB2312" w:hAnsi="仿宋_GB2312" w:cs="仿宋_GB2312" w:eastAsia="仿宋_GB2312"/>
          <w:sz w:val="28"/>
          <w:b/>
        </w:rPr>
        <w:t>西安市临潼区机关事务服务中心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西安市临潼区机关事务服务中心</w:t>
      </w:r>
      <w:r>
        <w:rPr>
          <w:rFonts w:ascii="仿宋_GB2312" w:hAnsi="仿宋_GB2312" w:cs="仿宋_GB2312" w:eastAsia="仿宋_GB2312"/>
        </w:rPr>
        <w:t>委托，拟对</w:t>
      </w:r>
      <w:r>
        <w:rPr>
          <w:rFonts w:ascii="仿宋_GB2312" w:hAnsi="仿宋_GB2312" w:cs="仿宋_GB2312" w:eastAsia="仿宋_GB2312"/>
        </w:rPr>
        <w:t>高清视频会议系统运维服务(三次)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0617-26A2FZ0505.1B2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高清视频会议系统运维服务(三次)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保障中心高清视频会议系统稳定、高清、顺畅运行，满足主会场与各街办会场常态化视频会议、数据传输、语音通信等业务需求。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1、特定资格要求：供应商须具备合格有效的《增值电信业务经营许可证》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临潼区书院门街41号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029-83985581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贾楠希、秦进、杨鑫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供应商收取。 2. 缴费时间：确定成交供应商后3日内，由成交供应商向招标代理机构一次付清招标代理服务费。 3. 银行信息：户 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西安市临潼区机关事务服务中心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按采购文件及合同相关条款执行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保障中心高清视频会议系统稳定、高清、顺畅运行，满足主会场与各街办会场常态化视频会议、数据传输、语音通信等业务需求。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网络专线及配套服务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标的名称：网络专线及配套服务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为保障中心高清视频会议系统稳定、高清、顺畅运行，满足主会场与各街办会场常态化视频会议、数据传输、语音通信等业务需求，现对本次项目所需网络专线及配套服务提出以下技术标准及服务要求，所有投标产品及服务须完全满足本需求全部指标，且性能参数不低于以下标准。</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、互联网光纤专线技术要求</w:t>
            </w:r>
          </w:p>
          <w:p>
            <w:pPr>
              <w:pStyle w:val="null3"/>
              <w:ind w:firstLine="400"/>
              <w:jc w:val="both"/>
            </w:pPr>
            <w:r>
              <w:rPr>
                <w:rFonts w:ascii="仿宋_GB2312" w:hAnsi="仿宋_GB2312" w:cs="仿宋_GB2312" w:eastAsia="仿宋_GB2312"/>
                <w:sz w:val="20"/>
              </w:rPr>
              <w:t>本项目需配置</w:t>
            </w:r>
            <w:r>
              <w:rPr>
                <w:rFonts w:ascii="仿宋_GB2312" w:hAnsi="仿宋_GB2312" w:cs="仿宋_GB2312" w:eastAsia="仿宋_GB2312"/>
                <w:sz w:val="20"/>
              </w:rPr>
              <w:t>1</w:t>
            </w:r>
            <w:r>
              <w:rPr>
                <w:rFonts w:ascii="仿宋_GB2312" w:hAnsi="仿宋_GB2312" w:cs="仿宋_GB2312" w:eastAsia="仿宋_GB2312"/>
                <w:sz w:val="20"/>
              </w:rPr>
              <w:t>条</w:t>
            </w:r>
            <w:r>
              <w:rPr>
                <w:rFonts w:ascii="仿宋_GB2312" w:hAnsi="仿宋_GB2312" w:cs="仿宋_GB2312" w:eastAsia="仿宋_GB2312"/>
                <w:sz w:val="20"/>
              </w:rPr>
              <w:t>10</w:t>
            </w:r>
            <w:r>
              <w:rPr>
                <w:rFonts w:ascii="仿宋_GB2312" w:hAnsi="仿宋_GB2312" w:cs="仿宋_GB2312" w:eastAsia="仿宋_GB2312"/>
                <w:sz w:val="20"/>
              </w:rPr>
              <w:t>0M专用互联网光纤专线，为高清视频会议系统提供基础网络支撑，具体技术指标如下：</w:t>
            </w:r>
          </w:p>
          <w:p>
            <w:pPr>
              <w:pStyle w:val="null3"/>
              <w:ind w:firstLine="400"/>
              <w:jc w:val="both"/>
            </w:pPr>
            <w:r>
              <w:rPr>
                <w:rFonts w:ascii="仿宋_GB2312" w:hAnsi="仿宋_GB2312" w:cs="仿宋_GB2312" w:eastAsia="仿宋_GB2312"/>
                <w:sz w:val="20"/>
              </w:rPr>
              <w:t>1. 基础配置：采用光纤接入方式，配置1组固定公网IP地址，专线带宽为</w:t>
            </w:r>
            <w:r>
              <w:rPr>
                <w:rFonts w:ascii="仿宋_GB2312" w:hAnsi="仿宋_GB2312" w:cs="仿宋_GB2312" w:eastAsia="仿宋_GB2312"/>
                <w:sz w:val="20"/>
              </w:rPr>
              <w:t>10</w:t>
            </w:r>
            <w:r>
              <w:rPr>
                <w:rFonts w:ascii="仿宋_GB2312" w:hAnsi="仿宋_GB2312" w:cs="仿宋_GB2312" w:eastAsia="仿宋_GB2312"/>
                <w:sz w:val="20"/>
              </w:rPr>
              <w:t>0M，全程专用通道、独立带宽，无共享挤占情况。</w:t>
            </w:r>
          </w:p>
          <w:p>
            <w:pPr>
              <w:pStyle w:val="null3"/>
              <w:ind w:firstLine="400"/>
              <w:jc w:val="both"/>
            </w:pPr>
            <w:r>
              <w:rPr>
                <w:rFonts w:ascii="仿宋_GB2312" w:hAnsi="仿宋_GB2312" w:cs="仿宋_GB2312" w:eastAsia="仿宋_GB2312"/>
                <w:sz w:val="20"/>
              </w:rPr>
              <w:t>2. 传输质量指标：传输比特差错率≤10^-7；线路总衰减≤16db；接口实测速率不低于接口理论速率的90%；网络上下行传输对称稳定，上行速率≥下行速率的99%，满足高清视频双向传输需求。</w:t>
            </w:r>
          </w:p>
          <w:p>
            <w:pPr>
              <w:pStyle w:val="null3"/>
              <w:ind w:firstLine="400"/>
              <w:jc w:val="both"/>
            </w:pPr>
            <w:r>
              <w:rPr>
                <w:rFonts w:ascii="仿宋_GB2312" w:hAnsi="仿宋_GB2312" w:cs="仿宋_GB2312" w:eastAsia="仿宋_GB2312"/>
                <w:sz w:val="20"/>
              </w:rPr>
              <w:t>3. 网络运行参数：网络传输延时≤20ms，有效避免会议画面卡顿、声音延迟；网络抖动≤30ms，保障会议画面、语音持续稳定；网络丢包率≤0.5%，杜绝画面花屏、声音断续、会议掉线等问题；全年网络可用性≥99%，保障各类重要会议正常开展。</w:t>
            </w:r>
          </w:p>
          <w:p>
            <w:pPr>
              <w:pStyle w:val="null3"/>
              <w:ind w:firstLine="400"/>
              <w:jc w:val="both"/>
            </w:pPr>
            <w:r>
              <w:rPr>
                <w:rFonts w:ascii="仿宋_GB2312" w:hAnsi="仿宋_GB2312" w:cs="仿宋_GB2312" w:eastAsia="仿宋_GB2312"/>
                <w:sz w:val="20"/>
              </w:rPr>
              <w:t>4. 光缆线路标准：线路敷设光缆需符合行业高标准，单模光缆1.31μM波段损耗≤0.4db/KM，多模光缆1.55μM波段损耗≤0.3db/KM，保障远距离传输质量稳定。</w:t>
            </w:r>
          </w:p>
          <w:p>
            <w:pPr>
              <w:pStyle w:val="null3"/>
              <w:ind w:firstLine="400"/>
              <w:jc w:val="both"/>
            </w:pPr>
            <w:r>
              <w:rPr>
                <w:rFonts w:ascii="仿宋_GB2312" w:hAnsi="仿宋_GB2312" w:cs="仿宋_GB2312" w:eastAsia="仿宋_GB2312"/>
                <w:sz w:val="20"/>
              </w:rPr>
              <w:t>5. 配套设备要求：供应商需配套提供高性能光猫设备，设备性能需适配本专线带宽及传输标准，且预留升级空间，设备需同时配备电口、光口等多种接口，满足会议系统设备接入、拓展使用需求，设备全新无故障、兼容各类会议终端设备。</w:t>
            </w:r>
          </w:p>
          <w:p>
            <w:pPr>
              <w:pStyle w:val="null3"/>
              <w:ind w:firstLine="400"/>
              <w:jc w:val="both"/>
            </w:pPr>
            <w:r>
              <w:rPr>
                <w:rFonts w:ascii="仿宋_GB2312" w:hAnsi="仿宋_GB2312" w:cs="仿宋_GB2312" w:eastAsia="仿宋_GB2312"/>
                <w:sz w:val="20"/>
              </w:rPr>
              <w:t>6. 故障运维服务：建立专属故障响应机制，网络及设备故障报修后，响应时间≤30分钟、现场到达时间≤1小时、故障完全修复时间≤4小时，高效处置各类网络故障，最大限度降低对视频会议工作的影响。</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、数字电路专线技术要求</w:t>
            </w:r>
          </w:p>
          <w:p>
            <w:pPr>
              <w:pStyle w:val="null3"/>
              <w:ind w:firstLine="400"/>
              <w:jc w:val="both"/>
            </w:pPr>
            <w:r>
              <w:rPr>
                <w:rFonts w:ascii="仿宋_GB2312" w:hAnsi="仿宋_GB2312" w:cs="仿宋_GB2312" w:eastAsia="仿宋_GB2312"/>
                <w:sz w:val="20"/>
              </w:rPr>
              <w:t>为搭建主会场至各级分会场专用视频传输通道，保障多级联动视频会议安全、独立、稳定传输，需配置专属</w:t>
            </w:r>
            <w:r>
              <w:rPr>
                <w:rFonts w:ascii="仿宋_GB2312" w:hAnsi="仿宋_GB2312" w:cs="仿宋_GB2312" w:eastAsia="仿宋_GB2312"/>
                <w:sz w:val="20"/>
              </w:rPr>
              <w:t>10</w:t>
            </w:r>
            <w:r>
              <w:rPr>
                <w:rFonts w:ascii="仿宋_GB2312" w:hAnsi="仿宋_GB2312" w:cs="仿宋_GB2312" w:eastAsia="仿宋_GB2312"/>
                <w:sz w:val="20"/>
              </w:rPr>
              <w:t>M数字电路专线，全程专用数据通道，独立组网、不占用公网资源，具体配置如下：</w:t>
            </w:r>
          </w:p>
          <w:p>
            <w:pPr>
              <w:pStyle w:val="null3"/>
              <w:ind w:firstLine="400"/>
              <w:jc w:val="both"/>
            </w:pPr>
            <w:r>
              <w:rPr>
                <w:rFonts w:ascii="仿宋_GB2312" w:hAnsi="仿宋_GB2312" w:cs="仿宋_GB2312" w:eastAsia="仿宋_GB2312"/>
                <w:sz w:val="20"/>
              </w:rPr>
              <w:t>1. 区级分会场专线：配置2条</w:t>
            </w:r>
            <w:r>
              <w:rPr>
                <w:rFonts w:ascii="仿宋_GB2312" w:hAnsi="仿宋_GB2312" w:cs="仿宋_GB2312" w:eastAsia="仿宋_GB2312"/>
                <w:sz w:val="20"/>
              </w:rPr>
              <w:t>10</w:t>
            </w:r>
            <w:r>
              <w:rPr>
                <w:rFonts w:ascii="仿宋_GB2312" w:hAnsi="仿宋_GB2312" w:cs="仿宋_GB2312" w:eastAsia="仿宋_GB2312"/>
                <w:sz w:val="20"/>
              </w:rPr>
              <w:t>M数字电路，用于实现中心主会场与2个区级分会场之间的高清视频会议、数据交互、语音对讲等业务传输。</w:t>
            </w:r>
          </w:p>
          <w:p>
            <w:pPr>
              <w:pStyle w:val="null3"/>
              <w:ind w:firstLine="400"/>
              <w:jc w:val="both"/>
            </w:pPr>
            <w:r>
              <w:rPr>
                <w:rFonts w:ascii="仿宋_GB2312" w:hAnsi="仿宋_GB2312" w:cs="仿宋_GB2312" w:eastAsia="仿宋_GB2312"/>
                <w:sz w:val="20"/>
              </w:rPr>
              <w:t>2. 街办会场专线：配置23条</w:t>
            </w:r>
            <w:r>
              <w:rPr>
                <w:rFonts w:ascii="仿宋_GB2312" w:hAnsi="仿宋_GB2312" w:cs="仿宋_GB2312" w:eastAsia="仿宋_GB2312"/>
                <w:sz w:val="20"/>
              </w:rPr>
              <w:t>10</w:t>
            </w:r>
            <w:r>
              <w:rPr>
                <w:rFonts w:ascii="仿宋_GB2312" w:hAnsi="仿宋_GB2312" w:cs="仿宋_GB2312" w:eastAsia="仿宋_GB2312"/>
                <w:sz w:val="20"/>
              </w:rPr>
              <w:t>M数字电路，用于实现中心主会场与23个街办会场之间的各类视频会议业务传输。</w:t>
            </w:r>
          </w:p>
          <w:p>
            <w:pPr>
              <w:pStyle w:val="null3"/>
              <w:ind w:firstLine="400"/>
              <w:jc w:val="both"/>
            </w:pPr>
            <w:r>
              <w:rPr>
                <w:rFonts w:ascii="仿宋_GB2312" w:hAnsi="仿宋_GB2312" w:cs="仿宋_GB2312" w:eastAsia="仿宋_GB2312"/>
                <w:sz w:val="20"/>
              </w:rPr>
              <w:t>3. 通道性能要求：所有数字电路需提供安全、私密、高可靠的专用数据传输通道，支持多类型接口适配，可稳定承载高清视频、业务数据、语音通话等多重业务同时传输，具备抗干扰、低延迟、高保密的特性，满足政务会议的保密性、稳定性使用要求。</w:t>
            </w:r>
          </w:p>
          <w:p>
            <w:pPr>
              <w:pStyle w:val="null3"/>
              <w:ind w:firstLine="400"/>
              <w:jc w:val="both"/>
            </w:pPr>
            <w:r>
              <w:rPr>
                <w:rFonts w:ascii="仿宋_GB2312" w:hAnsi="仿宋_GB2312" w:cs="仿宋_GB2312" w:eastAsia="仿宋_GB2312"/>
                <w:sz w:val="20"/>
              </w:rPr>
              <w:t>三、专用电视信号</w:t>
            </w:r>
          </w:p>
          <w:p>
            <w:pPr>
              <w:pStyle w:val="null3"/>
              <w:ind w:firstLine="400"/>
              <w:jc w:val="both"/>
            </w:pPr>
            <w:r>
              <w:rPr>
                <w:rFonts w:ascii="仿宋_GB2312" w:hAnsi="仿宋_GB2312" w:cs="仿宋_GB2312" w:eastAsia="仿宋_GB2312"/>
                <w:sz w:val="20"/>
              </w:rPr>
              <w:t>本项目提供</w:t>
            </w:r>
            <w:r>
              <w:rPr>
                <w:rFonts w:ascii="仿宋_GB2312" w:hAnsi="仿宋_GB2312" w:cs="仿宋_GB2312" w:eastAsia="仿宋_GB2312"/>
                <w:sz w:val="20"/>
              </w:rPr>
              <w:t>1路独立专用电视直播信号，用于收看具备完整广电集成播控授权。电视信号通道独立隔离，办公网络拥堵、外网波动不影响电视直播收看，无加载缓冲、花屏降质现象。</w:t>
            </w:r>
          </w:p>
          <w:p>
            <w:pPr>
              <w:pStyle w:val="null3"/>
              <w:ind w:firstLine="400"/>
              <w:jc w:val="both"/>
            </w:pPr>
            <w:r>
              <w:rPr>
                <w:rFonts w:ascii="仿宋_GB2312" w:hAnsi="仿宋_GB2312" w:cs="仿宋_GB2312" w:eastAsia="仿宋_GB2312"/>
                <w:sz w:val="20"/>
              </w:rPr>
              <w:t>四、专线服务保障承诺要求</w:t>
            </w:r>
          </w:p>
          <w:p>
            <w:pPr>
              <w:pStyle w:val="null3"/>
              <w:ind w:firstLine="400"/>
              <w:jc w:val="both"/>
            </w:pPr>
            <w:r>
              <w:rPr>
                <w:rFonts w:ascii="仿宋_GB2312" w:hAnsi="仿宋_GB2312" w:cs="仿宋_GB2312" w:eastAsia="仿宋_GB2312"/>
                <w:sz w:val="20"/>
              </w:rPr>
              <w:t>供应商须针对本项目出具正式、可落地的专项服务保障承诺书，作为投标及履约依据，全程保障视频会议系统网络稳定运行，具体要求如下：</w:t>
            </w:r>
          </w:p>
          <w:p>
            <w:pPr>
              <w:pStyle w:val="null3"/>
              <w:ind w:firstLine="400"/>
              <w:jc w:val="both"/>
            </w:pPr>
            <w:r>
              <w:rPr>
                <w:rFonts w:ascii="仿宋_GB2312" w:hAnsi="仿宋_GB2312" w:cs="仿宋_GB2312" w:eastAsia="仿宋_GB2312"/>
                <w:sz w:val="20"/>
              </w:rPr>
              <w:t>1. 专属运维保障：项目服务期内，安排专属客户经理、技术运维人员一对一对接服务，建立项目专属服务台账，定期对全网线路、设备进行巡检，每月至少完成1次全线路测速、参数校准、设备隐患排查，并出具正式巡检报告。</w:t>
            </w:r>
          </w:p>
          <w:p>
            <w:pPr>
              <w:pStyle w:val="null3"/>
              <w:ind w:firstLine="400"/>
              <w:jc w:val="both"/>
            </w:pPr>
            <w:r>
              <w:rPr>
                <w:rFonts w:ascii="仿宋_GB2312" w:hAnsi="仿宋_GB2312" w:cs="仿宋_GB2312" w:eastAsia="仿宋_GB2312"/>
                <w:sz w:val="20"/>
              </w:rPr>
              <w:t>2. 重大会议保障：针对重大政务会议、常态化工作会议提供7×24小时专项值守保障服务，会议期间安排技术人员全程待命，提前1小时完成全线网络测速、设备调试、链路检测，全程实时监控网络运行状态，杜绝会议期间网络异常问题。</w:t>
            </w:r>
          </w:p>
          <w:p>
            <w:pPr>
              <w:pStyle w:val="null3"/>
              <w:ind w:firstLine="400"/>
              <w:jc w:val="both"/>
            </w:pPr>
            <w:r>
              <w:rPr>
                <w:rFonts w:ascii="仿宋_GB2312" w:hAnsi="仿宋_GB2312" w:cs="仿宋_GB2312" w:eastAsia="仿宋_GB2312"/>
                <w:sz w:val="20"/>
              </w:rPr>
              <w:t>3. 故障兜底保障：除常规故障响应时效外，针对紧急重要会议突发网络故障，需启动应急兜底方案，快速切换备用保障链路，确保会议不中断；故障处置完成后24小时内出具故障分析报告、整改方案，杜绝同类问题重复发生。</w:t>
            </w:r>
          </w:p>
          <w:p>
            <w:pPr>
              <w:pStyle w:val="null3"/>
              <w:ind w:firstLine="400"/>
              <w:jc w:val="both"/>
            </w:pPr>
            <w:r>
              <w:rPr>
                <w:rFonts w:ascii="仿宋_GB2312" w:hAnsi="仿宋_GB2312" w:cs="仿宋_GB2312" w:eastAsia="仿宋_GB2312"/>
                <w:sz w:val="20"/>
              </w:rPr>
              <w:t>4. 日常监控保障：服务商需具备完善的网络监控平台，可对本项目所有专线带宽、延时、抖动、丢包率等核心参数进行24小时实时监控，提前预判网络负荷、线路隐患，主动预警、提前处置。</w:t>
            </w:r>
          </w:p>
          <w:p>
            <w:pPr>
              <w:pStyle w:val="null3"/>
              <w:ind w:firstLine="400"/>
              <w:jc w:val="both"/>
            </w:pPr>
            <w:r>
              <w:rPr>
                <w:rFonts w:ascii="仿宋_GB2312" w:hAnsi="仿宋_GB2312" w:cs="仿宋_GB2312" w:eastAsia="仿宋_GB2312"/>
                <w:sz w:val="20"/>
              </w:rPr>
              <w:t>5. 售后质保保障：本项目所有配套接入设备提供全程免费质保，服务期内设备自然老化、故障损坏、性能不足等问题，由供应商免费维修、更换、升级，不产生任何额外费用。</w:t>
            </w:r>
          </w:p>
          <w:p>
            <w:pPr>
              <w:pStyle w:val="null3"/>
              <w:ind w:firstLine="400"/>
              <w:jc w:val="both"/>
            </w:pPr>
            <w:r>
              <w:rPr>
                <w:rFonts w:ascii="仿宋_GB2312" w:hAnsi="仿宋_GB2312" w:cs="仿宋_GB2312" w:eastAsia="仿宋_GB2312"/>
                <w:sz w:val="20"/>
              </w:rPr>
              <w:t>6.网络信息安全防护：满足网管基础运维、安全态势感知、安全告警通知、安全服务报告、终端处置联动、威胁情报关联分析、高级威胁识别能力等功能，并提供相应纸质证明，需确保云端平台通过网络安全等级保护三级的合规建设要求，提供合规性依据；</w:t>
            </w:r>
          </w:p>
          <w:p>
            <w:pPr>
              <w:pStyle w:val="null3"/>
              <w:ind w:firstLine="400"/>
              <w:jc w:val="both"/>
            </w:pPr>
            <w:r>
              <w:rPr>
                <w:rFonts w:ascii="仿宋_GB2312" w:hAnsi="仿宋_GB2312" w:cs="仿宋_GB2312" w:eastAsia="仿宋_GB2312"/>
                <w:sz w:val="20"/>
              </w:rPr>
              <w:t>四、商务及费用要求</w:t>
            </w:r>
          </w:p>
          <w:p>
            <w:pPr>
              <w:pStyle w:val="null3"/>
              <w:ind w:firstLine="400"/>
              <w:jc w:val="both"/>
            </w:pPr>
            <w:r>
              <w:rPr>
                <w:rFonts w:ascii="仿宋_GB2312" w:hAnsi="仿宋_GB2312" w:cs="仿宋_GB2312" w:eastAsia="仿宋_GB2312"/>
                <w:sz w:val="20"/>
              </w:rPr>
              <w:t>本项目所有专线部署、设备供货、运维服务、故障抢修等全部费用实行总价包干模式，年度专线服务费</w:t>
            </w:r>
            <w:r>
              <w:rPr>
                <w:rFonts w:ascii="仿宋_GB2312" w:hAnsi="仿宋_GB2312" w:cs="仿宋_GB2312" w:eastAsia="仿宋_GB2312"/>
                <w:sz w:val="20"/>
              </w:rPr>
              <w:t>310000元（最高限价），具体商务及费用规范如下：</w:t>
            </w:r>
          </w:p>
          <w:p>
            <w:pPr>
              <w:pStyle w:val="null3"/>
              <w:ind w:firstLine="400"/>
              <w:jc w:val="both"/>
            </w:pPr>
            <w:r>
              <w:rPr>
                <w:rFonts w:ascii="仿宋_GB2312" w:hAnsi="仿宋_GB2312" w:cs="仿宋_GB2312" w:eastAsia="仿宋_GB2312"/>
                <w:sz w:val="20"/>
              </w:rPr>
              <w:t>1. 费用包含范围：投标报价为最终落地总价，包含线路租赁费、光纤敷设费、公网IP使用费、全套配套设备采购及安装调试费、设备质保费、人工施工费、巡检服务费、故障抢修费、技术培训费、日常运维费等项目所有相关费用，采购人无需额外支付任何其他费用。</w:t>
            </w:r>
          </w:p>
          <w:p>
            <w:pPr>
              <w:pStyle w:val="null3"/>
              <w:ind w:firstLine="400"/>
              <w:jc w:val="both"/>
            </w:pPr>
            <w:r>
              <w:rPr>
                <w:rFonts w:ascii="仿宋_GB2312" w:hAnsi="仿宋_GB2312" w:cs="仿宋_GB2312" w:eastAsia="仿宋_GB2312"/>
                <w:sz w:val="20"/>
              </w:rPr>
              <w:t>2. 价格稳定性要求：合同服务期内，供应商不得以市场资费调整、线路升级、设备损耗、人工成本上涨等任何理由上调价格、增收附加费用，所有费用保持固定不变。</w:t>
            </w:r>
          </w:p>
          <w:p>
            <w:pPr>
              <w:pStyle w:val="null3"/>
              <w:ind w:firstLine="400"/>
              <w:jc w:val="both"/>
            </w:pPr>
            <w:r>
              <w:rPr>
                <w:rFonts w:ascii="仿宋_GB2312" w:hAnsi="仿宋_GB2312" w:cs="仿宋_GB2312" w:eastAsia="仿宋_GB2312"/>
                <w:sz w:val="20"/>
              </w:rPr>
              <w:t>3. 履约及付款要求：供应商须严格遵守政府采购及合同履约相关规定，按标准完成线路部署、设备安装调试并通过采购人验收合格后方可结算；</w:t>
            </w:r>
            <w:r>
              <w:rPr>
                <w:rFonts w:ascii="仿宋_GB2312" w:hAnsi="仿宋_GB2312" w:cs="仿宋_GB2312" w:eastAsia="仿宋_GB2312"/>
                <w:sz w:val="20"/>
              </w:rPr>
              <w:t>付款方式</w:t>
            </w:r>
            <w:r>
              <w:rPr>
                <w:rFonts w:ascii="仿宋_GB2312" w:hAnsi="仿宋_GB2312" w:cs="仿宋_GB2312" w:eastAsia="仿宋_GB2312"/>
                <w:sz w:val="20"/>
              </w:rPr>
              <w:t>、付款周期严格按照采购人单位财务管理制度及合同约定执行，供应商须无条件配合完成开票、对账、资料报送等流程。</w:t>
            </w:r>
          </w:p>
          <w:p>
            <w:pPr>
              <w:pStyle w:val="null3"/>
              <w:ind w:firstLine="400"/>
              <w:jc w:val="both"/>
            </w:pPr>
            <w:r>
              <w:rPr>
                <w:rFonts w:ascii="仿宋_GB2312" w:hAnsi="仿宋_GB2312" w:cs="仿宋_GB2312" w:eastAsia="仿宋_GB2312"/>
                <w:sz w:val="20"/>
              </w:rPr>
              <w:t>4. 工期交付要求：中标后须在规定工作日内完成所有互联网光纤专线、数字电路专线部署、设备安装调试、全网测试工作，确保全线达标、系统正常投入使用，如期完成项目整体验收；逾期交付需承担相应违约责任。</w:t>
            </w:r>
          </w:p>
          <w:p>
            <w:pPr>
              <w:pStyle w:val="null3"/>
              <w:ind w:firstLine="400"/>
              <w:jc w:val="both"/>
            </w:pPr>
            <w:r>
              <w:rPr>
                <w:rFonts w:ascii="仿宋_GB2312" w:hAnsi="仿宋_GB2312" w:cs="仿宋_GB2312" w:eastAsia="仿宋_GB2312"/>
                <w:sz w:val="20"/>
              </w:rPr>
              <w:t>5. 合规商务要求：供应商需具备对应网络通信服务经营资质，能够独立完成本项目所有施工及服务工作，严禁转包、分包项目服务内容；投标文件需清晰列明服务方案、设备参数、服务周期、售后承诺等商务内容，资料真实完整</w:t>
            </w:r>
            <w:r>
              <w:rPr>
                <w:rFonts w:ascii="仿宋_GB2312" w:hAnsi="仿宋_GB2312" w:cs="仿宋_GB2312" w:eastAsia="仿宋_GB2312"/>
                <w:sz w:val="20"/>
              </w:rPr>
              <w:t>、符合招标合规要求。</w:t>
            </w:r>
          </w:p>
          <w:p>
            <w:pPr>
              <w:pStyle w:val="null3"/>
            </w:pPr>
            <w:r>
              <w:rPr>
                <w:rFonts w:ascii="仿宋_GB2312" w:hAnsi="仿宋_GB2312" w:cs="仿宋_GB2312" w:eastAsia="仿宋_GB2312"/>
                <w:sz w:val="20"/>
              </w:rPr>
              <w:t>6. 服务周期要求：整体服务周期一年，服务期满前，供应商需配合采购人完成续约、验收或交接工作，服务期结束后提供不少于3个月的免费过渡期技术支持服务。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1、本项目采购标的对应的中小企业划分标准所属行业为软件和信息技术服务业。 2、报价要求：固定总价，供应商必须按照规定方式进行完整报价，采购人不接受（将拒绝）只对部分内容进行报价的响应；明显不合理或者低于成本且无法合理解释的报价将被否决。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或基本资格条件承诺函（以上四种形式的资料提供任何一种即可）； （三）具有履行合同所必需的设备和专业技术能力。提供基本资格条件承诺函（四）具有依法缴纳税收的良好记录。提供缴费所属日期为投标截止时间前12个月任意三个月的缴费凭据或税务机关出具的完税证明/在法规范围内不需提供的应出具书面说明和证明文件；或基本资格条件承诺函（五）具有依法缴纳社会保障资金的良好记录。提供缴费所属日期为投标截止时间前12个月任意三个月的缴费凭据或社保机关出具的缴费证明/在法规范围内不需提供的应出具书面说明和证明文件；或基本资格条件承诺函（六）参加政府采购活动前3年内在经营活动中没有重大违法记录的书面声明；提供基本资格条件承诺函（七）法人代表授权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资格部分(新）.docx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供应商须具备合格有效的《增值电信业务经营许可证》</w:t>
            </w:r>
          </w:p>
        </w:tc>
        <w:tc>
          <w:tcPr>
            <w:tcW w:type="dxa" w:w="1661"/>
          </w:tcPr>
          <w:p>
            <w:pPr>
              <w:pStyle w:val="null3"/>
            </w:pPr>
            <w:r>
              <w:rPr>
                <w:rFonts w:ascii="仿宋_GB2312" w:hAnsi="仿宋_GB2312" w:cs="仿宋_GB2312" w:eastAsia="仿宋_GB2312"/>
              </w:rPr>
              <w:t>资格部分(新）.docx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1、磋商响应文件的完整性审查。 1.1响应文件是否按照磋商文件要求的格式编写。 2、磋商响应文件的有效性审查。 2.1响应文件的签署、加盖印章是否合格、有效。 3、磋商响应文件的响应性审查。 3.1磋商报价是否未超过采购预算或最高限价； 3.2磋商报价有效期是否符合磋商文件的要求；</w:t>
            </w:r>
          </w:p>
        </w:tc>
        <w:tc>
          <w:tcPr>
            <w:tcW w:type="dxa" w:w="1661"/>
          </w:tcPr>
          <w:p>
            <w:pPr>
              <w:pStyle w:val="null3"/>
            </w:pPr>
            <w:r>
              <w:rPr>
                <w:rFonts w:ascii="仿宋_GB2312" w:hAnsi="仿宋_GB2312" w:cs="仿宋_GB2312" w:eastAsia="仿宋_GB2312"/>
              </w:rPr>
              <w:t>技术商务部分.docx 响应文件封面 中小企业声明函 残疾人福利性单位声明函 标的清单 报价表 资格部分(新）.docx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w:t>
            </w:r>
          </w:p>
        </w:tc>
        <w:tc>
          <w:tcPr>
            <w:tcW w:type="dxa" w:w="2492"/>
          </w:tcPr>
          <w:p>
            <w:pPr>
              <w:pStyle w:val="null3"/>
            </w:pPr>
            <w:r>
              <w:rPr>
                <w:rFonts w:ascii="仿宋_GB2312" w:hAnsi="仿宋_GB2312" w:cs="仿宋_GB2312" w:eastAsia="仿宋_GB2312"/>
              </w:rPr>
              <w:t>满足第三章3.2.2服务要求的服务内容及要求，得22分，每有1项指标负偏离或不满足扣2分，扣完为止。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供应商针对本项目提供详细的服务方案，需充分结合项目实际情况，满足采购需求，方案内容完整、具体、可行、科学合理。 1.评审内容： （1）服务目标；（2）服务实施步骤计划（服务工作流程）；（3）服务管理规章制度；（4）工作重点与难点分析及对应措施（网络信息安全保障及防护）。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3.赋分标准：每一项评审内容满足每一项评审标准的得1分，最多得3分。存在漏洞或缺陷扣0.1-1分，3分扣完为止。未提供相关评审内容的，该项得0分。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供应商针对本项目提供服务保障措施，内容需结合前述服务方案，并考虑结合项目实际，能够切实保证服务质量。 1.评审内容： （1）线路性能稳定保障措施；（2）网络信息安全保障措施；（3）进度保障措施；（4）服务人员保障措施。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3.赋分标准：每一项评审内容满足每-项评审标准的得1分，最多得3分。存在漏洞或缺陷扣0.1-1分，3分扣完为止。未提供相关评审内容的，该项得0分。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供应商针对本项目提供应急预案，内容全面、详细、准确，并贴合项目实际需求。 1.评审内容： ①应急预案；②故障兜底保障；③应急保障措施。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3.赋分标准：每一项评审内容满足每-项评审标准的得1分，最多得3分。存在漏洞或缺陷扣0.1-1分，3分扣完为止。未提供相关评审内容的，该项得0分。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供应商针对本项目提供服务承诺，贴合项目实际需求。 1.评审内容： （1）服务质量承诺；（2）故障响应及解决时间承诺；（3）本地化服务承诺。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3.赋分标准：每一项评审内容满足一项评审标准的得0.7分，满足两项评审标准的得1.4分，满足三项评审标准的得2分。存在漏洞或缺陷扣0.1-2分，2分扣完为止。未提供相关评审内容的，该项得0分。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故障修复</w:t>
            </w:r>
          </w:p>
        </w:tc>
        <w:tc>
          <w:tcPr>
            <w:tcW w:type="dxa" w:w="2492"/>
          </w:tcPr>
          <w:p>
            <w:pPr>
              <w:pStyle w:val="null3"/>
            </w:pPr>
            <w:r>
              <w:rPr>
                <w:rFonts w:ascii="仿宋_GB2312" w:hAnsi="仿宋_GB2312" w:cs="仿宋_GB2312" w:eastAsia="仿宋_GB2312"/>
              </w:rPr>
              <w:t>供应商响应时间≤30分钟、现场到达时间≤1小时、故障完全修复时间≤4小时。的基础上，响应时间每提前10分钟得0.5分，共1分；现场到达时间每提前20分钟得0.5分，共1分；故障完全修复时间每提前1小时得1分，共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商务要求响应程度</w:t>
            </w:r>
          </w:p>
        </w:tc>
        <w:tc>
          <w:tcPr>
            <w:tcW w:type="dxa" w:w="2492"/>
          </w:tcPr>
          <w:p>
            <w:pPr>
              <w:pStyle w:val="null3"/>
            </w:pPr>
            <w:r>
              <w:rPr>
                <w:rFonts w:ascii="仿宋_GB2312" w:hAnsi="仿宋_GB2312" w:cs="仿宋_GB2312" w:eastAsia="仿宋_GB2312"/>
              </w:rPr>
              <w:t>根据供应商针对工期、服务周期、服务期内所配合的工作内容、付款方式的响应情况赋分，每响应一项得2.5分，最高计10分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供应商需提供2023年1月1日以来独立承担过同类项目业绩，每个业绩计1分，最高计10分。 注：类似业绩以合同签订时间为准，未提供或不清晰导致无法识别的不予以认可。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满足采购文件要求且最终响应报价最低的报价为评审基准价，其价格分为满分。其他供应商的价格分统一按照下列公式计算：响应报价得分=（评审基准价÷评审价）×价格权值×100。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详见附件：资格部分(新）.docx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