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ECAC6">
      <w:pPr>
        <w:spacing w:line="240" w:lineRule="auto"/>
        <w:jc w:val="center"/>
        <w:rPr>
          <w:rFonts w:hint="eastAsia" w:cs="Times New Roman"/>
          <w:color w:val="auto"/>
          <w:sz w:val="52"/>
          <w:szCs w:val="52"/>
        </w:rPr>
      </w:pPr>
    </w:p>
    <w:p w14:paraId="7B81EF30">
      <w:pPr>
        <w:spacing w:line="240" w:lineRule="auto"/>
        <w:jc w:val="center"/>
        <w:rPr>
          <w:rFonts w:hint="eastAsia" w:cs="华文仿宋"/>
          <w:color w:val="auto"/>
          <w:sz w:val="52"/>
          <w:szCs w:val="52"/>
          <w:lang w:eastAsia="zh-CN"/>
        </w:rPr>
      </w:pPr>
      <w:r>
        <w:rPr>
          <w:rFonts w:hint="eastAsia" w:cs="华文仿宋"/>
          <w:color w:val="auto"/>
          <w:sz w:val="52"/>
          <w:szCs w:val="52"/>
          <w:lang w:eastAsia="zh-CN"/>
        </w:rPr>
        <w:t>延安市公共资源交易中心</w:t>
      </w:r>
    </w:p>
    <w:p w14:paraId="05FE0D9B">
      <w:pPr>
        <w:spacing w:line="240" w:lineRule="auto"/>
        <w:jc w:val="center"/>
        <w:rPr>
          <w:rFonts w:hint="eastAsia" w:eastAsia="华文仿宋" w:cs="华文仿宋"/>
          <w:color w:val="auto"/>
          <w:sz w:val="52"/>
          <w:szCs w:val="52"/>
          <w:lang w:eastAsia="zh-CN"/>
        </w:rPr>
      </w:pPr>
      <w:r>
        <w:rPr>
          <w:rFonts w:hint="eastAsia" w:cs="华文仿宋"/>
          <w:color w:val="auto"/>
          <w:sz w:val="52"/>
          <w:szCs w:val="52"/>
          <w:lang w:eastAsia="zh-CN"/>
        </w:rPr>
        <w:t>（延安市市直单位政府采购中心）</w:t>
      </w:r>
    </w:p>
    <w:p w14:paraId="340E6858">
      <w:pPr>
        <w:spacing w:line="240" w:lineRule="auto"/>
        <w:jc w:val="center"/>
        <w:rPr>
          <w:rFonts w:hint="eastAsia" w:eastAsia="华文中宋" w:cs="华文中宋"/>
          <w:color w:val="auto"/>
          <w:kern w:val="0"/>
          <w:sz w:val="21"/>
          <w:szCs w:val="21"/>
        </w:rPr>
      </w:pPr>
    </w:p>
    <w:p w14:paraId="071E31CC">
      <w:pPr>
        <w:spacing w:line="240" w:lineRule="auto"/>
        <w:jc w:val="center"/>
        <w:rPr>
          <w:rFonts w:eastAsia="华文中宋" w:cs="Times New Roman"/>
          <w:color w:val="auto"/>
          <w:sz w:val="96"/>
          <w:szCs w:val="96"/>
        </w:rPr>
      </w:pPr>
      <w:r>
        <w:rPr>
          <w:rFonts w:hint="eastAsia" w:eastAsia="华文中宋" w:cs="华文中宋"/>
          <w:color w:val="auto"/>
          <w:kern w:val="0"/>
          <w:sz w:val="96"/>
          <w:szCs w:val="96"/>
        </w:rPr>
        <w:t>公开招标文件</w:t>
      </w:r>
    </w:p>
    <w:p w14:paraId="4A0A4EC3">
      <w:pPr>
        <w:spacing w:line="240" w:lineRule="auto"/>
        <w:jc w:val="center"/>
        <w:rPr>
          <w:color w:val="auto"/>
          <w:sz w:val="36"/>
          <w:szCs w:val="36"/>
        </w:rPr>
      </w:pPr>
      <w:r>
        <w:rPr>
          <w:rFonts w:hint="eastAsia"/>
          <w:color w:val="auto"/>
          <w:sz w:val="36"/>
          <w:szCs w:val="36"/>
        </w:rPr>
        <w:t>（</w:t>
      </w:r>
      <w:r>
        <w:rPr>
          <w:rFonts w:hint="eastAsia"/>
          <w:color w:val="auto"/>
          <w:sz w:val="36"/>
          <w:szCs w:val="36"/>
          <w:lang w:eastAsia="zh-CN"/>
        </w:rPr>
        <w:t>专门面向小微</w:t>
      </w:r>
      <w:r>
        <w:rPr>
          <w:rFonts w:hint="eastAsia"/>
          <w:color w:val="auto"/>
          <w:sz w:val="36"/>
          <w:szCs w:val="36"/>
        </w:rPr>
        <w:t>企业项目）</w:t>
      </w:r>
    </w:p>
    <w:p w14:paraId="1F27FF3B">
      <w:pPr>
        <w:spacing w:line="900" w:lineRule="exact"/>
        <w:ind w:left="2805" w:leftChars="350" w:right="707" w:rightChars="250" w:hanging="1815" w:hangingChars="500"/>
        <w:rPr>
          <w:rFonts w:cs="Times New Roman"/>
          <w:color w:val="auto"/>
          <w:sz w:val="36"/>
          <w:szCs w:val="36"/>
        </w:rPr>
      </w:pPr>
    </w:p>
    <w:p w14:paraId="0027576F">
      <w:pPr>
        <w:pStyle w:val="27"/>
        <w:spacing w:after="190"/>
        <w:ind w:firstLine="0" w:firstLineChars="0"/>
        <w:rPr>
          <w:color w:val="auto"/>
          <w:sz w:val="36"/>
          <w:szCs w:val="36"/>
        </w:rPr>
      </w:pPr>
    </w:p>
    <w:p w14:paraId="7F26E72E">
      <w:pPr>
        <w:spacing w:line="240" w:lineRule="auto"/>
        <w:ind w:left="2550" w:leftChars="260" w:right="291" w:rightChars="103" w:hanging="1815" w:hangingChars="500"/>
        <w:jc w:val="left"/>
        <w:rPr>
          <w:rFonts w:hint="default" w:ascii="仿宋" w:hAnsi="仿宋" w:eastAsia="仿宋" w:cs="仿宋"/>
          <w:b/>
          <w:bCs/>
          <w:color w:val="auto"/>
          <w:sz w:val="36"/>
          <w:szCs w:val="36"/>
          <w:lang w:val="en-US" w:eastAsia="zh-CN"/>
        </w:rPr>
      </w:pPr>
      <w:r>
        <w:rPr>
          <w:rFonts w:hint="eastAsia" w:ascii="仿宋" w:hAnsi="仿宋" w:eastAsia="仿宋" w:cs="仿宋"/>
          <w:b/>
          <w:bCs/>
          <w:color w:val="auto"/>
          <w:sz w:val="36"/>
          <w:szCs w:val="36"/>
        </w:rPr>
        <w:t>项目名称</w:t>
      </w:r>
      <w:r>
        <w:rPr>
          <w:rFonts w:hint="eastAsia" w:ascii="华文仿宋" w:hAnsi="华文仿宋" w:cs="华文仿宋"/>
          <w:b/>
          <w:bCs/>
          <w:color w:val="auto"/>
          <w:sz w:val="36"/>
          <w:szCs w:val="36"/>
        </w:rPr>
        <w:t>：</w:t>
      </w:r>
      <w:r>
        <w:rPr>
          <w:rFonts w:hint="eastAsia" w:ascii="华文仿宋" w:hAnsi="华文仿宋" w:cs="华文仿宋"/>
          <w:b/>
          <w:bCs/>
          <w:color w:val="auto"/>
          <w:sz w:val="36"/>
          <w:szCs w:val="36"/>
          <w:lang w:val="en-US" w:eastAsia="zh-CN"/>
        </w:rPr>
        <w:t>延安市自然资源局中心城区现状地形图测绘</w:t>
      </w:r>
    </w:p>
    <w:p w14:paraId="3EB7808A">
      <w:pPr>
        <w:spacing w:line="240" w:lineRule="auto"/>
        <w:ind w:left="2531" w:leftChars="197" w:right="291" w:rightChars="103" w:hanging="1974" w:hangingChars="544"/>
        <w:jc w:val="left"/>
        <w:rPr>
          <w:rFonts w:hint="eastAsia" w:ascii="仿宋" w:hAnsi="仿宋" w:eastAsia="仿宋" w:cs="仿宋"/>
          <w:b/>
          <w:bCs/>
          <w:color w:val="auto"/>
          <w:sz w:val="36"/>
          <w:szCs w:val="36"/>
          <w:lang w:val="en-US" w:eastAsia="zh-CN"/>
        </w:rPr>
      </w:pPr>
      <w:r>
        <w:rPr>
          <w:rFonts w:hint="eastAsia" w:ascii="华文仿宋" w:hAnsi="华文仿宋" w:cs="华文仿宋"/>
          <w:b/>
          <w:bCs/>
          <w:color w:val="auto"/>
          <w:sz w:val="36"/>
          <w:szCs w:val="36"/>
        </w:rPr>
        <w:t>项目编号：</w:t>
      </w:r>
      <w:r>
        <w:rPr>
          <w:rFonts w:hint="eastAsia" w:ascii="仿宋" w:hAnsi="仿宋" w:eastAsia="仿宋" w:cs="仿宋"/>
          <w:b/>
          <w:bCs/>
          <w:color w:val="auto"/>
          <w:sz w:val="36"/>
          <w:szCs w:val="36"/>
          <w:lang w:eastAsia="zh-CN"/>
        </w:rPr>
        <w:t>YAZCXG202</w:t>
      </w:r>
      <w:r>
        <w:rPr>
          <w:rFonts w:hint="eastAsia" w:ascii="仿宋" w:hAnsi="仿宋" w:eastAsia="仿宋" w:cs="仿宋"/>
          <w:b/>
          <w:bCs/>
          <w:color w:val="auto"/>
          <w:sz w:val="36"/>
          <w:szCs w:val="36"/>
          <w:lang w:val="en-US" w:eastAsia="zh-CN"/>
        </w:rPr>
        <w:t>6</w:t>
      </w:r>
      <w:r>
        <w:rPr>
          <w:rFonts w:hint="eastAsia" w:ascii="仿宋" w:hAnsi="仿宋" w:eastAsia="仿宋" w:cs="仿宋"/>
          <w:b/>
          <w:bCs/>
          <w:color w:val="auto"/>
          <w:sz w:val="36"/>
          <w:szCs w:val="36"/>
          <w:lang w:eastAsia="zh-CN"/>
        </w:rPr>
        <w:t>-</w:t>
      </w:r>
      <w:r>
        <w:rPr>
          <w:rFonts w:hint="eastAsia" w:ascii="仿宋" w:hAnsi="仿宋" w:eastAsia="仿宋" w:cs="仿宋"/>
          <w:b/>
          <w:bCs/>
          <w:color w:val="auto"/>
          <w:sz w:val="36"/>
          <w:szCs w:val="36"/>
          <w:lang w:val="en-US" w:eastAsia="zh-CN"/>
        </w:rPr>
        <w:t>8</w:t>
      </w:r>
    </w:p>
    <w:p w14:paraId="723B591B">
      <w:pPr>
        <w:spacing w:line="240" w:lineRule="auto"/>
        <w:ind w:left="2531" w:leftChars="197" w:right="291" w:rightChars="103" w:hanging="1974" w:hangingChars="544"/>
        <w:jc w:val="left"/>
        <w:rPr>
          <w:rFonts w:hint="eastAsia" w:ascii="仿宋" w:hAnsi="仿宋" w:eastAsia="仿宋" w:cs="仿宋"/>
          <w:b/>
          <w:bCs/>
          <w:color w:val="auto"/>
          <w:sz w:val="36"/>
          <w:szCs w:val="36"/>
          <w:lang w:val="en-US" w:eastAsia="zh-CN"/>
        </w:rPr>
      </w:pPr>
      <w:r>
        <w:rPr>
          <w:rFonts w:hint="eastAsia" w:ascii="华文仿宋" w:hAnsi="华文仿宋" w:cs="华文仿宋"/>
          <w:b/>
          <w:bCs/>
          <w:color w:val="auto"/>
          <w:sz w:val="36"/>
          <w:szCs w:val="36"/>
        </w:rPr>
        <w:t>采 购 人：</w:t>
      </w:r>
      <w:r>
        <w:rPr>
          <w:rFonts w:hint="eastAsia" w:ascii="华文仿宋" w:hAnsi="华文仿宋" w:cs="华文仿宋"/>
          <w:b/>
          <w:bCs/>
          <w:color w:val="auto"/>
          <w:sz w:val="36"/>
          <w:szCs w:val="36"/>
          <w:lang w:val="en-US" w:eastAsia="zh-CN"/>
        </w:rPr>
        <w:t>延安市自然资源局</w:t>
      </w:r>
    </w:p>
    <w:p w14:paraId="6B1158F8">
      <w:pPr>
        <w:spacing w:line="240" w:lineRule="auto"/>
        <w:ind w:left="2531" w:leftChars="197" w:right="291" w:rightChars="103" w:hanging="1974" w:hangingChars="544"/>
        <w:jc w:val="left"/>
        <w:rPr>
          <w:rFonts w:hint="eastAsia" w:ascii="华文仿宋" w:hAnsi="华文仿宋" w:eastAsia="华文仿宋" w:cs="华文仿宋"/>
          <w:b/>
          <w:bCs/>
          <w:color w:val="auto"/>
          <w:sz w:val="36"/>
          <w:szCs w:val="36"/>
          <w:lang w:eastAsia="zh-CN"/>
        </w:rPr>
      </w:pPr>
      <w:r>
        <w:rPr>
          <w:rFonts w:hint="eastAsia" w:ascii="华文仿宋" w:hAnsi="华文仿宋" w:cs="华文仿宋"/>
          <w:b/>
          <w:bCs/>
          <w:color w:val="auto"/>
          <w:sz w:val="36"/>
          <w:szCs w:val="36"/>
        </w:rPr>
        <w:t>代理机构：</w:t>
      </w:r>
      <w:r>
        <w:rPr>
          <w:rFonts w:hint="eastAsia" w:ascii="华文仿宋" w:hAnsi="华文仿宋" w:cs="华文仿宋"/>
          <w:b/>
          <w:bCs/>
          <w:color w:val="auto"/>
          <w:sz w:val="36"/>
          <w:szCs w:val="36"/>
          <w:lang w:eastAsia="zh-CN"/>
        </w:rPr>
        <w:t>延安市公共资源交易中心（延安市市直单位政府采购中心）</w:t>
      </w:r>
    </w:p>
    <w:p w14:paraId="5BFF200D">
      <w:pPr>
        <w:rPr>
          <w:color w:val="auto"/>
          <w:shd w:val="clear" w:color="auto" w:fill="auto"/>
        </w:rPr>
      </w:pPr>
    </w:p>
    <w:p w14:paraId="6B1FE7F7">
      <w:pPr>
        <w:rPr>
          <w:rFonts w:cs="Times New Roman"/>
          <w:color w:val="auto"/>
          <w:highlight w:val="none"/>
          <w:shd w:val="clear" w:color="auto" w:fill="auto"/>
        </w:rPr>
      </w:pPr>
    </w:p>
    <w:p w14:paraId="5C01CAAD">
      <w:pPr>
        <w:tabs>
          <w:tab w:val="right" w:leader="hyphen" w:pos="8504"/>
        </w:tabs>
        <w:spacing w:after="381" w:afterLines="100" w:line="440" w:lineRule="exact"/>
        <w:ind w:right="566" w:rightChars="200"/>
        <w:jc w:val="center"/>
        <w:rPr>
          <w:rFonts w:ascii="仿宋" w:hAnsi="仿宋" w:eastAsia="仿宋" w:cs="Times New Roman"/>
          <w:b/>
          <w:bCs/>
          <w:color w:val="auto"/>
          <w:sz w:val="36"/>
          <w:szCs w:val="36"/>
          <w:highlight w:val="none"/>
          <w:shd w:val="clear" w:color="auto" w:fill="auto"/>
        </w:rPr>
        <w:sectPr>
          <w:headerReference r:id="rId7" w:type="first"/>
          <w:headerReference r:id="rId5" w:type="default"/>
          <w:footerReference r:id="rId8" w:type="default"/>
          <w:headerReference r:id="rId6" w:type="even"/>
          <w:pgSz w:w="11906" w:h="16838"/>
          <w:pgMar w:top="1417" w:right="1417" w:bottom="1417" w:left="1417" w:header="850" w:footer="992" w:gutter="0"/>
          <w:pgNumType w:fmt="decimal" w:start="1"/>
          <w:cols w:space="720" w:num="1"/>
          <w:docGrid w:type="linesAndChars" w:linePitch="381" w:charSpace="704"/>
        </w:sectPr>
      </w:pPr>
      <w:bookmarkStart w:id="0" w:name="_Toc1"/>
      <w:bookmarkStart w:id="1" w:name="_Toc6774"/>
      <w:bookmarkStart w:id="2" w:name="_Toc852"/>
      <w:bookmarkStart w:id="3" w:name="_Toc20135"/>
      <w:bookmarkStart w:id="4" w:name="_Toc21160"/>
      <w:bookmarkStart w:id="5" w:name="_Toc16154"/>
      <w:bookmarkStart w:id="6" w:name="_Toc7047"/>
      <w:bookmarkStart w:id="7" w:name="_Toc10513"/>
      <w:r>
        <w:rPr>
          <w:rFonts w:ascii="仿宋" w:hAnsi="仿宋" w:eastAsia="仿宋" w:cs="仿宋"/>
          <w:b/>
          <w:bCs/>
          <w:color w:val="auto"/>
          <w:sz w:val="36"/>
          <w:szCs w:val="36"/>
          <w:highlight w:val="none"/>
          <w:shd w:val="clear" w:color="auto" w:fill="auto"/>
        </w:rPr>
        <w:t>202</w:t>
      </w:r>
      <w:r>
        <w:rPr>
          <w:rFonts w:hint="eastAsia" w:ascii="仿宋" w:hAnsi="仿宋" w:eastAsia="仿宋" w:cs="仿宋"/>
          <w:b/>
          <w:bCs/>
          <w:color w:val="auto"/>
          <w:sz w:val="36"/>
          <w:szCs w:val="36"/>
          <w:highlight w:val="none"/>
          <w:shd w:val="clear" w:color="auto" w:fill="auto"/>
          <w:lang w:val="en-US" w:eastAsia="zh-CN"/>
        </w:rPr>
        <w:t>6</w:t>
      </w:r>
      <w:r>
        <w:rPr>
          <w:rFonts w:hint="eastAsia" w:ascii="仿宋" w:hAnsi="仿宋" w:eastAsia="仿宋" w:cs="仿宋"/>
          <w:b/>
          <w:bCs/>
          <w:color w:val="auto"/>
          <w:sz w:val="36"/>
          <w:szCs w:val="36"/>
          <w:highlight w:val="none"/>
          <w:shd w:val="clear" w:color="auto" w:fill="auto"/>
        </w:rPr>
        <w:t>年</w:t>
      </w:r>
      <w:r>
        <w:rPr>
          <w:rFonts w:hint="eastAsia" w:ascii="仿宋" w:hAnsi="仿宋" w:eastAsia="仿宋" w:cs="仿宋"/>
          <w:b/>
          <w:bCs/>
          <w:color w:val="auto"/>
          <w:sz w:val="36"/>
          <w:szCs w:val="36"/>
          <w:highlight w:val="none"/>
          <w:shd w:val="clear" w:color="auto" w:fill="auto"/>
          <w:lang w:val="en-US" w:eastAsia="zh-CN"/>
        </w:rPr>
        <w:t>9</w:t>
      </w:r>
      <w:r>
        <w:rPr>
          <w:rFonts w:hint="eastAsia" w:ascii="仿宋" w:hAnsi="仿宋" w:eastAsia="仿宋" w:cs="仿宋"/>
          <w:b/>
          <w:bCs/>
          <w:color w:val="auto"/>
          <w:sz w:val="36"/>
          <w:szCs w:val="36"/>
          <w:highlight w:val="none"/>
          <w:shd w:val="clear" w:color="auto" w:fill="auto"/>
        </w:rPr>
        <w:t>月</w:t>
      </w:r>
      <w:r>
        <w:rPr>
          <w:rFonts w:hint="eastAsia" w:ascii="仿宋" w:hAnsi="仿宋" w:eastAsia="仿宋" w:cs="仿宋"/>
          <w:b/>
          <w:bCs/>
          <w:color w:val="auto"/>
          <w:sz w:val="36"/>
          <w:szCs w:val="36"/>
          <w:highlight w:val="none"/>
          <w:shd w:val="clear" w:color="auto" w:fill="auto"/>
          <w:lang w:val="en-US" w:eastAsia="zh-CN"/>
        </w:rPr>
        <w:t>28</w:t>
      </w:r>
      <w:r>
        <w:rPr>
          <w:rFonts w:hint="eastAsia" w:ascii="仿宋" w:hAnsi="仿宋" w:eastAsia="仿宋" w:cs="仿宋"/>
          <w:b/>
          <w:bCs/>
          <w:color w:val="auto"/>
          <w:sz w:val="36"/>
          <w:szCs w:val="36"/>
          <w:highlight w:val="none"/>
          <w:shd w:val="clear" w:color="auto" w:fill="auto"/>
        </w:rPr>
        <w:t>日</w:t>
      </w:r>
    </w:p>
    <w:bookmarkEnd w:id="0"/>
    <w:bookmarkEnd w:id="1"/>
    <w:bookmarkEnd w:id="2"/>
    <w:bookmarkEnd w:id="3"/>
    <w:bookmarkEnd w:id="4"/>
    <w:bookmarkEnd w:id="5"/>
    <w:bookmarkEnd w:id="6"/>
    <w:bookmarkEnd w:id="7"/>
    <w:p w14:paraId="54CF7754">
      <w:pPr>
        <w:tabs>
          <w:tab w:val="right" w:leader="hyphen" w:pos="8504"/>
        </w:tabs>
        <w:spacing w:after="381" w:afterLines="100" w:line="440" w:lineRule="exact"/>
        <w:ind w:left="567" w:right="566" w:rightChars="200"/>
        <w:jc w:val="center"/>
        <w:rPr>
          <w:rFonts w:hint="eastAsia" w:ascii="黑体" w:hAnsi="黑体" w:eastAsia="黑体" w:cs="黑体"/>
          <w:color w:val="auto"/>
          <w:kern w:val="2"/>
          <w:sz w:val="44"/>
          <w:szCs w:val="44"/>
          <w:lang w:val="en-US" w:eastAsia="zh-CN" w:bidi="ar-SA"/>
        </w:rPr>
      </w:pPr>
      <w:bookmarkStart w:id="8" w:name="_Toc29970"/>
      <w:bookmarkEnd w:id="8"/>
      <w:bookmarkStart w:id="9" w:name="_Toc447"/>
      <w:bookmarkEnd w:id="9"/>
      <w:bookmarkStart w:id="10" w:name="_Toc29675"/>
      <w:bookmarkEnd w:id="10"/>
      <w:bookmarkStart w:id="11" w:name="_Toc495014583"/>
      <w:bookmarkStart w:id="12" w:name="_Toc26289"/>
      <w:bookmarkStart w:id="13" w:name="_Toc495014918"/>
      <w:bookmarkStart w:id="14" w:name="_Toc495012769"/>
      <w:bookmarkStart w:id="15" w:name="_Toc495012819"/>
      <w:bookmarkStart w:id="16" w:name="_Toc445306491"/>
      <w:bookmarkStart w:id="17" w:name="_Toc495014609"/>
      <w:bookmarkStart w:id="18" w:name="_Toc495014647"/>
      <w:r>
        <w:rPr>
          <w:rFonts w:hint="eastAsia" w:ascii="黑体" w:hAnsi="黑体" w:eastAsia="黑体" w:cs="黑体"/>
          <w:color w:val="auto"/>
          <w:sz w:val="44"/>
          <w:szCs w:val="44"/>
        </w:rPr>
        <w:t>目  录</w:t>
      </w:r>
      <w:r>
        <w:rPr>
          <w:rFonts w:hint="eastAsia" w:ascii="黑体" w:hAnsi="黑体" w:eastAsia="黑体" w:cs="黑体"/>
          <w:color w:val="auto"/>
          <w:sz w:val="44"/>
          <w:szCs w:val="44"/>
        </w:rPr>
        <w:fldChar w:fldCharType="begin"/>
      </w:r>
      <w:r>
        <w:rPr>
          <w:rFonts w:hint="eastAsia" w:ascii="黑体" w:hAnsi="黑体" w:eastAsia="黑体" w:cs="黑体"/>
          <w:color w:val="auto"/>
          <w:sz w:val="44"/>
          <w:szCs w:val="44"/>
        </w:rPr>
        <w:instrText xml:space="preserve">TOC \o "1-3" \u </w:instrText>
      </w:r>
      <w:r>
        <w:rPr>
          <w:rFonts w:hint="eastAsia" w:ascii="黑体" w:hAnsi="黑体" w:eastAsia="黑体" w:cs="黑体"/>
          <w:color w:val="auto"/>
          <w:sz w:val="44"/>
          <w:szCs w:val="44"/>
        </w:rPr>
        <w:fldChar w:fldCharType="separate"/>
      </w:r>
    </w:p>
    <w:p w14:paraId="7370191E">
      <w:pPr>
        <w:pStyle w:val="19"/>
        <w:tabs>
          <w:tab w:val="right" w:leader="dot" w:pos="9072"/>
        </w:tabs>
        <w:spacing w:line="500" w:lineRule="exact"/>
        <w:ind w:firstLine="1698" w:firstLineChars="600"/>
        <w:rPr>
          <w:rFonts w:hint="eastAsia" w:ascii="宋体" w:hAnsi="宋体" w:eastAsia="宋体" w:cs="宋体"/>
          <w:b/>
          <w:bCs/>
          <w:color w:val="auto"/>
          <w:szCs w:val="32"/>
        </w:rPr>
      </w:pPr>
      <w:r>
        <w:rPr>
          <w:rFonts w:hint="eastAsia" w:ascii="宋体" w:hAnsi="宋体" w:eastAsia="宋体" w:cs="宋体"/>
          <w:b/>
          <w:bCs/>
          <w:color w:val="auto"/>
          <w:szCs w:val="32"/>
        </w:rPr>
        <w:t>第一章  投标邀请函</w:t>
      </w:r>
    </w:p>
    <w:p w14:paraId="10201C7C">
      <w:pPr>
        <w:pStyle w:val="19"/>
        <w:tabs>
          <w:tab w:val="right" w:leader="dot" w:pos="9072"/>
        </w:tabs>
        <w:spacing w:line="500" w:lineRule="exact"/>
        <w:ind w:firstLine="1698" w:firstLineChars="600"/>
        <w:rPr>
          <w:rFonts w:hint="eastAsia" w:ascii="宋体" w:hAnsi="宋体" w:eastAsia="宋体" w:cs="宋体"/>
          <w:b/>
          <w:bCs/>
          <w:color w:val="auto"/>
          <w:lang w:eastAsia="zh-CN"/>
        </w:rPr>
      </w:pPr>
      <w:r>
        <w:rPr>
          <w:rFonts w:hint="eastAsia" w:ascii="宋体" w:hAnsi="宋体" w:eastAsia="宋体" w:cs="宋体"/>
          <w:b/>
          <w:bCs/>
          <w:color w:val="auto"/>
          <w:szCs w:val="32"/>
        </w:rPr>
        <w:t>第二章  投标人须知</w:t>
      </w:r>
    </w:p>
    <w:p w14:paraId="3A96418F">
      <w:pPr>
        <w:pStyle w:val="21"/>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szCs w:val="28"/>
        </w:rPr>
        <w:t>一、定义</w:t>
      </w:r>
    </w:p>
    <w:p w14:paraId="2818B553">
      <w:pPr>
        <w:pStyle w:val="21"/>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szCs w:val="28"/>
        </w:rPr>
        <w:t>二、投标人注意事项</w:t>
      </w:r>
    </w:p>
    <w:p w14:paraId="1D6CB86B">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三、招标文件</w:t>
      </w:r>
    </w:p>
    <w:p w14:paraId="57E001C7">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四、投标报价</w:t>
      </w:r>
    </w:p>
    <w:p w14:paraId="7767E6AE">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五、投标文件</w:t>
      </w:r>
    </w:p>
    <w:p w14:paraId="66C102C9">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六、组织开标</w:t>
      </w:r>
    </w:p>
    <w:p w14:paraId="3111929B">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七、资格审查</w:t>
      </w:r>
    </w:p>
    <w:p w14:paraId="3F568690">
      <w:pPr>
        <w:pStyle w:val="21"/>
        <w:tabs>
          <w:tab w:val="right" w:leader="dot" w:pos="9072"/>
        </w:tabs>
        <w:spacing w:line="500" w:lineRule="exact"/>
        <w:ind w:left="0" w:leftChars="0"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28"/>
        </w:rPr>
        <w:t>八、组织评标</w:t>
      </w:r>
    </w:p>
    <w:p w14:paraId="59C0AA94">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九、中标</w:t>
      </w:r>
    </w:p>
    <w:p w14:paraId="77A5C7BE">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szCs w:val="28"/>
        </w:rPr>
        <w:t>十、签订政府采购合同</w:t>
      </w:r>
    </w:p>
    <w:p w14:paraId="7AFDC04C">
      <w:pPr>
        <w:pStyle w:val="21"/>
        <w:tabs>
          <w:tab w:val="right" w:leader="dot" w:pos="9072"/>
        </w:tabs>
        <w:spacing w:line="500" w:lineRule="exact"/>
        <w:ind w:firstLine="1132" w:firstLineChars="400"/>
        <w:rPr>
          <w:rFonts w:hint="eastAsia" w:ascii="宋体" w:hAnsi="宋体" w:eastAsia="宋体" w:cs="宋体"/>
          <w:b/>
          <w:bCs/>
          <w:color w:val="auto"/>
        </w:rPr>
      </w:pPr>
      <w:r>
        <w:rPr>
          <w:rFonts w:hint="eastAsia" w:ascii="宋体" w:hAnsi="宋体" w:eastAsia="宋体" w:cs="宋体"/>
          <w:b/>
          <w:bCs/>
          <w:color w:val="auto"/>
          <w:szCs w:val="28"/>
        </w:rPr>
        <w:t>十一、其他</w:t>
      </w:r>
    </w:p>
    <w:p w14:paraId="5C417B0A">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第三章  评审办法及标准</w:t>
      </w:r>
    </w:p>
    <w:p w14:paraId="09C622E3">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第四章  招标内容及采购要求</w:t>
      </w:r>
    </w:p>
    <w:p w14:paraId="253BDF9B">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kern w:val="44"/>
          <w:szCs w:val="32"/>
        </w:rPr>
        <w:t>第五章  合同草案条款</w:t>
      </w:r>
    </w:p>
    <w:p w14:paraId="7588C560">
      <w:pPr>
        <w:pStyle w:val="19"/>
        <w:tabs>
          <w:tab w:val="right" w:leader="dot" w:pos="9072"/>
        </w:tabs>
        <w:spacing w:line="500" w:lineRule="exact"/>
        <w:ind w:firstLine="1698" w:firstLineChars="600"/>
        <w:rPr>
          <w:rFonts w:hint="default" w:ascii="宋体" w:hAnsi="宋体" w:eastAsia="宋体" w:cs="宋体"/>
          <w:b/>
          <w:bCs/>
          <w:color w:val="auto"/>
          <w:lang w:val="en-US" w:eastAsia="zh-CN"/>
        </w:rPr>
      </w:pPr>
      <w:r>
        <w:rPr>
          <w:rFonts w:hint="eastAsia" w:ascii="宋体" w:hAnsi="宋体" w:eastAsia="宋体" w:cs="宋体"/>
          <w:b/>
          <w:bCs/>
          <w:color w:val="auto"/>
          <w:szCs w:val="32"/>
        </w:rPr>
        <w:t>第六章  投标文件构成及格式</w:t>
      </w:r>
    </w:p>
    <w:p w14:paraId="5E0042A3">
      <w:pPr>
        <w:pStyle w:val="21"/>
        <w:tabs>
          <w:tab w:val="right" w:leader="dot" w:pos="9072"/>
        </w:tabs>
        <w:spacing w:line="500" w:lineRule="exact"/>
        <w:ind w:firstLine="1132" w:firstLineChars="400"/>
        <w:rPr>
          <w:rFonts w:hint="eastAsia" w:ascii="宋体" w:hAnsi="宋体" w:eastAsia="宋体" w:cs="宋体"/>
          <w:b/>
          <w:bCs/>
          <w:color w:val="auto"/>
          <w:lang w:val="en-US" w:eastAsia="zh-CN"/>
        </w:rPr>
      </w:pPr>
      <w:r>
        <w:rPr>
          <w:rFonts w:hint="eastAsia" w:ascii="宋体" w:hAnsi="宋体" w:eastAsia="宋体" w:cs="宋体"/>
          <w:b/>
          <w:bCs/>
          <w:color w:val="auto"/>
        </w:rPr>
        <w:t>第一部分  资格证明文件</w:t>
      </w:r>
    </w:p>
    <w:p w14:paraId="09F0A98F">
      <w:pPr>
        <w:pStyle w:val="21"/>
        <w:tabs>
          <w:tab w:val="right" w:leader="dot" w:pos="9072"/>
        </w:tabs>
        <w:spacing w:line="500" w:lineRule="exact"/>
        <w:ind w:firstLine="1132" w:firstLineChars="400"/>
        <w:rPr>
          <w:rFonts w:hint="default" w:ascii="宋体" w:hAnsi="宋体" w:eastAsia="宋体" w:cs="宋体"/>
          <w:b/>
          <w:bCs/>
          <w:color w:val="auto"/>
          <w:lang w:val="en-US" w:eastAsia="zh-CN"/>
        </w:rPr>
      </w:pPr>
      <w:r>
        <w:rPr>
          <w:rFonts w:hint="eastAsia" w:ascii="宋体" w:hAnsi="宋体" w:eastAsia="宋体" w:cs="宋体"/>
          <w:b/>
          <w:bCs/>
          <w:color w:val="auto"/>
        </w:rPr>
        <w:t>第二部分  符合性证明文件</w:t>
      </w:r>
    </w:p>
    <w:p w14:paraId="08A5CA4C">
      <w:pPr>
        <w:pStyle w:val="21"/>
        <w:tabs>
          <w:tab w:val="right" w:leader="dot" w:pos="9072"/>
        </w:tabs>
        <w:spacing w:line="500" w:lineRule="exact"/>
        <w:ind w:firstLine="1132" w:firstLineChars="400"/>
        <w:rPr>
          <w:rFonts w:hint="default" w:ascii="宋体" w:hAnsi="宋体" w:eastAsia="宋体" w:cs="宋体"/>
          <w:color w:val="auto"/>
          <w:lang w:val="en-US" w:eastAsia="zh-CN"/>
        </w:rPr>
      </w:pPr>
      <w:r>
        <w:rPr>
          <w:rFonts w:hint="eastAsia" w:ascii="宋体" w:hAnsi="宋体" w:eastAsia="宋体" w:cs="宋体"/>
          <w:b/>
          <w:bCs/>
          <w:color w:val="auto"/>
        </w:rPr>
        <w:t>第三部分  投标方案</w:t>
      </w:r>
    </w:p>
    <w:p w14:paraId="6395CA1A">
      <w:pPr>
        <w:pStyle w:val="14"/>
        <w:tabs>
          <w:tab w:val="right" w:leader="dot" w:pos="9072"/>
        </w:tabs>
        <w:rPr>
          <w:rFonts w:hint="eastAsia" w:ascii="宋体" w:hAnsi="宋体" w:eastAsia="宋体" w:cs="宋体"/>
          <w:color w:val="auto"/>
        </w:rPr>
      </w:pPr>
    </w:p>
    <w:p w14:paraId="712F68D5">
      <w:pPr>
        <w:pStyle w:val="21"/>
        <w:tabs>
          <w:tab w:val="right" w:leader="dot" w:pos="9072"/>
        </w:tabs>
        <w:spacing w:after="381" w:afterLines="100" w:line="440" w:lineRule="exact"/>
        <w:ind w:left="567" w:right="566" w:rightChars="200"/>
        <w:jc w:val="center"/>
        <w:rPr>
          <w:rFonts w:hint="eastAsia" w:ascii="黑体" w:hAnsi="黑体" w:eastAsia="黑体" w:cs="黑体"/>
          <w:color w:val="auto"/>
          <w:sz w:val="44"/>
          <w:szCs w:val="44"/>
        </w:rPr>
      </w:pPr>
      <w:r>
        <w:rPr>
          <w:rFonts w:hint="eastAsia" w:ascii="黑体" w:hAnsi="黑体" w:eastAsia="黑体" w:cs="黑体"/>
          <w:color w:val="auto"/>
          <w:sz w:val="44"/>
          <w:szCs w:val="44"/>
        </w:rPr>
        <w:fldChar w:fldCharType="end"/>
      </w:r>
    </w:p>
    <w:p w14:paraId="76E9AE45">
      <w:pPr>
        <w:bidi w:val="0"/>
      </w:pPr>
    </w:p>
    <w:p w14:paraId="1BE847F0">
      <w:pPr>
        <w:tabs>
          <w:tab w:val="right" w:pos="9072"/>
        </w:tabs>
        <w:bidi w:val="0"/>
        <w:jc w:val="left"/>
        <w:rPr>
          <w:rFonts w:hint="eastAsia" w:eastAsia="华文仿宋"/>
          <w:lang w:eastAsia="zh-CN"/>
        </w:rPr>
        <w:sectPr>
          <w:headerReference r:id="rId9" w:type="default"/>
          <w:footerReference r:id="rId10" w:type="default"/>
          <w:pgSz w:w="11906" w:h="16838"/>
          <w:pgMar w:top="1417" w:right="1417" w:bottom="1417" w:left="1417" w:header="794" w:footer="992" w:gutter="0"/>
          <w:pgNumType w:fmt="decimal" w:start="1"/>
          <w:cols w:space="720" w:num="1"/>
          <w:docGrid w:type="linesAndChars" w:linePitch="381" w:charSpace="704"/>
        </w:sectPr>
      </w:pPr>
      <w:r>
        <w:rPr>
          <w:rFonts w:hint="eastAsia"/>
          <w:lang w:eastAsia="zh-CN"/>
        </w:rPr>
        <w:tab/>
      </w:r>
    </w:p>
    <w:bookmarkEnd w:id="11"/>
    <w:bookmarkEnd w:id="12"/>
    <w:bookmarkEnd w:id="13"/>
    <w:bookmarkEnd w:id="14"/>
    <w:bookmarkEnd w:id="15"/>
    <w:bookmarkEnd w:id="16"/>
    <w:bookmarkEnd w:id="17"/>
    <w:bookmarkEnd w:id="18"/>
    <w:p w14:paraId="5912675D">
      <w:pPr>
        <w:pStyle w:val="2"/>
        <w:rPr>
          <w:rFonts w:ascii="黑体" w:hAnsi="黑体" w:eastAsia="黑体" w:cs="Times New Roman"/>
          <w:b w:val="0"/>
          <w:bCs w:val="0"/>
          <w:color w:val="auto"/>
          <w:sz w:val="32"/>
          <w:szCs w:val="32"/>
        </w:rPr>
      </w:pPr>
      <w:bookmarkStart w:id="19" w:name="_Toc2717"/>
      <w:bookmarkEnd w:id="19"/>
      <w:bookmarkStart w:id="20" w:name="_Toc17606"/>
      <w:bookmarkEnd w:id="20"/>
      <w:bookmarkStart w:id="21" w:name="_Toc20874"/>
      <w:bookmarkEnd w:id="21"/>
      <w:bookmarkStart w:id="22" w:name="_Toc19731"/>
      <w:bookmarkEnd w:id="22"/>
      <w:bookmarkStart w:id="23" w:name="_Toc21838"/>
      <w:bookmarkEnd w:id="23"/>
      <w:bookmarkStart w:id="24" w:name="_Toc19365"/>
      <w:bookmarkEnd w:id="24"/>
      <w:bookmarkStart w:id="25" w:name="_Toc19278"/>
      <w:bookmarkEnd w:id="25"/>
      <w:bookmarkStart w:id="26" w:name="_Toc18561"/>
      <w:bookmarkEnd w:id="26"/>
      <w:bookmarkStart w:id="27" w:name="_Toc13092"/>
      <w:bookmarkEnd w:id="27"/>
      <w:r>
        <w:rPr>
          <w:rFonts w:hint="eastAsia" w:ascii="黑体" w:hAnsi="黑体" w:eastAsia="黑体" w:cs="黑体"/>
          <w:b w:val="0"/>
          <w:bCs w:val="0"/>
          <w:color w:val="auto"/>
          <w:sz w:val="32"/>
          <w:szCs w:val="32"/>
        </w:rPr>
        <w:t>第一章  投标邀请函</w:t>
      </w:r>
    </w:p>
    <w:p w14:paraId="4130F2E5">
      <w:pPr>
        <w:pStyle w:val="60"/>
        <w:spacing w:line="500" w:lineRule="exact"/>
        <w:ind w:firstLine="567"/>
        <w:rPr>
          <w:rFonts w:ascii="华文仿宋" w:hAnsi="华文仿宋" w:cs="华文仿宋"/>
          <w:color w:val="auto"/>
          <w:highlight w:val="none"/>
        </w:rPr>
      </w:pPr>
      <w:r>
        <w:rPr>
          <w:rFonts w:hint="eastAsia" w:ascii="华文仿宋" w:hAnsi="华文仿宋" w:cs="华文仿宋"/>
          <w:b/>
          <w:bCs/>
          <w:color w:val="auto"/>
          <w:lang w:val="en-US" w:eastAsia="zh-CN"/>
        </w:rPr>
        <w:t>延安市自然资源局中心城区现状地形图测绘</w:t>
      </w:r>
      <w:r>
        <w:rPr>
          <w:rFonts w:hint="eastAsia" w:ascii="华文仿宋" w:hAnsi="华文仿宋" w:cs="华文仿宋"/>
          <w:color w:val="auto"/>
        </w:rPr>
        <w:t>潜在的投标人可在全国公共</w:t>
      </w:r>
      <w:r>
        <w:rPr>
          <w:rFonts w:hint="eastAsia" w:ascii="华文仿宋" w:hAnsi="华文仿宋" w:cs="华文仿宋"/>
          <w:color w:val="auto"/>
          <w:highlight w:val="none"/>
        </w:rPr>
        <w:t>资源交易平台（陕西省·延安市）</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免费获取招标文件，并于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21    09</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00</w:t>
      </w:r>
      <w:r>
        <w:rPr>
          <w:rFonts w:hint="eastAsia" w:ascii="仿宋" w:hAnsi="仿宋" w:eastAsia="仿宋" w:cs="仿宋"/>
          <w:color w:val="auto"/>
          <w:highlight w:val="none"/>
        </w:rPr>
        <w:t>:00</w:t>
      </w:r>
      <w:r>
        <w:rPr>
          <w:rFonts w:hint="eastAsia" w:ascii="华文仿宋" w:hAnsi="华文仿宋" w:cs="华文仿宋"/>
          <w:color w:val="auto"/>
          <w:highlight w:val="none"/>
        </w:rPr>
        <w:t xml:space="preserve">前递交投标文件。 </w:t>
      </w:r>
    </w:p>
    <w:p w14:paraId="31C980E4">
      <w:pPr>
        <w:numPr>
          <w:ilvl w:val="0"/>
          <w:numId w:val="3"/>
        </w:numPr>
        <w:spacing w:line="500" w:lineRule="exact"/>
        <w:ind w:left="0" w:leftChars="0" w:firstLine="566" w:firstLineChars="200"/>
        <w:rPr>
          <w:rFonts w:hint="eastAsia" w:ascii="仿宋" w:hAnsi="仿宋" w:eastAsia="仿宋" w:cs="仿宋"/>
          <w:color w:val="auto"/>
          <w:lang w:eastAsia="zh-CN"/>
        </w:rPr>
      </w:pPr>
      <w:r>
        <w:rPr>
          <w:rFonts w:hint="eastAsia" w:ascii="华文仿宋" w:hAnsi="华文仿宋" w:cs="华文仿宋"/>
          <w:b/>
          <w:bCs/>
          <w:color w:val="auto"/>
        </w:rPr>
        <w:t>项目名称：</w:t>
      </w:r>
      <w:r>
        <w:rPr>
          <w:rFonts w:hint="eastAsia" w:ascii="华文仿宋" w:hAnsi="华文仿宋" w:cs="华文仿宋"/>
          <w:b w:val="0"/>
          <w:bCs w:val="0"/>
          <w:color w:val="auto"/>
          <w:lang w:val="en-US" w:eastAsia="zh-CN"/>
        </w:rPr>
        <w:t>延安市自然资源局中心城区现状地形图测绘</w:t>
      </w:r>
    </w:p>
    <w:p w14:paraId="6A58607F">
      <w:pPr>
        <w:numPr>
          <w:ilvl w:val="0"/>
          <w:numId w:val="3"/>
        </w:numPr>
        <w:spacing w:line="500" w:lineRule="exact"/>
        <w:ind w:left="0" w:leftChars="0" w:firstLine="566" w:firstLineChars="200"/>
        <w:rPr>
          <w:rFonts w:hint="default" w:ascii="仿宋" w:hAnsi="仿宋" w:eastAsia="仿宋" w:cs="仿宋"/>
          <w:b w:val="0"/>
          <w:bCs w:val="0"/>
          <w:color w:val="auto"/>
          <w:lang w:val="en-US" w:eastAsia="zh-CN"/>
        </w:rPr>
      </w:pPr>
      <w:r>
        <w:rPr>
          <w:rFonts w:hint="eastAsia" w:ascii="华文仿宋" w:hAnsi="华文仿宋" w:cs="华文仿宋"/>
          <w:b/>
          <w:bCs/>
          <w:color w:val="auto"/>
        </w:rPr>
        <w:t>项目编号：</w:t>
      </w:r>
      <w:r>
        <w:rPr>
          <w:rFonts w:hint="eastAsia" w:ascii="宋体" w:hAnsi="宋体" w:eastAsia="宋体" w:cs="宋体"/>
          <w:b w:val="0"/>
          <w:bCs w:val="0"/>
          <w:color w:val="auto"/>
          <w:lang w:eastAsia="zh-CN"/>
        </w:rPr>
        <w:t>YAZCXG202</w:t>
      </w:r>
      <w:r>
        <w:rPr>
          <w:rFonts w:hint="eastAsia" w:ascii="宋体" w:hAnsi="宋体" w:eastAsia="宋体" w:cs="宋体"/>
          <w:b w:val="0"/>
          <w:bCs w:val="0"/>
          <w:color w:val="auto"/>
          <w:lang w:val="en-US" w:eastAsia="zh-CN"/>
        </w:rPr>
        <w:t>6</w:t>
      </w:r>
      <w:r>
        <w:rPr>
          <w:rFonts w:hint="eastAsia" w:ascii="宋体" w:hAnsi="宋体" w:eastAsia="宋体" w:cs="宋体"/>
          <w:b w:val="0"/>
          <w:bCs w:val="0"/>
          <w:color w:val="auto"/>
          <w:lang w:eastAsia="zh-CN"/>
        </w:rPr>
        <w:t>-</w:t>
      </w:r>
      <w:r>
        <w:rPr>
          <w:rFonts w:hint="eastAsia" w:ascii="宋体" w:hAnsi="宋体" w:eastAsia="宋体" w:cs="宋体"/>
          <w:b w:val="0"/>
          <w:bCs w:val="0"/>
          <w:color w:val="auto"/>
          <w:lang w:val="en-US" w:eastAsia="zh-CN"/>
        </w:rPr>
        <w:t>8</w:t>
      </w:r>
    </w:p>
    <w:p w14:paraId="05CE7E3D">
      <w:pPr>
        <w:numPr>
          <w:ilvl w:val="0"/>
          <w:numId w:val="0"/>
        </w:numPr>
        <w:spacing w:line="500" w:lineRule="exact"/>
        <w:ind w:leftChars="200"/>
        <w:rPr>
          <w:rFonts w:hint="eastAsia" w:ascii="华文仿宋" w:cs="Times New Roman"/>
          <w:color w:val="auto"/>
        </w:rPr>
      </w:pPr>
      <w:r>
        <w:rPr>
          <w:rFonts w:hint="eastAsia" w:ascii="华文仿宋" w:hAnsi="华文仿宋" w:cs="华文仿宋"/>
          <w:b/>
          <w:bCs/>
          <w:color w:val="auto"/>
          <w:lang w:val="en-US" w:eastAsia="zh-CN"/>
        </w:rPr>
        <w:t>三、</w:t>
      </w:r>
      <w:r>
        <w:rPr>
          <w:rFonts w:hint="eastAsia" w:ascii="华文仿宋" w:hAnsi="华文仿宋" w:cs="华文仿宋"/>
          <w:b/>
          <w:bCs/>
          <w:color w:val="auto"/>
        </w:rPr>
        <w:t>采购人：</w:t>
      </w:r>
      <w:r>
        <w:rPr>
          <w:rFonts w:hint="eastAsia" w:ascii="华文仿宋" w:hAnsi="华文仿宋" w:cs="华文仿宋"/>
          <w:b w:val="0"/>
          <w:bCs w:val="0"/>
          <w:color w:val="auto"/>
          <w:lang w:val="en-US" w:eastAsia="zh-CN"/>
        </w:rPr>
        <w:t>延安市自然资源局</w:t>
      </w:r>
    </w:p>
    <w:p w14:paraId="00B103F5">
      <w:pPr>
        <w:pStyle w:val="61"/>
        <w:spacing w:line="500" w:lineRule="exact"/>
        <w:rPr>
          <w:rFonts w:hint="default" w:ascii="华文仿宋" w:hAnsi="华文仿宋" w:cs="华文仿宋"/>
          <w:color w:val="auto"/>
          <w:lang w:val="en-US" w:eastAsia="zh-CN"/>
        </w:rPr>
      </w:pPr>
      <w:r>
        <w:rPr>
          <w:rFonts w:hint="eastAsia" w:ascii="华文仿宋" w:hAnsi="华文仿宋" w:cs="华文仿宋"/>
          <w:color w:val="auto"/>
        </w:rPr>
        <w:t>地址：</w:t>
      </w:r>
      <w:r>
        <w:rPr>
          <w:rFonts w:hint="eastAsia" w:ascii="华文仿宋" w:hAnsi="华文仿宋" w:cs="华文仿宋"/>
          <w:color w:val="auto"/>
          <w:lang w:val="zh-CN" w:eastAsia="zh-CN"/>
        </w:rPr>
        <w:t>延安市新区为民服务中心</w:t>
      </w:r>
      <w:r>
        <w:rPr>
          <w:rFonts w:hint="eastAsia" w:ascii="华文仿宋" w:hAnsi="华文仿宋" w:cs="华文仿宋"/>
          <w:color w:val="auto"/>
          <w:lang w:val="en-US" w:eastAsia="zh-CN"/>
        </w:rPr>
        <w:t>1号楼4楼</w:t>
      </w:r>
    </w:p>
    <w:p w14:paraId="095F140D">
      <w:pPr>
        <w:pStyle w:val="61"/>
        <w:spacing w:line="500" w:lineRule="exact"/>
        <w:rPr>
          <w:rFonts w:hint="default" w:ascii="华文仿宋" w:hAnsi="华文仿宋" w:cs="华文仿宋"/>
          <w:color w:val="auto"/>
          <w:lang w:val="en-US"/>
        </w:rPr>
      </w:pPr>
      <w:r>
        <w:rPr>
          <w:rFonts w:ascii="华文仿宋" w:hAnsi="华文仿宋" w:cs="华文仿宋"/>
          <w:color w:val="auto"/>
        </w:rPr>
        <w:t>联系人：</w:t>
      </w:r>
      <w:r>
        <w:rPr>
          <w:rFonts w:hint="eastAsia" w:ascii="华文仿宋" w:hAnsi="华文仿宋" w:cs="华文仿宋"/>
          <w:color w:val="auto"/>
          <w:lang w:val="en-US" w:eastAsia="zh-CN"/>
        </w:rPr>
        <w:t>刘先生</w:t>
      </w:r>
    </w:p>
    <w:p w14:paraId="715C41C0">
      <w:pPr>
        <w:pStyle w:val="61"/>
        <w:spacing w:line="500" w:lineRule="exact"/>
        <w:rPr>
          <w:rFonts w:hint="default" w:ascii="华文仿宋" w:hAnsi="华文仿宋" w:eastAsia="华文仿宋" w:cs="华文仿宋"/>
          <w:color w:val="auto"/>
          <w:lang w:val="en-US" w:eastAsia="zh-CN"/>
        </w:rPr>
      </w:pPr>
      <w:r>
        <w:rPr>
          <w:rFonts w:hint="eastAsia" w:ascii="华文仿宋" w:hAnsi="华文仿宋" w:cs="华文仿宋"/>
          <w:color w:val="auto"/>
        </w:rPr>
        <w:t>联系方式：19309112857</w:t>
      </w:r>
    </w:p>
    <w:p w14:paraId="5425B151">
      <w:pPr>
        <w:numPr>
          <w:ilvl w:val="0"/>
          <w:numId w:val="0"/>
        </w:numPr>
        <w:spacing w:line="500" w:lineRule="exact"/>
        <w:ind w:leftChars="200"/>
        <w:rPr>
          <w:rFonts w:hint="eastAsia" w:ascii="华文仿宋" w:hAnsi="华文仿宋" w:cs="华文仿宋"/>
          <w:color w:val="auto"/>
          <w:lang w:val="zh-CN"/>
        </w:rPr>
      </w:pPr>
      <w:r>
        <w:rPr>
          <w:rFonts w:hint="eastAsia" w:ascii="华文仿宋" w:hAnsi="华文仿宋" w:cs="华文仿宋"/>
          <w:b/>
          <w:bCs/>
          <w:color w:val="auto"/>
          <w:lang w:val="en-US" w:eastAsia="zh-CN"/>
        </w:rPr>
        <w:t>四、</w:t>
      </w:r>
      <w:r>
        <w:rPr>
          <w:rFonts w:hint="eastAsia" w:ascii="华文仿宋" w:hAnsi="华文仿宋" w:cs="华文仿宋"/>
          <w:b/>
          <w:bCs/>
          <w:color w:val="auto"/>
        </w:rPr>
        <w:t>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w:t>
      </w:r>
      <w:r>
        <w:rPr>
          <w:rFonts w:hint="eastAsia" w:ascii="华文仿宋" w:hAnsi="华文仿宋" w:cs="华文仿宋"/>
          <w:color w:val="auto"/>
          <w:lang w:val="en-US" w:eastAsia="zh-CN"/>
        </w:rPr>
        <w:t xml:space="preserve">    </w:t>
      </w:r>
    </w:p>
    <w:p w14:paraId="52CBB53C">
      <w:pPr>
        <w:numPr>
          <w:ilvl w:val="0"/>
          <w:numId w:val="0"/>
        </w:numPr>
        <w:spacing w:line="500" w:lineRule="exact"/>
        <w:ind w:firstLine="1132" w:firstLineChars="400"/>
        <w:rPr>
          <w:rFonts w:ascii="华文仿宋" w:cs="Times New Roman"/>
          <w:color w:val="auto"/>
        </w:rPr>
      </w:pPr>
      <w:r>
        <w:rPr>
          <w:rFonts w:hint="eastAsia" w:ascii="华文仿宋" w:hAnsi="华文仿宋" w:cs="华文仿宋"/>
          <w:color w:val="auto"/>
          <w:lang w:val="zh-CN"/>
        </w:rPr>
        <w:t>政府采购中心）</w:t>
      </w:r>
    </w:p>
    <w:p w14:paraId="1FF1551D">
      <w:pPr>
        <w:pStyle w:val="61"/>
        <w:spacing w:line="500" w:lineRule="exact"/>
        <w:rPr>
          <w:rFonts w:hint="eastAsia" w:ascii="华文仿宋" w:eastAsia="华文仿宋" w:cs="Times New Roman"/>
          <w:color w:val="auto"/>
          <w:lang w:eastAsia="zh-CN"/>
        </w:rPr>
      </w:pPr>
      <w:r>
        <w:rPr>
          <w:rFonts w:hint="eastAsia" w:ascii="华文仿宋" w:hAnsi="华文仿宋" w:cs="华文仿宋"/>
          <w:color w:val="auto"/>
        </w:rPr>
        <w:t>地址：</w:t>
      </w:r>
      <w:r>
        <w:rPr>
          <w:rFonts w:hint="eastAsia" w:ascii="华文仿宋" w:hAnsi="华文仿宋" w:eastAsia="华文仿宋" w:cs="华文仿宋"/>
          <w:color w:val="auto"/>
          <w:kern w:val="2"/>
          <w:sz w:val="28"/>
          <w:szCs w:val="28"/>
          <w:lang w:val="zh-CN" w:eastAsia="zh-CN" w:bidi="ar-SA"/>
        </w:rPr>
        <w:t>延安市新区为民服务中心南区东楼（7号楼）A2楼</w:t>
      </w:r>
    </w:p>
    <w:p w14:paraId="519B8B08">
      <w:pPr>
        <w:keepNext w:val="0"/>
        <w:keepLines w:val="0"/>
        <w:pageBreakBefore w:val="0"/>
        <w:widowControl w:val="0"/>
        <w:kinsoku/>
        <w:wordWrap/>
        <w:overflowPunct/>
        <w:topLinePunct w:val="0"/>
        <w:autoSpaceDE/>
        <w:autoSpaceDN/>
        <w:bidi w:val="0"/>
        <w:adjustRightInd/>
        <w:snapToGrid/>
        <w:spacing w:line="420" w:lineRule="exact"/>
        <w:ind w:firstLine="1132" w:firstLineChars="400"/>
        <w:rPr>
          <w:rFonts w:hint="eastAsia" w:ascii="华文仿宋" w:hAnsi="华文仿宋" w:eastAsia="华文仿宋" w:cs="华文仿宋"/>
          <w:color w:val="auto"/>
          <w:kern w:val="2"/>
          <w:sz w:val="28"/>
          <w:szCs w:val="28"/>
          <w:lang w:val="zh-CN" w:eastAsia="zh-CN" w:bidi="ar-SA"/>
        </w:rPr>
      </w:pPr>
      <w:r>
        <w:rPr>
          <w:rFonts w:hint="eastAsia" w:ascii="华文仿宋" w:hAnsi="华文仿宋" w:eastAsia="华文仿宋" w:cs="华文仿宋"/>
          <w:color w:val="auto"/>
          <w:kern w:val="2"/>
          <w:sz w:val="28"/>
          <w:szCs w:val="28"/>
          <w:lang w:val="zh-CN" w:eastAsia="zh-CN" w:bidi="ar-SA"/>
        </w:rPr>
        <w:t>采购文件联系人：</w:t>
      </w:r>
      <w:r>
        <w:rPr>
          <w:rFonts w:hint="eastAsia" w:ascii="华文仿宋" w:hAnsi="华文仿宋" w:cs="华文仿宋"/>
          <w:color w:val="auto"/>
          <w:kern w:val="2"/>
          <w:sz w:val="28"/>
          <w:szCs w:val="28"/>
          <w:lang w:val="en-US" w:eastAsia="zh-CN" w:bidi="ar-SA"/>
        </w:rPr>
        <w:t>高女士</w:t>
      </w:r>
      <w:r>
        <w:rPr>
          <w:rFonts w:hint="eastAsia" w:ascii="华文仿宋" w:hAnsi="华文仿宋" w:eastAsia="华文仿宋" w:cs="华文仿宋"/>
          <w:color w:val="auto"/>
          <w:kern w:val="2"/>
          <w:sz w:val="28"/>
          <w:szCs w:val="28"/>
          <w:lang w:val="zh-CN" w:eastAsia="zh-CN" w:bidi="ar-SA"/>
        </w:rPr>
        <w:t xml:space="preserve">   </w:t>
      </w:r>
      <w:r>
        <w:rPr>
          <w:rFonts w:hint="eastAsia" w:ascii="华文仿宋" w:hAnsi="华文仿宋" w:cs="华文仿宋"/>
          <w:color w:val="auto"/>
          <w:kern w:val="2"/>
          <w:sz w:val="28"/>
          <w:szCs w:val="28"/>
          <w:lang w:val="en-US" w:eastAsia="zh-CN" w:bidi="ar-SA"/>
        </w:rPr>
        <w:t>魏</w:t>
      </w:r>
      <w:r>
        <w:rPr>
          <w:rFonts w:hint="eastAsia" w:ascii="华文仿宋" w:hAnsi="华文仿宋" w:eastAsia="华文仿宋" w:cs="华文仿宋"/>
          <w:color w:val="auto"/>
          <w:kern w:val="2"/>
          <w:sz w:val="28"/>
          <w:szCs w:val="28"/>
          <w:lang w:val="zh-CN" w:eastAsia="zh-CN" w:bidi="ar-SA"/>
        </w:rPr>
        <w:t xml:space="preserve">女士  </w:t>
      </w:r>
    </w:p>
    <w:p w14:paraId="23FF488F">
      <w:pPr>
        <w:keepNext w:val="0"/>
        <w:keepLines w:val="0"/>
        <w:pageBreakBefore w:val="0"/>
        <w:widowControl w:val="0"/>
        <w:kinsoku/>
        <w:wordWrap/>
        <w:overflowPunct/>
        <w:topLinePunct w:val="0"/>
        <w:autoSpaceDE/>
        <w:autoSpaceDN/>
        <w:bidi w:val="0"/>
        <w:adjustRightInd/>
        <w:snapToGrid/>
        <w:spacing w:line="420" w:lineRule="exact"/>
        <w:ind w:firstLine="1132" w:firstLineChars="400"/>
        <w:rPr>
          <w:rFonts w:hint="default"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zh-CN" w:eastAsia="zh-CN" w:bidi="ar-SA"/>
        </w:rPr>
        <w:t>联系电话：</w:t>
      </w:r>
      <w:r>
        <w:rPr>
          <w:rFonts w:hint="eastAsia" w:ascii="华文仿宋" w:hAnsi="华文仿宋" w:eastAsia="华文仿宋" w:cs="华文仿宋"/>
          <w:color w:val="auto"/>
          <w:kern w:val="2"/>
          <w:sz w:val="28"/>
          <w:szCs w:val="28"/>
          <w:lang w:val="en-US" w:eastAsia="zh-CN" w:bidi="ar-SA"/>
        </w:rPr>
        <w:t>0911-709222</w:t>
      </w:r>
      <w:r>
        <w:rPr>
          <w:rFonts w:hint="eastAsia" w:ascii="华文仿宋" w:hAnsi="华文仿宋" w:cs="华文仿宋"/>
          <w:color w:val="auto"/>
          <w:kern w:val="2"/>
          <w:sz w:val="28"/>
          <w:szCs w:val="28"/>
          <w:lang w:val="en-US" w:eastAsia="zh-CN" w:bidi="ar-SA"/>
        </w:rPr>
        <w:t>1</w:t>
      </w:r>
    </w:p>
    <w:p w14:paraId="6D386570">
      <w:pPr>
        <w:spacing w:line="500" w:lineRule="exact"/>
        <w:ind w:firstLine="566" w:firstLineChars="200"/>
        <w:rPr>
          <w:rFonts w:cs="Times New Roman"/>
          <w:color w:val="auto"/>
        </w:rPr>
      </w:pPr>
      <w:r>
        <w:rPr>
          <w:rFonts w:hint="eastAsia" w:ascii="华文仿宋" w:hAnsi="华文仿宋" w:cs="华文仿宋"/>
          <w:b/>
          <w:bCs/>
          <w:color w:val="auto"/>
        </w:rPr>
        <w:t>五、招标内容和要求</w:t>
      </w:r>
    </w:p>
    <w:p w14:paraId="653E79EB">
      <w:pPr>
        <w:numPr>
          <w:ilvl w:val="0"/>
          <w:numId w:val="0"/>
        </w:numPr>
        <w:spacing w:line="500" w:lineRule="exact"/>
        <w:ind w:firstLine="566" w:firstLineChars="200"/>
        <w:rPr>
          <w:rFonts w:hint="eastAsia" w:ascii="华文仿宋" w:hAnsi="华文仿宋" w:eastAsia="华文仿宋" w:cs="华文仿宋"/>
          <w:color w:val="auto"/>
          <w:kern w:val="2"/>
          <w:sz w:val="28"/>
          <w:szCs w:val="28"/>
          <w:lang w:val="zh-CN" w:eastAsia="zh-CN" w:bidi="ar-SA"/>
        </w:rPr>
      </w:pPr>
      <w:r>
        <w:rPr>
          <w:rFonts w:hint="eastAsia" w:ascii="华文仿宋" w:hAnsi="华文仿宋" w:cs="华文仿宋"/>
          <w:color w:val="auto"/>
          <w:kern w:val="2"/>
          <w:sz w:val="28"/>
          <w:szCs w:val="28"/>
          <w:lang w:val="zh-CN" w:eastAsia="zh-CN" w:bidi="ar-SA"/>
        </w:rPr>
        <w:t>延安市自然资源局中心城区现状地形图测绘</w:t>
      </w:r>
      <w:r>
        <w:rPr>
          <w:rFonts w:hint="eastAsia" w:ascii="华文仿宋" w:hAnsi="华文仿宋" w:eastAsia="华文仿宋" w:cs="华文仿宋"/>
          <w:color w:val="auto"/>
          <w:kern w:val="2"/>
          <w:sz w:val="28"/>
          <w:szCs w:val="28"/>
          <w:lang w:val="zh-CN" w:eastAsia="zh-CN" w:bidi="ar-SA"/>
        </w:rPr>
        <w:t>〈招标内容及采购要求〉）。</w:t>
      </w:r>
    </w:p>
    <w:p w14:paraId="50B26DD8">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4C5D91B2">
      <w:pPr>
        <w:spacing w:line="500" w:lineRule="exact"/>
        <w:ind w:left="566" w:leftChars="200" w:firstLine="0" w:firstLineChars="0"/>
        <w:rPr>
          <w:rFonts w:hint="default" w:ascii="华文仿宋" w:hAnsi="华文仿宋" w:eastAsia="华文仿宋" w:cs="华文仿宋"/>
          <w:color w:val="auto"/>
          <w:highlight w:val="none"/>
          <w:lang w:val="en-US" w:eastAsia="zh-CN"/>
        </w:rPr>
      </w:pPr>
      <w:r>
        <w:rPr>
          <w:rFonts w:hint="eastAsia" w:ascii="华文仿宋" w:hAnsi="华文仿宋" w:cs="华文仿宋"/>
          <w:b/>
          <w:bCs/>
          <w:color w:val="auto"/>
        </w:rPr>
        <w:t>七、采购预算：</w:t>
      </w:r>
      <w:r>
        <w:rPr>
          <w:rFonts w:hint="eastAsia" w:ascii="华文仿宋" w:hAnsi="华文仿宋" w:cs="华文仿宋"/>
          <w:b/>
          <w:bCs/>
          <w:color w:val="auto"/>
          <w:lang w:val="en-US" w:eastAsia="zh-CN"/>
        </w:rPr>
        <w:t>371.29</w:t>
      </w:r>
      <w:r>
        <w:rPr>
          <w:rFonts w:hint="eastAsia" w:ascii="华文仿宋" w:hAnsi="华文仿宋" w:cs="华文仿宋"/>
          <w:b/>
          <w:bCs/>
          <w:color w:val="auto"/>
          <w:highlight w:val="none"/>
          <w:lang w:val="en-US" w:eastAsia="zh-CN"/>
        </w:rPr>
        <w:t>万元（大写：叁佰柒</w:t>
      </w:r>
      <w:bookmarkStart w:id="823" w:name="_GoBack"/>
      <w:bookmarkEnd w:id="823"/>
      <w:r>
        <w:rPr>
          <w:rFonts w:hint="eastAsia" w:ascii="华文仿宋" w:hAnsi="华文仿宋" w:cs="华文仿宋"/>
          <w:b/>
          <w:bCs/>
          <w:color w:val="auto"/>
          <w:highlight w:val="none"/>
          <w:lang w:val="en-US" w:eastAsia="zh-CN"/>
        </w:rPr>
        <w:t>拾壹万贰仟玖佰元整）</w:t>
      </w:r>
    </w:p>
    <w:p w14:paraId="1DC5FBE7">
      <w:pPr>
        <w:spacing w:line="500" w:lineRule="exact"/>
        <w:ind w:firstLine="566" w:firstLineChars="200"/>
        <w:rPr>
          <w:rFonts w:hint="default" w:ascii="华文仿宋" w:hAnsi="华文仿宋" w:eastAsia="华文仿宋" w:cs="华文仿宋"/>
          <w:color w:val="auto"/>
          <w:highlight w:val="none"/>
          <w:lang w:val="en-US" w:eastAsia="zh-CN"/>
        </w:rPr>
      </w:pPr>
      <w:r>
        <w:rPr>
          <w:rFonts w:hint="eastAsia" w:ascii="华文仿宋" w:hAnsi="华文仿宋" w:cs="华文仿宋"/>
          <w:b/>
          <w:bCs/>
          <w:color w:val="auto"/>
          <w:highlight w:val="none"/>
        </w:rPr>
        <w:t>八、所属行业：</w:t>
      </w:r>
      <w:r>
        <w:rPr>
          <w:rFonts w:hint="eastAsia" w:ascii="华文仿宋" w:hAnsi="华文仿宋" w:cs="华文仿宋"/>
          <w:b w:val="0"/>
          <w:bCs w:val="0"/>
          <w:color w:val="auto"/>
          <w:highlight w:val="none"/>
          <w:lang w:val="en-US" w:eastAsia="zh-CN"/>
        </w:rPr>
        <w:t>其他未列明行业</w:t>
      </w:r>
    </w:p>
    <w:p w14:paraId="194EA06E">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九、项目属性：</w:t>
      </w:r>
      <w:r>
        <w:rPr>
          <w:rFonts w:hint="eastAsia" w:ascii="华文仿宋" w:hAnsi="华文仿宋" w:cs="华文仿宋"/>
          <w:color w:val="auto"/>
          <w:lang w:val="en-US" w:eastAsia="zh-CN"/>
        </w:rPr>
        <w:t>服务</w:t>
      </w:r>
      <w:r>
        <w:rPr>
          <w:rFonts w:hint="eastAsia" w:ascii="华文仿宋" w:hAnsi="华文仿宋" w:cs="华文仿宋"/>
          <w:color w:val="auto"/>
        </w:rPr>
        <w:t>类</w:t>
      </w:r>
    </w:p>
    <w:p w14:paraId="4C0C35FB">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十、投标人资格要求</w:t>
      </w:r>
    </w:p>
    <w:p w14:paraId="1E146180">
      <w:pPr>
        <w:spacing w:line="500" w:lineRule="exact"/>
        <w:ind w:firstLine="566" w:firstLineChars="200"/>
        <w:rPr>
          <w:rFonts w:hint="eastAsia" w:ascii="华文仿宋" w:hAnsi="华文仿宋" w:cs="华文仿宋"/>
          <w:color w:val="auto"/>
          <w:kern w:val="0"/>
          <w:lang w:val="zh-CN"/>
        </w:rPr>
      </w:pPr>
      <w:r>
        <w:rPr>
          <w:rFonts w:hint="eastAsia" w:ascii="华文仿宋" w:hAnsi="华文仿宋" w:cs="华文仿宋"/>
          <w:color w:val="auto"/>
        </w:rPr>
        <w:t>符合《中华人民共和国政府采购法》第二十二条的规定，</w:t>
      </w:r>
      <w:r>
        <w:rPr>
          <w:rFonts w:hint="eastAsia" w:ascii="华文仿宋" w:hAnsi="华文仿宋" w:cs="华文仿宋"/>
          <w:color w:val="auto"/>
          <w:kern w:val="0"/>
          <w:lang w:val="zh-CN"/>
        </w:rPr>
        <w:t>并提供下列材料：</w:t>
      </w:r>
    </w:p>
    <w:p w14:paraId="0123D602">
      <w:pPr>
        <w:keepNext w:val="0"/>
        <w:keepLines w:val="0"/>
        <w:pageBreakBefore w:val="0"/>
        <w:widowControl/>
        <w:kinsoku/>
        <w:wordWrap/>
        <w:overflowPunct/>
        <w:topLinePunct w:val="0"/>
        <w:autoSpaceDE/>
        <w:autoSpaceDN/>
        <w:bidi w:val="0"/>
        <w:adjustRightInd/>
        <w:snapToGrid/>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营业执照等主体资格证明文件：提供有效存续的企业营业执照（副本）</w:t>
      </w:r>
      <w:r>
        <w:rPr>
          <w:rFonts w:ascii="华文仿宋" w:hAnsi="华文仿宋" w:cs="华文仿宋"/>
          <w:color w:val="auto"/>
        </w:rPr>
        <w:t>/</w:t>
      </w:r>
      <w:r>
        <w:rPr>
          <w:rFonts w:hint="eastAsia" w:ascii="华文仿宋" w:hAnsi="华文仿宋" w:cs="华文仿宋"/>
          <w:color w:val="auto"/>
        </w:rPr>
        <w:t>事业单位法人证书</w:t>
      </w:r>
      <w:r>
        <w:rPr>
          <w:rFonts w:ascii="华文仿宋" w:hAnsi="华文仿宋" w:cs="华文仿宋"/>
          <w:color w:val="auto"/>
        </w:rPr>
        <w:t>/</w:t>
      </w:r>
      <w:r>
        <w:rPr>
          <w:rFonts w:hint="eastAsia" w:ascii="华文仿宋" w:hAnsi="华文仿宋" w:cs="华文仿宋"/>
          <w:color w:val="auto"/>
        </w:rPr>
        <w:t>专业服务机构执业许可证</w:t>
      </w:r>
      <w:r>
        <w:rPr>
          <w:rFonts w:ascii="华文仿宋" w:hAnsi="华文仿宋" w:cs="华文仿宋"/>
          <w:color w:val="auto"/>
        </w:rPr>
        <w:t>/</w:t>
      </w:r>
      <w:r>
        <w:rPr>
          <w:rFonts w:hint="eastAsia" w:ascii="华文仿宋" w:hAnsi="华文仿宋" w:cs="华文仿宋"/>
          <w:color w:val="auto"/>
        </w:rPr>
        <w:t>民办非企业单位登记证书。</w:t>
      </w:r>
    </w:p>
    <w:p w14:paraId="350CEAEA">
      <w:pPr>
        <w:keepNext w:val="0"/>
        <w:keepLines w:val="0"/>
        <w:pageBreakBefore w:val="0"/>
        <w:widowControl/>
        <w:kinsoku/>
        <w:wordWrap/>
        <w:overflowPunct/>
        <w:topLinePunct w:val="0"/>
        <w:autoSpaceDE/>
        <w:autoSpaceDN/>
        <w:bidi w:val="0"/>
        <w:adjustRightInd/>
        <w:snapToGrid/>
        <w:spacing w:line="500" w:lineRule="exact"/>
        <w:ind w:firstLine="566" w:firstLineChars="200"/>
        <w:rPr>
          <w:rFonts w:hint="eastAsia" w:ascii="华文仿宋" w:hAnsi="华文仿宋" w:eastAsia="华文仿宋" w:cs="华文仿宋"/>
          <w:color w:val="auto"/>
          <w:lang w:eastAsia="zh-CN"/>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信用记录：提供《供应商信用记录书面声明函》（按格式填写，提供原件）。经查，投标人未被列入“信用中国”网站记录的“失信被执行人”或“重大税收违法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”名单；不处于“中国政府采购网”记录的“政府采购严重违法失信行为记录名单”中的禁止参加政府采购活动期间</w:t>
      </w:r>
      <w:r>
        <w:rPr>
          <w:rFonts w:hint="eastAsia" w:ascii="华文仿宋" w:hAnsi="华文仿宋" w:cs="华文仿宋"/>
          <w:color w:val="auto"/>
          <w:lang w:eastAsia="zh-CN"/>
        </w:rPr>
        <w:t>。</w:t>
      </w:r>
    </w:p>
    <w:p w14:paraId="39679051">
      <w:pPr>
        <w:spacing w:line="500" w:lineRule="exact"/>
        <w:ind w:firstLine="566" w:firstLineChars="200"/>
        <w:rPr>
          <w:rFonts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控股管理关系：提供直接控股和管理关系清单。若与其他投标人存在单位负责人为同一人或者存在直接控股、管理关系的，则投标无效。</w:t>
      </w:r>
    </w:p>
    <w:p w14:paraId="7F4EA57B">
      <w:pPr>
        <w:spacing w:line="500" w:lineRule="exact"/>
        <w:ind w:firstLine="566" w:firstLineChars="200"/>
        <w:rPr>
          <w:rFonts w:ascii="华文仿宋" w:hAnsi="华文仿宋" w:cs="华文仿宋"/>
          <w:color w:val="auto"/>
        </w:rPr>
      </w:pPr>
      <w:r>
        <w:rPr>
          <w:rFonts w:hint="eastAsia"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2578395B">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5</w:t>
      </w:r>
      <w:r>
        <w:rPr>
          <w:rFonts w:hint="eastAsia" w:ascii="华文仿宋" w:hAnsi="华文仿宋" w:cs="华文仿宋"/>
          <w:color w:val="auto"/>
          <w:lang w:val="en-US" w:eastAsia="zh-CN"/>
        </w:rPr>
        <w:t>.法定代表人授权委托书及法定代表人证明书</w:t>
      </w:r>
      <w:r>
        <w:rPr>
          <w:rFonts w:hint="eastAsia" w:ascii="华文仿宋" w:hAnsi="华文仿宋" w:cs="华文仿宋"/>
          <w:color w:val="auto"/>
        </w:rPr>
        <w:t>：法定代表人参加投标的，须提供本人身份证</w:t>
      </w:r>
      <w:r>
        <w:rPr>
          <w:rFonts w:hint="eastAsia" w:ascii="华文仿宋" w:hAnsi="华文仿宋" w:cs="华文仿宋"/>
          <w:color w:val="auto"/>
          <w:lang w:val="en-US" w:eastAsia="zh-CN"/>
        </w:rPr>
        <w:t>扫描件</w:t>
      </w:r>
      <w:r>
        <w:rPr>
          <w:rFonts w:hint="eastAsia" w:ascii="华文仿宋" w:hAnsi="华文仿宋" w:cs="华文仿宋"/>
          <w:color w:val="auto"/>
        </w:rPr>
        <w:t>（附在资格证明文件中）；法定代表人授权他人参加投标的，须提供法定代表人授权委托书。招标文件中凡是需要法定代表人盖章之处，非法人单位的负责人均参照执行。</w:t>
      </w:r>
    </w:p>
    <w:p w14:paraId="21BE3D49">
      <w:pPr>
        <w:spacing w:line="500" w:lineRule="exact"/>
        <w:ind w:firstLine="566" w:firstLineChars="200"/>
      </w:pPr>
      <w:r>
        <w:rPr>
          <w:rFonts w:hint="eastAsia" w:ascii="华文仿宋" w:hAnsi="华文仿宋" w:cs="华文仿宋"/>
          <w:color w:val="auto"/>
          <w:lang w:eastAsia="zh-CN"/>
        </w:rPr>
        <w:t>法人的</w:t>
      </w:r>
      <w:r>
        <w:rPr>
          <w:rFonts w:hint="eastAsia" w:ascii="华文仿宋" w:hAnsi="华文仿宋" w:cs="华文仿宋"/>
          <w:color w:val="auto"/>
        </w:rPr>
        <w:t>分支机构参与投标时，</w:t>
      </w:r>
      <w:r>
        <w:rPr>
          <w:rFonts w:hint="eastAsia" w:ascii="华文仿宋" w:hAnsi="华文仿宋" w:cs="华文仿宋"/>
          <w:color w:val="auto"/>
          <w:lang w:eastAsia="zh-CN"/>
        </w:rPr>
        <w:t>除提供《</w:t>
      </w:r>
      <w:r>
        <w:rPr>
          <w:rFonts w:hint="eastAsia" w:ascii="华文仿宋" w:hAnsi="华文仿宋" w:cs="华文仿宋"/>
          <w:color w:val="auto"/>
        </w:rPr>
        <w:t>法定代表人授权委托书</w:t>
      </w:r>
      <w:r>
        <w:rPr>
          <w:rFonts w:hint="eastAsia" w:ascii="华文仿宋" w:hAnsi="华文仿宋" w:cs="华文仿宋"/>
          <w:color w:val="auto"/>
          <w:lang w:eastAsia="zh-CN"/>
        </w:rPr>
        <w:t>》外，还须同时提供总公司给分支机构</w:t>
      </w:r>
      <w:r>
        <w:rPr>
          <w:rFonts w:hint="eastAsia" w:ascii="华文仿宋" w:hAnsi="华文仿宋" w:cs="华文仿宋"/>
          <w:color w:val="auto"/>
        </w:rPr>
        <w:t>出具的授权书。</w:t>
      </w:r>
    </w:p>
    <w:p w14:paraId="2900F9B8">
      <w:pPr>
        <w:numPr>
          <w:ilvl w:val="0"/>
          <w:numId w:val="0"/>
        </w:numPr>
        <w:spacing w:line="500" w:lineRule="exact"/>
        <w:ind w:firstLine="566" w:firstLineChars="200"/>
        <w:rPr>
          <w:rFonts w:hint="eastAsia" w:ascii="华文仿宋" w:hAnsi="华文仿宋" w:cs="华文仿宋"/>
          <w:b w:val="0"/>
          <w:bCs w:val="0"/>
          <w:color w:val="auto"/>
          <w:kern w:val="0"/>
          <w:sz w:val="28"/>
          <w:szCs w:val="28"/>
          <w:lang w:val="en-US" w:eastAsia="zh-CN" w:bidi="ar-SA"/>
        </w:rPr>
      </w:pPr>
      <w:r>
        <w:rPr>
          <w:rFonts w:hint="eastAsia" w:ascii="华文仿宋" w:hAnsi="华文仿宋" w:eastAsia="华文仿宋" w:cs="华文仿宋"/>
          <w:b w:val="0"/>
          <w:bCs w:val="0"/>
          <w:color w:val="auto"/>
          <w:kern w:val="0"/>
          <w:sz w:val="28"/>
          <w:szCs w:val="28"/>
          <w:lang w:val="en-US" w:eastAsia="zh-CN" w:bidi="ar-SA"/>
        </w:rPr>
        <w:t>6.</w:t>
      </w:r>
      <w:r>
        <w:rPr>
          <w:rFonts w:hint="eastAsia" w:ascii="华文仿宋" w:hAnsi="华文仿宋" w:cs="华文仿宋"/>
          <w:b w:val="0"/>
          <w:bCs w:val="0"/>
          <w:color w:val="auto"/>
          <w:kern w:val="0"/>
          <w:sz w:val="28"/>
          <w:szCs w:val="28"/>
          <w:lang w:val="en-US" w:eastAsia="zh-CN" w:bidi="ar-SA"/>
        </w:rPr>
        <w:t>投标人需提供财务状况、缴纳税收和社会保障资金三项符合要求的承诺函（无需另行提供证明文件）。</w:t>
      </w:r>
    </w:p>
    <w:p w14:paraId="3E0C637F">
      <w:pPr>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b/>
          <w:bCs/>
          <w:color w:val="auto"/>
          <w:kern w:val="0"/>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联合体投标，不允许分包。</w:t>
      </w:r>
      <w:r>
        <w:rPr>
          <w:rFonts w:hint="eastAsia" w:ascii="华文仿宋" w:hAnsi="华文仿宋" w:cs="华文仿宋"/>
          <w:color w:val="auto"/>
        </w:rPr>
        <w:t>投标人提供《非联合体不分包投标声明》，</w:t>
      </w:r>
      <w:r>
        <w:rPr>
          <w:rFonts w:hint="eastAsia" w:ascii="华文仿宋" w:hAnsi="华文仿宋" w:cs="华文仿宋"/>
          <w:color w:val="auto"/>
          <w:lang w:eastAsia="zh-CN"/>
        </w:rPr>
        <w:t>视为独立投标，不分包。</w:t>
      </w:r>
    </w:p>
    <w:p w14:paraId="3CD14242">
      <w:pPr>
        <w:spacing w:line="500" w:lineRule="exact"/>
        <w:ind w:firstLine="566" w:firstLineChars="200"/>
        <w:rPr>
          <w:rFonts w:hint="default" w:ascii="华文仿宋" w:hAnsi="华文仿宋" w:cs="华文仿宋"/>
          <w:color w:val="auto"/>
          <w:lang w:val="en-US" w:eastAsia="zh-CN"/>
        </w:rPr>
      </w:pPr>
      <w:r>
        <w:rPr>
          <w:rFonts w:hint="eastAsia" w:ascii="华文仿宋" w:hAnsi="华文仿宋" w:cs="华文仿宋"/>
          <w:color w:val="auto"/>
          <w:lang w:val="en-US" w:eastAsia="zh-CN"/>
        </w:rPr>
        <w:t>8.需提供省级测绘地理信息局出具的乙级及以上测绘资质证书。</w:t>
      </w:r>
    </w:p>
    <w:p w14:paraId="66883CA1">
      <w:pPr>
        <w:spacing w:line="44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rPr>
        <w:t>备注：</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以上资格要求均为必备资格，需提供相关证明文件并加盖投标人公章（如相关证明材料由第三方出具，应有第三方公章），缺少其中任何一项，其投标文件视为无效文件。</w:t>
      </w:r>
    </w:p>
    <w:p w14:paraId="731B1085">
      <w:pPr>
        <w:spacing w:line="44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lang w:val="en-US" w:eastAsia="zh-CN"/>
        </w:rPr>
        <w:t>2.《承诺函》、</w:t>
      </w:r>
      <w:r>
        <w:rPr>
          <w:rFonts w:hint="eastAsia" w:ascii="宋体" w:hAnsi="宋体" w:eastAsia="宋体" w:cs="宋体"/>
          <w:color w:val="auto"/>
          <w:sz w:val="21"/>
          <w:szCs w:val="21"/>
        </w:rPr>
        <w:t>《供应商信用记录书面声明函》、《法定代表人授权委托书》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《书面声明》、《残疾人福利性单位声明函》、《非联合体不分包投标声明》应按招标文件第六章第一部分给定的格式填写。</w:t>
      </w:r>
    </w:p>
    <w:p w14:paraId="38063FF4">
      <w:pPr>
        <w:spacing w:line="44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法人的</w:t>
      </w:r>
      <w:r>
        <w:rPr>
          <w:rFonts w:hint="eastAsia" w:ascii="宋体" w:hAnsi="宋体" w:eastAsia="宋体" w:cs="宋体"/>
          <w:color w:val="auto"/>
          <w:sz w:val="21"/>
          <w:szCs w:val="21"/>
        </w:rPr>
        <w:t>分支机构参与投标时，投标文件中应附</w:t>
      </w:r>
      <w:r>
        <w:rPr>
          <w:rFonts w:hint="eastAsia" w:ascii="宋体" w:hAnsi="宋体" w:eastAsia="宋体" w:cs="宋体"/>
          <w:color w:val="auto"/>
          <w:sz w:val="21"/>
          <w:szCs w:val="21"/>
          <w:lang w:eastAsia="zh-CN"/>
        </w:rPr>
        <w:t>总公司给分支机构</w:t>
      </w:r>
      <w:r>
        <w:rPr>
          <w:rFonts w:hint="eastAsia" w:ascii="宋体" w:hAnsi="宋体" w:eastAsia="宋体" w:cs="宋体"/>
          <w:color w:val="auto"/>
          <w:sz w:val="21"/>
          <w:szCs w:val="21"/>
        </w:rPr>
        <w:t>出具的授权书。</w:t>
      </w:r>
      <w:r>
        <w:rPr>
          <w:rFonts w:hint="eastAsia" w:ascii="宋体" w:hAnsi="宋体" w:eastAsia="宋体" w:cs="宋体"/>
          <w:color w:val="auto"/>
          <w:sz w:val="21"/>
          <w:szCs w:val="21"/>
          <w:lang w:eastAsia="zh-CN"/>
        </w:rPr>
        <w:t>授权书附在《法定代表人授权委托书》后，如无授权，将被视为无效文件。</w:t>
      </w:r>
      <w:r>
        <w:rPr>
          <w:rFonts w:hint="eastAsia" w:ascii="宋体" w:hAnsi="宋体" w:eastAsia="宋体" w:cs="宋体"/>
          <w:color w:val="auto"/>
          <w:sz w:val="21"/>
          <w:szCs w:val="21"/>
        </w:rPr>
        <w:t>法人只能授权一家分支机构参与投标，且不能与分支机构同时参与投标。</w:t>
      </w:r>
    </w:p>
    <w:p w14:paraId="41E01B3A">
      <w:pPr>
        <w:spacing w:line="440" w:lineRule="exact"/>
        <w:ind w:firstLine="426" w:firstLineChars="200"/>
        <w:rPr>
          <w:rFonts w:hint="eastAsia" w:ascii="宋体" w:hAnsi="宋体" w:eastAsia="宋体" w:cs="宋体"/>
          <w:color w:val="auto"/>
          <w:sz w:val="21"/>
          <w:szCs w:val="21"/>
        </w:rPr>
      </w:pPr>
    </w:p>
    <w:p w14:paraId="4868B356">
      <w:pPr>
        <w:spacing w:line="500" w:lineRule="exact"/>
        <w:ind w:firstLine="566" w:firstLineChars="200"/>
        <w:rPr>
          <w:rFonts w:hint="eastAsia" w:cs="华文仿宋"/>
          <w:b/>
          <w:bCs/>
          <w:color w:val="auto"/>
        </w:rPr>
      </w:pPr>
      <w:r>
        <w:rPr>
          <w:rFonts w:hint="eastAsia" w:ascii="华文仿宋" w:hAnsi="华文仿宋" w:cs="华文仿宋"/>
          <w:b/>
          <w:bCs/>
          <w:color w:val="auto"/>
        </w:rPr>
        <w:t>十一</w:t>
      </w:r>
      <w:r>
        <w:rPr>
          <w:rFonts w:hint="eastAsia" w:cs="华文仿宋"/>
          <w:b/>
          <w:bCs/>
          <w:color w:val="auto"/>
        </w:rPr>
        <w:t>、执行的其他政府采购政策</w:t>
      </w:r>
    </w:p>
    <w:p w14:paraId="425DD0ED">
      <w:pPr>
        <w:spacing w:line="500" w:lineRule="exact"/>
        <w:ind w:firstLine="283" w:firstLineChars="100"/>
        <w:rPr>
          <w:rFonts w:hint="eastAsia" w:ascii="华文仿宋" w:hAnsi="华文仿宋" w:cs="华文仿宋"/>
          <w:b/>
          <w:bCs/>
          <w:color w:val="auto"/>
          <w:highlight w:val="none"/>
        </w:rPr>
      </w:pP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00A627C3">
      <w:pPr>
        <w:spacing w:line="500" w:lineRule="exact"/>
        <w:ind w:firstLine="566" w:firstLineChars="200"/>
        <w:rPr>
          <w:rFonts w:hint="eastAsia" w:ascii="华文仿宋" w:hAnsi="华文仿宋" w:cs="华文仿宋"/>
          <w:color w:val="auto"/>
        </w:rPr>
      </w:pPr>
      <w:r>
        <w:rPr>
          <w:rFonts w:hint="eastAsia"/>
          <w:b/>
          <w:bCs/>
          <w:color w:val="auto"/>
          <w:highlight w:val="none"/>
        </w:rPr>
        <w:t>本项目为</w:t>
      </w:r>
      <w:r>
        <w:rPr>
          <w:rFonts w:hint="eastAsia"/>
          <w:b/>
          <w:bCs/>
          <w:color w:val="auto"/>
          <w:highlight w:val="none"/>
          <w:lang w:eastAsia="zh-CN"/>
        </w:rPr>
        <w:t>专门面向小微</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w:t>
      </w:r>
      <w:r>
        <w:rPr>
          <w:rFonts w:hint="eastAsia"/>
          <w:color w:val="auto"/>
          <w:highlight w:val="none"/>
          <w:lang w:val="en-US" w:eastAsia="zh-CN"/>
        </w:rPr>
        <w:t>小微</w:t>
      </w:r>
      <w:r>
        <w:rPr>
          <w:rFonts w:hint="eastAsia"/>
          <w:color w:val="auto"/>
          <w:highlight w:val="none"/>
        </w:rPr>
        <w:t>企业声明函》，且企业的划分标准所属行业为</w:t>
      </w:r>
      <w:r>
        <w:rPr>
          <w:rFonts w:hint="eastAsia"/>
          <w:color w:val="auto"/>
          <w:highlight w:val="none"/>
          <w:lang w:val="en-US" w:eastAsia="zh-CN"/>
        </w:rPr>
        <w:t>其他未列明行业</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071F1946">
      <w:pPr>
        <w:spacing w:line="500" w:lineRule="exact"/>
        <w:ind w:firstLine="283" w:firstLineChars="100"/>
        <w:rPr>
          <w:rFonts w:hint="eastAsia" w:cs="华文仿宋"/>
          <w:b/>
          <w:bCs/>
          <w:color w:val="auto"/>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096044E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《关于在政府采购活动中查询及使用信用记录有关问题的通知》（财库</w:t>
      </w:r>
      <w:r>
        <w:rPr>
          <w:rFonts w:hint="eastAsia" w:ascii="仿宋" w:hAnsi="仿宋" w:eastAsia="仿宋" w:cs="仿宋"/>
          <w:color w:val="auto"/>
        </w:rPr>
        <w:t>〔</w:t>
      </w:r>
      <w:r>
        <w:rPr>
          <w:rFonts w:ascii="仿宋" w:hAnsi="仿宋" w:eastAsia="仿宋" w:cs="仿宋"/>
          <w:color w:val="auto"/>
        </w:rPr>
        <w:t>2016</w:t>
      </w:r>
      <w:r>
        <w:rPr>
          <w:rFonts w:hint="eastAsia" w:ascii="仿宋" w:hAnsi="仿宋" w:eastAsia="仿宋" w:cs="仿宋"/>
          <w:color w:val="auto"/>
        </w:rPr>
        <w:t>〕</w:t>
      </w:r>
      <w:r>
        <w:rPr>
          <w:rFonts w:ascii="仿宋" w:hAnsi="仿宋" w:eastAsia="仿宋" w:cs="仿宋"/>
          <w:color w:val="auto"/>
        </w:rPr>
        <w:t>125</w:t>
      </w:r>
      <w:r>
        <w:rPr>
          <w:rFonts w:hint="eastAsia" w:ascii="华文仿宋" w:hAnsi="华文仿宋" w:cs="华文仿宋"/>
          <w:color w:val="auto"/>
        </w:rPr>
        <w:t>号）。</w:t>
      </w:r>
    </w:p>
    <w:p w14:paraId="507FB7B9">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《政府采购促进中小企业发展管理办法》（财库</w:t>
      </w:r>
      <w:r>
        <w:rPr>
          <w:rFonts w:hint="eastAsia" w:ascii="仿宋" w:hAnsi="仿宋" w:eastAsia="仿宋" w:cs="仿宋"/>
          <w:color w:val="auto"/>
        </w:rPr>
        <w:t>〔</w:t>
      </w:r>
      <w:r>
        <w:rPr>
          <w:rFonts w:ascii="仿宋" w:hAnsi="仿宋" w:eastAsia="仿宋" w:cs="仿宋"/>
          <w:color w:val="auto"/>
        </w:rPr>
        <w:t>20</w:t>
      </w:r>
      <w:r>
        <w:rPr>
          <w:rFonts w:hint="eastAsia" w:ascii="仿宋" w:hAnsi="仿宋" w:eastAsia="仿宋" w:cs="仿宋"/>
          <w:color w:val="auto"/>
        </w:rPr>
        <w:t>20〕46</w:t>
      </w:r>
      <w:r>
        <w:rPr>
          <w:rFonts w:hint="eastAsia" w:ascii="华文仿宋" w:hAnsi="华文仿宋" w:cs="华文仿宋"/>
          <w:color w:val="auto"/>
        </w:rPr>
        <w:t>号）、《关于政府采购支持监狱企业发展有关问题的通知》（财库</w:t>
      </w:r>
      <w:r>
        <w:rPr>
          <w:rFonts w:hint="eastAsia" w:ascii="仿宋" w:hAnsi="仿宋" w:eastAsia="仿宋" w:cs="仿宋"/>
          <w:color w:val="auto"/>
        </w:rPr>
        <w:t>〔</w:t>
      </w:r>
      <w:r>
        <w:rPr>
          <w:rFonts w:ascii="仿宋" w:hAnsi="仿宋" w:eastAsia="仿宋" w:cs="仿宋"/>
          <w:color w:val="auto"/>
        </w:rPr>
        <w:t>2014</w:t>
      </w:r>
      <w:r>
        <w:rPr>
          <w:rFonts w:hint="eastAsia" w:ascii="仿宋" w:hAnsi="仿宋" w:eastAsia="仿宋" w:cs="仿宋"/>
          <w:color w:val="auto"/>
        </w:rPr>
        <w:t>〕</w:t>
      </w:r>
      <w:r>
        <w:rPr>
          <w:rFonts w:ascii="仿宋" w:hAnsi="仿宋" w:eastAsia="仿宋" w:cs="仿宋"/>
          <w:color w:val="auto"/>
        </w:rPr>
        <w:t>68</w:t>
      </w:r>
      <w:r>
        <w:rPr>
          <w:rFonts w:hint="eastAsia" w:ascii="华文仿宋" w:hAnsi="华文仿宋" w:cs="华文仿宋"/>
          <w:color w:val="auto"/>
        </w:rPr>
        <w:t>号）以及《关于促进残疾人就业政府采购政策的通知》（财库</w:t>
      </w:r>
      <w:r>
        <w:rPr>
          <w:rFonts w:hint="eastAsia" w:ascii="仿宋" w:hAnsi="仿宋" w:eastAsia="仿宋" w:cs="仿宋"/>
          <w:color w:val="auto"/>
        </w:rPr>
        <w:t>〔</w:t>
      </w:r>
      <w:r>
        <w:rPr>
          <w:rFonts w:ascii="仿宋" w:hAnsi="仿宋" w:eastAsia="仿宋" w:cs="仿宋"/>
          <w:color w:val="auto"/>
        </w:rPr>
        <w:t>2017</w:t>
      </w:r>
      <w:r>
        <w:rPr>
          <w:rFonts w:hint="eastAsia" w:ascii="仿宋" w:hAnsi="仿宋" w:eastAsia="仿宋" w:cs="仿宋"/>
          <w:color w:val="auto"/>
        </w:rPr>
        <w:t>〕</w:t>
      </w:r>
      <w:r>
        <w:rPr>
          <w:rFonts w:ascii="仿宋" w:hAnsi="仿宋" w:eastAsia="仿宋" w:cs="仿宋"/>
          <w:color w:val="auto"/>
        </w:rPr>
        <w:t>141</w:t>
      </w:r>
      <w:r>
        <w:rPr>
          <w:rFonts w:hint="eastAsia" w:ascii="华文仿宋" w:hAnsi="华文仿宋" w:cs="华文仿宋"/>
          <w:color w:val="auto"/>
        </w:rPr>
        <w:t>号）。</w:t>
      </w:r>
    </w:p>
    <w:p w14:paraId="2D6E2229">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国务院办公厅《关于建立政府强制采购节能产品制度的通知》（国办发</w:t>
      </w:r>
      <w:r>
        <w:rPr>
          <w:rFonts w:hint="eastAsia" w:ascii="仿宋" w:hAnsi="仿宋" w:eastAsia="仿宋" w:cs="仿宋"/>
          <w:color w:val="auto"/>
        </w:rPr>
        <w:t>〔</w:t>
      </w:r>
      <w:r>
        <w:rPr>
          <w:rFonts w:ascii="仿宋" w:hAnsi="仿宋" w:eastAsia="仿宋" w:cs="仿宋"/>
          <w:color w:val="auto"/>
        </w:rPr>
        <w:t>2007</w:t>
      </w:r>
      <w:r>
        <w:rPr>
          <w:rFonts w:hint="eastAsia" w:ascii="仿宋" w:hAnsi="仿宋" w:eastAsia="仿宋" w:cs="仿宋"/>
          <w:color w:val="auto"/>
        </w:rPr>
        <w:t>〕</w:t>
      </w:r>
      <w:r>
        <w:rPr>
          <w:rFonts w:ascii="仿宋" w:hAnsi="仿宋" w:eastAsia="仿宋" w:cs="仿宋"/>
          <w:color w:val="auto"/>
        </w:rPr>
        <w:t>51</w:t>
      </w:r>
      <w:r>
        <w:rPr>
          <w:rFonts w:hint="eastAsia" w:ascii="华文仿宋" w:hAnsi="华文仿宋" w:cs="华文仿宋"/>
          <w:color w:val="auto"/>
        </w:rPr>
        <w:t>号）。财政部、国家发改委、生态环境部、市场监管总局联合印发《关于调整优化节能产品、环境标志产品政府采购执行机制的通知》（财库</w:t>
      </w:r>
      <w:r>
        <w:rPr>
          <w:rFonts w:hint="eastAsia" w:ascii="仿宋" w:hAnsi="仿宋" w:eastAsia="仿宋" w:cs="仿宋"/>
          <w:color w:val="auto"/>
        </w:rPr>
        <w:t>〔2019〕9</w:t>
      </w:r>
      <w:r>
        <w:rPr>
          <w:rFonts w:hint="eastAsia" w:ascii="华文仿宋" w:hAnsi="华文仿宋" w:cs="华文仿宋"/>
          <w:color w:val="auto"/>
        </w:rPr>
        <w:t>号）。</w:t>
      </w:r>
    </w:p>
    <w:p w14:paraId="2B1E81F2">
      <w:pPr>
        <w:widowControl w:val="0"/>
        <w:spacing w:line="500" w:lineRule="exact"/>
        <w:ind w:firstLine="566" w:firstLineChars="200"/>
        <w:rPr>
          <w:rFonts w:ascii="华文仿宋" w:hAnsi="华文仿宋" w:cs="华文仿宋"/>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《财政部农业农村部 国家乡村振兴局关于运用政府采购政策支持乡村产业振兴的通知》（财库〔</w:t>
      </w:r>
      <w:r>
        <w:rPr>
          <w:rFonts w:hint="eastAsia" w:ascii="仿宋" w:hAnsi="仿宋" w:eastAsia="仿宋" w:cs="仿宋"/>
          <w:color w:val="auto"/>
        </w:rPr>
        <w:t>2021</w:t>
      </w:r>
      <w:r>
        <w:rPr>
          <w:rFonts w:hint="eastAsia" w:ascii="华文仿宋" w:hAnsi="华文仿宋" w:cs="华文仿宋"/>
          <w:color w:val="auto"/>
        </w:rPr>
        <w:t>〕</w:t>
      </w:r>
      <w:r>
        <w:rPr>
          <w:rFonts w:hint="eastAsia" w:ascii="仿宋" w:hAnsi="仿宋" w:eastAsia="仿宋" w:cs="仿宋"/>
          <w:color w:val="auto"/>
        </w:rPr>
        <w:t>19</w:t>
      </w:r>
      <w:r>
        <w:rPr>
          <w:rFonts w:hint="eastAsia" w:ascii="华文仿宋" w:hAnsi="华文仿宋" w:cs="华文仿宋"/>
          <w:color w:val="auto"/>
        </w:rPr>
        <w:t>号）、《财政部农业农村部 国家乡村振兴局 中华全国供销合作总社关于印发&lt;关于深入开展政府采购脱贫地区农副产品工作推进乡村产业振兴的实施意见&gt;的通知》（财库</w:t>
      </w:r>
      <w:r>
        <w:rPr>
          <w:rFonts w:hint="eastAsia" w:ascii="仿宋" w:hAnsi="仿宋" w:eastAsia="仿宋" w:cs="仿宋"/>
          <w:color w:val="auto"/>
        </w:rPr>
        <w:t>〔2021〕20</w:t>
      </w:r>
      <w:r>
        <w:rPr>
          <w:rFonts w:hint="eastAsia" w:ascii="华文仿宋" w:hAnsi="华文仿宋" w:cs="华文仿宋"/>
          <w:color w:val="auto"/>
        </w:rPr>
        <w:t>号）。</w:t>
      </w:r>
    </w:p>
    <w:p w14:paraId="6020BF0F">
      <w:pPr>
        <w:pStyle w:val="12"/>
        <w:widowControl w:val="0"/>
        <w:spacing w:afterLines="0" w:line="500" w:lineRule="exact"/>
        <w:ind w:firstLine="566" w:firstLineChars="200"/>
        <w:rPr>
          <w:rFonts w:ascii="华文仿宋" w:hAnsi="华文仿宋" w:cs="华文仿宋"/>
          <w:color w:val="auto"/>
          <w:sz w:val="28"/>
          <w:szCs w:val="28"/>
        </w:rPr>
      </w:pPr>
      <w:r>
        <w:rPr>
          <w:rFonts w:hint="eastAsia" w:ascii="华文仿宋" w:hAnsi="华文仿宋" w:cs="华文仿宋"/>
          <w:color w:val="auto"/>
          <w:sz w:val="28"/>
          <w:szCs w:val="28"/>
        </w:rPr>
        <w:t>5</w:t>
      </w:r>
      <w:r>
        <w:rPr>
          <w:rFonts w:hint="eastAsia" w:ascii="华文仿宋" w:hAnsi="华文仿宋" w:cs="华文仿宋"/>
          <w:color w:val="auto"/>
          <w:sz w:val="28"/>
          <w:szCs w:val="28"/>
          <w:lang w:val="en-US" w:eastAsia="zh-CN"/>
        </w:rPr>
        <w:t>.</w:t>
      </w:r>
      <w:r>
        <w:rPr>
          <w:rFonts w:hint="eastAsia" w:ascii="华文仿宋" w:hAnsi="华文仿宋" w:cs="华文仿宋"/>
          <w:color w:val="auto"/>
          <w:sz w:val="28"/>
          <w:szCs w:val="28"/>
        </w:rPr>
        <w:t>《陕西省财政厅关于加快推进我省中小企业政府采购信用融资工作的通知》（陕财办采</w:t>
      </w:r>
      <w:r>
        <w:rPr>
          <w:rFonts w:hint="eastAsia" w:ascii="仿宋" w:hAnsi="仿宋" w:eastAsia="仿宋" w:cs="仿宋"/>
          <w:color w:val="auto"/>
          <w:sz w:val="28"/>
          <w:szCs w:val="28"/>
        </w:rPr>
        <w:t>〔2020〕15</w:t>
      </w:r>
      <w:r>
        <w:rPr>
          <w:rFonts w:hint="eastAsia" w:ascii="华文仿宋" w:hAnsi="华文仿宋" w:cs="华文仿宋"/>
          <w:color w:val="auto"/>
          <w:sz w:val="28"/>
          <w:szCs w:val="28"/>
        </w:rPr>
        <w:t>号）、陕西省财政厅关于印发《陕西省中小企业政府采购信用融资办法》（陕财办采</w:t>
      </w:r>
      <w:r>
        <w:rPr>
          <w:rFonts w:hint="eastAsia" w:ascii="仿宋" w:hAnsi="仿宋" w:eastAsia="仿宋" w:cs="仿宋"/>
          <w:color w:val="auto"/>
          <w:sz w:val="28"/>
          <w:szCs w:val="28"/>
        </w:rPr>
        <w:t>〔2018〕23</w:t>
      </w:r>
      <w:r>
        <w:rPr>
          <w:rFonts w:hint="eastAsia" w:ascii="华文仿宋" w:hAnsi="华文仿宋" w:cs="华文仿宋"/>
          <w:color w:val="auto"/>
          <w:sz w:val="28"/>
          <w:szCs w:val="28"/>
        </w:rPr>
        <w:t>号）。</w:t>
      </w:r>
    </w:p>
    <w:p w14:paraId="4377107C">
      <w:pPr>
        <w:spacing w:line="500" w:lineRule="exact"/>
        <w:ind w:firstLine="566" w:firstLineChars="200"/>
        <w:rPr>
          <w:rFonts w:cs="华文仿宋"/>
          <w:b/>
          <w:bCs/>
          <w:color w:val="auto"/>
        </w:rPr>
      </w:pPr>
      <w:r>
        <w:rPr>
          <w:rFonts w:hint="eastAsia"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详见《投标人须知》中“</w:t>
      </w:r>
      <w:r>
        <w:rPr>
          <w:rFonts w:hint="eastAsia" w:ascii="华文仿宋" w:hAnsi="华文仿宋" w:cs="华文仿宋"/>
          <w:color w:val="auto"/>
          <w:lang w:val="en-US" w:eastAsia="zh-CN"/>
        </w:rPr>
        <w:t>相关</w:t>
      </w:r>
      <w:r>
        <w:rPr>
          <w:rFonts w:hint="eastAsia" w:ascii="华文仿宋" w:hAnsi="华文仿宋" w:cs="华文仿宋"/>
          <w:color w:val="auto"/>
        </w:rPr>
        <w:t>政府采购政策</w:t>
      </w:r>
      <w:r>
        <w:rPr>
          <w:rFonts w:hint="eastAsia" w:ascii="华文仿宋" w:hAnsi="华文仿宋" w:cs="华文仿宋"/>
          <w:color w:val="auto"/>
          <w:lang w:val="en-US" w:eastAsia="zh-CN"/>
        </w:rPr>
        <w:t>文件</w:t>
      </w:r>
      <w:r>
        <w:rPr>
          <w:rFonts w:hint="eastAsia" w:ascii="华文仿宋" w:hAnsi="华文仿宋" w:cs="华文仿宋"/>
          <w:color w:val="auto"/>
        </w:rPr>
        <w:t>”有关内容。</w:t>
      </w:r>
    </w:p>
    <w:p w14:paraId="092BFBD1">
      <w:pPr>
        <w:spacing w:line="500" w:lineRule="exact"/>
        <w:ind w:firstLine="566" w:firstLineChars="200"/>
        <w:rPr>
          <w:rFonts w:cs="Times New Roman"/>
          <w:b/>
          <w:bCs/>
          <w:color w:val="auto"/>
        </w:rPr>
      </w:pPr>
      <w:r>
        <w:rPr>
          <w:rFonts w:hint="eastAsia" w:cs="华文仿宋"/>
          <w:b/>
          <w:bCs/>
          <w:color w:val="auto"/>
        </w:rPr>
        <w:t>十二、获取招标文件的时间及方式</w:t>
      </w:r>
    </w:p>
    <w:p w14:paraId="250337FD">
      <w:pPr>
        <w:wordWrap w:val="0"/>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1.</w:t>
      </w:r>
      <w:r>
        <w:rPr>
          <w:rFonts w:hint="eastAsia" w:ascii="华文仿宋" w:hAnsi="华文仿宋" w:cs="华文仿宋"/>
          <w:color w:val="auto"/>
        </w:rPr>
        <w:t>获取方式：投标人可登录全国公共资源交易平台（陕西省·延安市）（ http://ya.sxggzyjy.cn/），选择“电子交易平台</w:t>
      </w:r>
      <w:r>
        <w:rPr>
          <w:rFonts w:ascii="华文仿宋" w:hAnsi="华文仿宋" w:cs="华文仿宋"/>
          <w:color w:val="auto"/>
        </w:rPr>
        <w:t>—</w:t>
      </w:r>
      <w:r>
        <w:rPr>
          <w:rFonts w:hint="eastAsia" w:ascii="华文仿宋" w:hAnsi="华文仿宋" w:cs="华文仿宋"/>
          <w:color w:val="auto"/>
        </w:rPr>
        <w:t>政府采购交易系统</w:t>
      </w:r>
      <w:r>
        <w:rPr>
          <w:rFonts w:ascii="华文仿宋" w:hAnsi="华文仿宋" w:cs="华文仿宋"/>
          <w:color w:val="auto"/>
        </w:rPr>
        <w:t>—</w:t>
      </w:r>
      <w:r>
        <w:rPr>
          <w:rFonts w:hint="eastAsia" w:ascii="华文仿宋" w:hAnsi="华文仿宋" w:cs="华文仿宋"/>
          <w:color w:val="auto"/>
        </w:rPr>
        <w:t>企业端”</w:t>
      </w:r>
      <w:r>
        <w:rPr>
          <w:rFonts w:hint="eastAsia" w:ascii="华文仿宋" w:hAnsi="华文仿宋" w:cs="华文仿宋"/>
          <w:color w:val="auto"/>
          <w:lang w:val="en-US" w:eastAsia="zh-CN"/>
        </w:rPr>
        <w:t>通过CA锁</w:t>
      </w:r>
      <w:r>
        <w:rPr>
          <w:rFonts w:hint="eastAsia" w:ascii="华文仿宋" w:hAnsi="华文仿宋" w:cs="华文仿宋"/>
          <w:color w:val="auto"/>
        </w:rPr>
        <w:t>进行登录，登录后选择“交易乙方”身份进入投标人界面后，选择有意向的项目点击“我要投标”，参与投标活动。然后在〖我的项目〗中点击“项目流程</w:t>
      </w:r>
      <w:r>
        <w:rPr>
          <w:rFonts w:ascii="华文仿宋" w:hAnsi="华文仿宋" w:cs="华文仿宋"/>
          <w:color w:val="auto"/>
        </w:rPr>
        <w:t>&gt;</w:t>
      </w:r>
      <w:r>
        <w:rPr>
          <w:rFonts w:hint="eastAsia" w:ascii="华文仿宋" w:hAnsi="华文仿宋" w:cs="华文仿宋"/>
          <w:color w:val="auto"/>
          <w:lang w:val="en-US" w:eastAsia="zh-CN"/>
        </w:rPr>
        <w:t>招标文件领取</w:t>
      </w:r>
      <w:r>
        <w:rPr>
          <w:rFonts w:hint="eastAsia" w:ascii="华文仿宋" w:hAnsi="华文仿宋" w:cs="华文仿宋"/>
          <w:color w:val="auto"/>
        </w:rPr>
        <w:t>”免费下载电子招标文件。</w:t>
      </w:r>
    </w:p>
    <w:p w14:paraId="38A00F71">
      <w:pPr>
        <w:spacing w:line="500" w:lineRule="exact"/>
        <w:ind w:firstLine="566" w:firstLineChars="200"/>
        <w:rPr>
          <w:rFonts w:ascii="华文仿宋" w:cs="Times New Roman"/>
          <w:color w:val="auto"/>
        </w:rPr>
      </w:pPr>
      <w:r>
        <w:rPr>
          <w:rFonts w:hint="eastAsia" w:ascii="仿宋" w:hAnsi="仿宋" w:eastAsia="仿宋" w:cs="仿宋"/>
          <w:color w:val="auto"/>
        </w:rPr>
        <w:t>2</w:t>
      </w:r>
      <w:r>
        <w:rPr>
          <w:rFonts w:hint="eastAsia" w:ascii="华文仿宋" w:hAnsi="华文仿宋" w:eastAsia="仿宋" w:cs="华文仿宋"/>
          <w:color w:val="auto"/>
          <w:lang w:val="en-US" w:eastAsia="zh-CN"/>
        </w:rPr>
        <w:t>.</w:t>
      </w:r>
      <w:r>
        <w:rPr>
          <w:rFonts w:hint="eastAsia" w:ascii="华文仿宋" w:hAnsi="华文仿宋" w:cs="华文仿宋"/>
          <w:color w:val="auto"/>
        </w:rPr>
        <w:t>投标人初次使用交易平台，须先完成诚信入库登记、数字认证证书（</w:t>
      </w:r>
      <w:r>
        <w:rPr>
          <w:rFonts w:hint="eastAsia" w:ascii="仿宋" w:hAnsi="仿宋" w:eastAsia="仿宋" w:cs="仿宋"/>
          <w:color w:val="auto"/>
        </w:rPr>
        <w:t>CA</w:t>
      </w:r>
      <w:r>
        <w:rPr>
          <w:rFonts w:hint="eastAsia" w:ascii="华文仿宋" w:hAnsi="华文仿宋" w:cs="华文仿宋"/>
          <w:color w:val="auto"/>
        </w:rPr>
        <w:t>锁）认证及企业信息绑定。相关操作流程详见全国公共资源交易平台（陕西省·延安市）网站〖首页·〉服务指南·〉下载专区〗中的《延安市公共资源交易中心政府采购电子招投标全流程操作手册》。</w:t>
      </w:r>
    </w:p>
    <w:p w14:paraId="6F888CB4">
      <w:pPr>
        <w:wordWrap w:val="0"/>
        <w:spacing w:line="500" w:lineRule="exact"/>
        <w:ind w:firstLine="566" w:firstLineChars="200"/>
        <w:rPr>
          <w:rFonts w:ascii="仿宋" w:hAnsi="仿宋" w:eastAsia="仿宋" w:cs="Times New Roman"/>
          <w:color w:val="auto"/>
        </w:rPr>
      </w:pPr>
      <w:r>
        <w:rPr>
          <w:rFonts w:hint="eastAsia" w:ascii="仿宋" w:hAnsi="仿宋" w:eastAsia="仿宋" w:cs="仿宋"/>
          <w:color w:val="auto"/>
        </w:rPr>
        <w:t>3</w:t>
      </w:r>
      <w:r>
        <w:rPr>
          <w:rFonts w:hint="eastAsia" w:ascii="华文仿宋" w:hAnsi="华文仿宋" w:eastAsia="仿宋" w:cs="华文仿宋"/>
          <w:color w:val="auto"/>
          <w:lang w:val="en-US" w:eastAsia="zh-CN"/>
        </w:rPr>
        <w:t>.</w:t>
      </w:r>
      <w:r>
        <w:rPr>
          <w:rFonts w:hint="eastAsia" w:ascii="华文仿宋" w:hAnsi="华文仿宋" w:cs="华文仿宋"/>
          <w:color w:val="auto"/>
        </w:rPr>
        <w:t>数字认证证书（</w:t>
      </w:r>
      <w:r>
        <w:rPr>
          <w:rFonts w:hint="eastAsia" w:ascii="仿宋" w:hAnsi="仿宋" w:eastAsia="仿宋" w:cs="仿宋"/>
          <w:color w:val="auto"/>
        </w:rPr>
        <w:t>CA</w:t>
      </w:r>
      <w:r>
        <w:rPr>
          <w:rFonts w:hint="eastAsia" w:ascii="华文仿宋" w:hAnsi="华文仿宋" w:cs="华文仿宋"/>
          <w:color w:val="auto"/>
        </w:rPr>
        <w:t>锁）办理流程可参照https://www.snca.com.cn/notice/show/</w:t>
      </w:r>
      <w:r>
        <w:rPr>
          <w:rFonts w:hint="eastAsia" w:ascii="仿宋" w:hAnsi="仿宋" w:eastAsia="仿宋" w:cs="仿宋"/>
          <w:color w:val="auto"/>
        </w:rPr>
        <w:t>533</w:t>
      </w:r>
      <w:r>
        <w:rPr>
          <w:rFonts w:hint="eastAsia" w:ascii="华文仿宋" w:hAnsi="华文仿宋" w:cs="华文仿宋"/>
          <w:color w:val="auto"/>
        </w:rPr>
        <w:t>.html</w:t>
      </w:r>
      <w:r>
        <w:rPr>
          <w:rFonts w:hint="eastAsia" w:ascii="仿宋" w:hAnsi="仿宋" w:eastAsia="仿宋" w:cs="仿宋"/>
          <w:color w:val="auto"/>
        </w:rPr>
        <w:t>，</w:t>
      </w:r>
      <w:r>
        <w:rPr>
          <w:rFonts w:hint="eastAsia" w:ascii="华文仿宋" w:hAnsi="华文仿宋" w:cs="华文仿宋"/>
          <w:color w:val="auto"/>
        </w:rPr>
        <w:t>现场办理地址：延安市新区为民服务中心南区东楼（7号楼）A2楼，咨询电话：</w:t>
      </w:r>
      <w:r>
        <w:rPr>
          <w:rFonts w:ascii="仿宋" w:hAnsi="仿宋" w:eastAsia="仿宋" w:cs="仿宋"/>
          <w:color w:val="auto"/>
        </w:rPr>
        <w:t>0</w:t>
      </w:r>
      <w:r>
        <w:rPr>
          <w:rFonts w:hint="eastAsia" w:ascii="仿宋" w:hAnsi="仿宋" w:eastAsia="仿宋" w:cs="仿宋"/>
          <w:color w:val="auto"/>
          <w:lang w:val="en-US" w:eastAsia="zh-CN"/>
        </w:rPr>
        <w:t>911</w:t>
      </w:r>
      <w:r>
        <w:rPr>
          <w:rFonts w:ascii="仿宋" w:hAnsi="仿宋" w:eastAsia="仿宋" w:cs="仿宋"/>
          <w:color w:val="auto"/>
        </w:rPr>
        <w:t>-</w:t>
      </w:r>
      <w:r>
        <w:rPr>
          <w:rFonts w:hint="eastAsia" w:ascii="仿宋" w:hAnsi="仿宋" w:eastAsia="仿宋" w:cs="仿宋"/>
          <w:color w:val="auto"/>
          <w:lang w:val="en-US" w:eastAsia="zh-CN"/>
        </w:rPr>
        <w:t>2162266</w:t>
      </w:r>
      <w:r>
        <w:rPr>
          <w:rFonts w:hint="eastAsia" w:ascii="华文仿宋" w:hAnsi="华文仿宋" w:cs="华文仿宋"/>
          <w:color w:val="auto"/>
        </w:rPr>
        <w:t>。</w:t>
      </w:r>
    </w:p>
    <w:p w14:paraId="3AC0D9E4">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rPr>
        <w:t>4</w:t>
      </w:r>
      <w:r>
        <w:rPr>
          <w:rFonts w:hint="eastAsia" w:ascii="仿宋" w:hAnsi="仿宋" w:eastAsia="仿宋" w:cs="仿宋"/>
          <w:b/>
          <w:bCs/>
          <w:color w:val="auto"/>
          <w:lang w:val="en-US" w:eastAsia="zh-CN"/>
        </w:rPr>
        <w:t>.</w:t>
      </w:r>
      <w:r>
        <w:rPr>
          <w:rFonts w:hint="eastAsia" w:ascii="仿宋" w:hAnsi="仿宋" w:eastAsia="仿宋" w:cs="仿宋"/>
          <w:b/>
          <w:bCs/>
          <w:color w:val="auto"/>
        </w:rPr>
        <w:t>获</w:t>
      </w:r>
      <w:r>
        <w:rPr>
          <w:rFonts w:hint="eastAsia" w:ascii="仿宋" w:hAnsi="仿宋" w:eastAsia="仿宋" w:cs="仿宋"/>
          <w:b/>
          <w:bCs/>
          <w:color w:val="auto"/>
          <w:highlight w:val="none"/>
        </w:rPr>
        <w:t>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9</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28</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12</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rPr>
        <w:t>:00至12:00:00，下午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30</w:t>
      </w:r>
      <w:r>
        <w:rPr>
          <w:rFonts w:hint="eastAsia" w:ascii="仿宋" w:hAnsi="仿宋" w:eastAsia="仿宋" w:cs="仿宋"/>
          <w:b/>
          <w:bCs/>
          <w:color w:val="auto"/>
          <w:highlight w:val="none"/>
        </w:rPr>
        <w:t>:00至1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0:00（北京时间,法定节假日除外）</w:t>
      </w:r>
    </w:p>
    <w:p w14:paraId="209943AE">
      <w:pPr>
        <w:spacing w:line="500" w:lineRule="exact"/>
        <w:ind w:firstLine="566" w:firstLineChars="200"/>
        <w:rPr>
          <w:rFonts w:ascii="华文仿宋" w:cs="Times New Roman"/>
          <w:color w:val="auto"/>
          <w:highlight w:val="none"/>
          <w:lang w:val="zh-CN"/>
        </w:rPr>
      </w:pPr>
      <w:r>
        <w:rPr>
          <w:rFonts w:hint="eastAsia" w:ascii="华文仿宋" w:hAnsi="华文仿宋" w:cs="华文仿宋"/>
          <w:b/>
          <w:bCs/>
          <w:color w:val="auto"/>
          <w:highlight w:val="none"/>
        </w:rPr>
        <w:t>十三、投标保证金的交纳</w:t>
      </w:r>
    </w:p>
    <w:p w14:paraId="6A856E2A">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本项目不收取投标保证金。</w:t>
      </w:r>
    </w:p>
    <w:p w14:paraId="312A09DF">
      <w:pPr>
        <w:spacing w:line="500" w:lineRule="exact"/>
        <w:ind w:firstLine="566" w:firstLineChars="200"/>
        <w:rPr>
          <w:rFonts w:cs="Times New Roman"/>
          <w:color w:val="auto"/>
          <w:highlight w:val="none"/>
        </w:rPr>
      </w:pPr>
      <w:r>
        <w:rPr>
          <w:rFonts w:hint="eastAsia" w:cs="华文仿宋"/>
          <w:b/>
          <w:bCs/>
          <w:color w:val="auto"/>
          <w:highlight w:val="none"/>
          <w:lang w:val="en-US" w:eastAsia="zh-CN"/>
        </w:rPr>
        <w:t>十四、</w:t>
      </w:r>
      <w:r>
        <w:rPr>
          <w:rFonts w:hint="eastAsia" w:cs="华文仿宋"/>
          <w:b/>
          <w:bCs/>
          <w:color w:val="auto"/>
          <w:highlight w:val="none"/>
        </w:rPr>
        <w:t>提交投标文件截止时间及开标时间和地点</w:t>
      </w:r>
    </w:p>
    <w:p w14:paraId="2F4F144E">
      <w:pPr>
        <w:spacing w:line="500" w:lineRule="exact"/>
        <w:ind w:firstLine="566" w:firstLineChars="200"/>
        <w:rPr>
          <w:rFonts w:cs="Times New Roman"/>
          <w:color w:val="auto"/>
          <w:highlight w:val="none"/>
        </w:rPr>
      </w:pP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eastAsia="zh-CN"/>
        </w:rPr>
        <w:t>.</w:t>
      </w:r>
      <w:r>
        <w:rPr>
          <w:rFonts w:hint="eastAsia" w:cs="华文仿宋"/>
          <w:b/>
          <w:bCs/>
          <w:color w:val="auto"/>
          <w:highlight w:val="none"/>
        </w:rPr>
        <w:t>提交投标文件：电子投标文件一份</w:t>
      </w:r>
      <w:r>
        <w:rPr>
          <w:rFonts w:hint="eastAsia" w:cs="华文仿宋"/>
          <w:color w:val="auto"/>
          <w:highlight w:val="none"/>
        </w:rPr>
        <w:t>。</w:t>
      </w:r>
    </w:p>
    <w:p w14:paraId="5CD7A692">
      <w:pPr>
        <w:spacing w:line="500" w:lineRule="exact"/>
        <w:ind w:firstLine="566" w:firstLineChars="200"/>
        <w:rPr>
          <w:rFonts w:cs="Times New Roman"/>
          <w:color w:val="auto"/>
          <w:highlight w:val="none"/>
        </w:rPr>
      </w:pPr>
      <w:r>
        <w:rPr>
          <w:rFonts w:hint="eastAsia" w:cs="华文仿宋"/>
          <w:color w:val="auto"/>
          <w:highlight w:val="none"/>
        </w:rPr>
        <w:t>电子投标文件（</w:t>
      </w:r>
      <w:r>
        <w:rPr>
          <w:color w:val="auto"/>
          <w:highlight w:val="none"/>
        </w:rPr>
        <w:t>*</w:t>
      </w:r>
      <w:r>
        <w:rPr>
          <w:rFonts w:hint="eastAsia" w:ascii="仿宋" w:hAnsi="仿宋" w:eastAsia="仿宋" w:cs="仿宋"/>
          <w:color w:val="auto"/>
          <w:highlight w:val="none"/>
        </w:rPr>
        <w:t>.SXSTF</w:t>
      </w:r>
      <w:r>
        <w:rPr>
          <w:rFonts w:hint="eastAsia" w:cs="华文仿宋"/>
          <w:color w:val="auto"/>
          <w:highlight w:val="none"/>
        </w:rPr>
        <w:t>）可于提交投标文件截止时间前任意时段登录全国公共资源交易平台（陕西省</w:t>
      </w:r>
      <w:r>
        <w:rPr>
          <w:rFonts w:hint="eastAsia" w:ascii="华文仿宋" w:hAnsi="华文仿宋" w:cs="华文仿宋"/>
          <w:color w:val="auto"/>
          <w:highlight w:val="none"/>
        </w:rPr>
        <w:t>·延安市</w:t>
      </w:r>
      <w:r>
        <w:rPr>
          <w:rFonts w:hint="eastAsia" w:cs="华文仿宋"/>
          <w:color w:val="auto"/>
          <w:highlight w:val="none"/>
        </w:rPr>
        <w:t>）网站进行提交，逾期系统将拒绝接收。</w:t>
      </w:r>
    </w:p>
    <w:p w14:paraId="30F3CE39">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2</w:t>
      </w:r>
      <w:r>
        <w:rPr>
          <w:rFonts w:hint="eastAsia" w:ascii="仿宋" w:hAnsi="仿宋" w:eastAsia="仿宋" w:cs="仿宋"/>
          <w:b/>
          <w:bCs/>
          <w:color w:val="auto"/>
          <w:highlight w:val="none"/>
          <w:lang w:val="en-US" w:eastAsia="zh-CN"/>
        </w:rPr>
        <w:t>.</w:t>
      </w:r>
      <w:r>
        <w:rPr>
          <w:rFonts w:hint="eastAsia" w:cs="华文仿宋"/>
          <w:b/>
          <w:bCs/>
          <w:color w:val="auto"/>
          <w:highlight w:val="none"/>
        </w:rPr>
        <w:t>提交投标文件截止时间：</w:t>
      </w:r>
      <w:r>
        <w:rPr>
          <w:rFonts w:hint="eastAsia" w:ascii="仿宋" w:hAnsi="仿宋" w:eastAsia="仿宋" w:cs="仿宋"/>
          <w:b/>
          <w:bCs/>
          <w:color w:val="auto"/>
          <w:highlight w:val="none"/>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21</w:t>
      </w:r>
      <w:r>
        <w:rPr>
          <w:rFonts w:hint="eastAsia" w:ascii="仿宋" w:hAnsi="仿宋" w:eastAsia="仿宋" w:cs="仿宋"/>
          <w:b/>
          <w:bCs/>
          <w:color w:val="auto"/>
          <w:highlight w:val="none"/>
        </w:rPr>
        <w:t>日</w:t>
      </w:r>
      <w:r>
        <w:rPr>
          <w:rFonts w:hint="eastAsia" w:ascii="仿宋" w:hAnsi="仿宋" w:eastAsia="仿宋" w:cs="仿宋"/>
          <w:b/>
          <w:bCs/>
          <w:color w:val="auto"/>
          <w:highlight w:val="none"/>
          <w:lang w:val="en-US" w:eastAsia="zh-CN"/>
        </w:rPr>
        <w:t xml:space="preserve"> 09</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w:t>
      </w:r>
    </w:p>
    <w:p w14:paraId="408E3BA3">
      <w:pPr>
        <w:spacing w:line="500" w:lineRule="exact"/>
        <w:ind w:firstLine="566" w:firstLineChars="200"/>
        <w:rPr>
          <w:rFonts w:cs="Times New Roman"/>
          <w:b/>
          <w:bCs/>
          <w:color w:val="auto"/>
          <w:highlight w:val="none"/>
        </w:rPr>
      </w:pPr>
      <w:r>
        <w:rPr>
          <w:rFonts w:hint="eastAsia" w:ascii="仿宋" w:hAnsi="仿宋" w:eastAsia="仿宋" w:cs="仿宋"/>
          <w:b/>
          <w:bCs/>
          <w:color w:val="auto"/>
          <w:highlight w:val="none"/>
        </w:rPr>
        <w:t>3</w:t>
      </w:r>
      <w:r>
        <w:rPr>
          <w:rFonts w:hint="eastAsia" w:ascii="仿宋" w:hAnsi="仿宋" w:eastAsia="仿宋" w:cs="仿宋"/>
          <w:b/>
          <w:bCs/>
          <w:color w:val="auto"/>
          <w:highlight w:val="none"/>
          <w:lang w:val="en-US" w:eastAsia="zh-CN"/>
        </w:rPr>
        <w:t>.</w:t>
      </w:r>
      <w:r>
        <w:rPr>
          <w:rFonts w:hint="eastAsia" w:cs="华文仿宋"/>
          <w:b/>
          <w:bCs/>
          <w:color w:val="auto"/>
          <w:highlight w:val="none"/>
        </w:rPr>
        <w:t>开标时间：同提交投标文件截止时间</w:t>
      </w:r>
    </w:p>
    <w:p w14:paraId="5AB9B45D">
      <w:pPr>
        <w:spacing w:line="500" w:lineRule="exact"/>
        <w:ind w:left="847" w:leftChars="201" w:hanging="279" w:hangingChars="99"/>
        <w:rPr>
          <w:rFonts w:hint="eastAsia" w:cs="华文仿宋"/>
          <w:color w:val="auto"/>
          <w:highlight w:val="none"/>
        </w:rPr>
      </w:pPr>
      <w:r>
        <w:rPr>
          <w:rFonts w:hint="eastAsia" w:ascii="仿宋" w:hAnsi="仿宋" w:eastAsia="仿宋" w:cs="仿宋"/>
          <w:b/>
          <w:bCs/>
          <w:color w:val="auto"/>
          <w:highlight w:val="none"/>
        </w:rPr>
        <w:t>4</w:t>
      </w:r>
      <w:r>
        <w:rPr>
          <w:rFonts w:hint="eastAsia" w:ascii="仿宋" w:hAnsi="仿宋" w:eastAsia="仿宋" w:cs="仿宋"/>
          <w:b/>
          <w:bCs/>
          <w:color w:val="auto"/>
          <w:highlight w:val="none"/>
          <w:lang w:val="en-US" w:eastAsia="zh-CN"/>
        </w:rPr>
        <w:t>.</w:t>
      </w:r>
      <w:r>
        <w:rPr>
          <w:rFonts w:hint="eastAsia" w:cs="华文仿宋"/>
          <w:b/>
          <w:bCs/>
          <w:color w:val="auto"/>
          <w:highlight w:val="none"/>
        </w:rPr>
        <w:t>开标地点：</w:t>
      </w:r>
      <w:r>
        <w:rPr>
          <w:rFonts w:hint="eastAsia" w:cs="华文仿宋"/>
          <w:color w:val="auto"/>
          <w:highlight w:val="none"/>
        </w:rPr>
        <w:t>延安市新区为民服务中心南区东楼二楼公共</w:t>
      </w:r>
      <w:r>
        <w:rPr>
          <w:rFonts w:hint="eastAsia" w:cs="华文仿宋"/>
          <w:color w:val="auto"/>
          <w:highlight w:val="none"/>
          <w:lang w:val="en-US" w:eastAsia="zh-CN"/>
        </w:rPr>
        <w:t>资源</w:t>
      </w:r>
      <w:r>
        <w:rPr>
          <w:rFonts w:hint="eastAsia" w:cs="华文仿宋"/>
          <w:color w:val="auto"/>
          <w:highlight w:val="none"/>
        </w:rPr>
        <w:t>交易中</w:t>
      </w:r>
    </w:p>
    <w:p w14:paraId="1E57D0F9">
      <w:pPr>
        <w:spacing w:line="500" w:lineRule="exact"/>
        <w:rPr>
          <w:rFonts w:hint="default" w:cs="华文仿宋"/>
          <w:color w:val="auto"/>
          <w:highlight w:val="none"/>
          <w:lang w:val="en-US"/>
        </w:rPr>
      </w:pPr>
      <w:r>
        <w:rPr>
          <w:rFonts w:hint="eastAsia" w:cs="华文仿宋"/>
          <w:color w:val="auto"/>
          <w:highlight w:val="none"/>
        </w:rPr>
        <w:t>心</w:t>
      </w:r>
      <w:r>
        <w:rPr>
          <w:rFonts w:hint="eastAsia" w:cs="华文仿宋"/>
          <w:color w:val="auto"/>
          <w:highlight w:val="none"/>
          <w:lang w:val="en-US" w:eastAsia="zh-CN"/>
        </w:rPr>
        <w:t>开标6室</w:t>
      </w:r>
    </w:p>
    <w:p w14:paraId="624ED2E0">
      <w:pPr>
        <w:pStyle w:val="27"/>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ind w:firstLine="566"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5</w:t>
      </w:r>
      <w:r>
        <w:rPr>
          <w:rFonts w:hint="eastAsia" w:ascii="仿宋" w:hAnsi="仿宋" w:eastAsia="仿宋" w:cs="仿宋"/>
          <w:b/>
          <w:bCs/>
          <w:color w:val="auto"/>
          <w:sz w:val="28"/>
          <w:szCs w:val="28"/>
          <w:highlight w:val="none"/>
          <w:lang w:val="en-US" w:eastAsia="zh-CN"/>
        </w:rPr>
        <w:t>.评标地点：</w:t>
      </w:r>
      <w:r>
        <w:rPr>
          <w:rFonts w:hint="eastAsia" w:ascii="仿宋" w:hAnsi="仿宋" w:eastAsia="仿宋" w:cs="仿宋"/>
          <w:b w:val="0"/>
          <w:bCs w:val="0"/>
          <w:color w:val="auto"/>
          <w:sz w:val="28"/>
          <w:szCs w:val="28"/>
          <w:highlight w:val="none"/>
          <w:lang w:val="en-US" w:eastAsia="zh-CN"/>
        </w:rPr>
        <w:t>延安市新区为民服务中心南区东楼二楼公共资源交易中心评标室</w:t>
      </w:r>
    </w:p>
    <w:p w14:paraId="1B96E96A">
      <w:pPr>
        <w:pStyle w:val="27"/>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ind w:firstLine="566" w:firstLineChars="200"/>
        <w:rPr>
          <w:rFonts w:hint="eastAsia" w:ascii="华文仿宋" w:hAnsi="华文仿宋" w:cs="华文仿宋"/>
          <w:b w:val="0"/>
          <w:bCs w:val="0"/>
          <w:color w:val="auto"/>
          <w:sz w:val="28"/>
          <w:szCs w:val="28"/>
        </w:rPr>
      </w:pP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开标形式：</w:t>
      </w:r>
      <w:r>
        <w:rPr>
          <w:rFonts w:hint="eastAsia" w:ascii="华文仿宋" w:hAnsi="华文仿宋" w:cs="华文仿宋"/>
          <w:b/>
          <w:bCs/>
          <w:color w:val="auto"/>
          <w:sz w:val="28"/>
          <w:szCs w:val="28"/>
        </w:rPr>
        <w:t>本项目采用不见面开标方式。</w:t>
      </w:r>
      <w:r>
        <w:rPr>
          <w:rFonts w:hint="eastAsia" w:ascii="华文仿宋" w:hAnsi="华文仿宋" w:cs="华文仿宋"/>
          <w:b w:val="0"/>
          <w:bCs w:val="0"/>
          <w:color w:val="auto"/>
          <w:sz w:val="28"/>
          <w:szCs w:val="28"/>
        </w:rPr>
        <w:t>投标人需在开启前最少一个小时登录全国公共资源交易平台（陕西省·延安市）首页选择“不见面开标-</w:t>
      </w:r>
      <w:r>
        <w:rPr>
          <w:rFonts w:hint="eastAsia" w:ascii="华文仿宋" w:hAnsi="华文仿宋" w:cs="华文仿宋"/>
          <w:b w:val="0"/>
          <w:bCs w:val="0"/>
          <w:color w:val="auto"/>
          <w:sz w:val="28"/>
          <w:szCs w:val="28"/>
          <w:lang w:val="en-US" w:eastAsia="zh-CN"/>
        </w:rPr>
        <w:t>采购项目不见面开标大厅</w:t>
      </w:r>
      <w:r>
        <w:rPr>
          <w:rFonts w:hint="eastAsia" w:ascii="华文仿宋" w:hAnsi="华文仿宋" w:cs="华文仿宋"/>
          <w:b w:val="0"/>
          <w:bCs w:val="0"/>
          <w:color w:val="auto"/>
          <w:sz w:val="28"/>
          <w:szCs w:val="28"/>
        </w:rPr>
        <w:t>”自行调试，并按照工作人员要求进行</w:t>
      </w:r>
      <w:r>
        <w:rPr>
          <w:rFonts w:hint="eastAsia" w:ascii="华文仿宋" w:hAnsi="华文仿宋" w:cs="华文仿宋"/>
          <w:b w:val="0"/>
          <w:bCs w:val="0"/>
          <w:color w:val="auto"/>
          <w:sz w:val="28"/>
          <w:szCs w:val="28"/>
          <w:lang w:val="en-US" w:eastAsia="zh-CN"/>
        </w:rPr>
        <w:t>投</w:t>
      </w:r>
      <w:r>
        <w:rPr>
          <w:rFonts w:hint="eastAsia" w:ascii="华文仿宋" w:hAnsi="华文仿宋" w:cs="华文仿宋"/>
          <w:b w:val="0"/>
          <w:bCs w:val="0"/>
          <w:color w:val="auto"/>
          <w:sz w:val="28"/>
          <w:szCs w:val="28"/>
        </w:rPr>
        <w:t>标文件解密</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如遇困难，请拨打系统平台技术支持电话：</w:t>
      </w:r>
    </w:p>
    <w:p w14:paraId="50A7AFAF">
      <w:pPr>
        <w:pStyle w:val="27"/>
        <w:keepNext w:val="0"/>
        <w:keepLines w:val="0"/>
        <w:pageBreakBefore w:val="0"/>
        <w:widowControl/>
        <w:numPr>
          <w:ilvl w:val="255"/>
          <w:numId w:val="0"/>
        </w:numPr>
        <w:kinsoku/>
        <w:wordWrap w:val="0"/>
        <w:overflowPunct/>
        <w:topLinePunct w:val="0"/>
        <w:autoSpaceDE/>
        <w:autoSpaceDN/>
        <w:bidi w:val="0"/>
        <w:adjustRightInd/>
        <w:snapToGrid/>
        <w:spacing w:afterLines="0" w:line="500" w:lineRule="exact"/>
        <w:rPr>
          <w:rFonts w:ascii="华文仿宋" w:hAnsi="华文仿宋" w:cs="华文仿宋"/>
          <w:color w:val="auto"/>
          <w:sz w:val="28"/>
          <w:szCs w:val="28"/>
        </w:rPr>
      </w:pPr>
      <w:r>
        <w:rPr>
          <w:rFonts w:hint="eastAsia" w:ascii="华文仿宋" w:hAnsi="华文仿宋" w:cs="华文仿宋"/>
          <w:b/>
          <w:bCs/>
          <w:color w:val="auto"/>
          <w:sz w:val="28"/>
          <w:szCs w:val="28"/>
        </w:rPr>
        <w:t>051258188039。</w:t>
      </w:r>
    </w:p>
    <w:p w14:paraId="04257497">
      <w:pPr>
        <w:keepNext w:val="0"/>
        <w:keepLines w:val="0"/>
        <w:pageBreakBefore w:val="0"/>
        <w:widowControl/>
        <w:kinsoku/>
        <w:overflowPunct/>
        <w:topLinePunct w:val="0"/>
        <w:autoSpaceDE/>
        <w:autoSpaceDN/>
        <w:bidi w:val="0"/>
        <w:adjustRightInd/>
        <w:snapToGrid/>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开标时，投标人应按照工作人员要求进行远程解密，如因投标人自身原因，在规定时间内未完成投标文件解密，按无效投标对待。</w:t>
      </w:r>
    </w:p>
    <w:p w14:paraId="34675F66">
      <w:pPr>
        <w:pStyle w:val="27"/>
        <w:keepNext w:val="0"/>
        <w:keepLines w:val="0"/>
        <w:pageBreakBefore w:val="0"/>
        <w:widowControl/>
        <w:kinsoku/>
        <w:wordWrap w:val="0"/>
        <w:overflowPunct/>
        <w:topLinePunct w:val="0"/>
        <w:autoSpaceDE/>
        <w:autoSpaceDN/>
        <w:bidi w:val="0"/>
        <w:adjustRightInd/>
        <w:snapToGrid/>
        <w:spacing w:afterLines="0" w:line="500" w:lineRule="exact"/>
        <w:ind w:left="0" w:leftChars="0" w:firstLine="426" w:firstLineChars="200"/>
        <w:rPr>
          <w:rFonts w:ascii="宋体" w:hAnsi="宋体" w:eastAsia="宋体" w:cs="宋体"/>
          <w:color w:val="auto"/>
          <w:sz w:val="21"/>
          <w:szCs w:val="21"/>
        </w:rPr>
      </w:pPr>
      <w:r>
        <w:rPr>
          <w:rFonts w:hint="eastAsia" w:ascii="宋体" w:hAnsi="宋体" w:eastAsia="宋体" w:cs="宋体"/>
          <w:color w:val="auto"/>
          <w:sz w:val="21"/>
          <w:szCs w:val="21"/>
        </w:rPr>
        <w:t>备注：1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相关操作流程详见全国公共资源交易平台（陕西省·延安市）网站〖首页·〉服务指南·〉下载专区〗中的《延安市公共资源交易中心政府采购电子招投标全流程操作手册（供应商版）》。</w:t>
      </w:r>
    </w:p>
    <w:p w14:paraId="44B31B8E">
      <w:pPr>
        <w:pStyle w:val="27"/>
        <w:keepNext w:val="0"/>
        <w:keepLines w:val="0"/>
        <w:pageBreakBefore w:val="0"/>
        <w:widowControl/>
        <w:kinsoku/>
        <w:wordWrap w:val="0"/>
        <w:overflowPunct/>
        <w:topLinePunct w:val="0"/>
        <w:autoSpaceDE/>
        <w:autoSpaceDN/>
        <w:bidi w:val="0"/>
        <w:adjustRightInd/>
        <w:snapToGrid/>
        <w:spacing w:afterLines="0" w:line="500" w:lineRule="exact"/>
        <w:ind w:firstLine="426" w:firstLineChars="200"/>
        <w:rPr>
          <w:rFonts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“规定时间”由现场工作人员具体确定。</w:t>
      </w:r>
    </w:p>
    <w:p w14:paraId="3AA68D2E">
      <w:pPr>
        <w:spacing w:line="500" w:lineRule="exact"/>
        <w:ind w:firstLine="566" w:firstLineChars="200"/>
        <w:rPr>
          <w:rFonts w:hint="eastAsia" w:eastAsia="华文仿宋"/>
          <w:b/>
          <w:bCs/>
          <w:color w:val="auto"/>
          <w:lang w:eastAsia="zh-CN"/>
        </w:rPr>
      </w:pPr>
      <w:r>
        <w:rPr>
          <w:rFonts w:hint="eastAsia"/>
          <w:b/>
          <w:bCs/>
          <w:color w:val="auto"/>
        </w:rPr>
        <w:t>十</w:t>
      </w:r>
      <w:r>
        <w:rPr>
          <w:rFonts w:hint="eastAsia"/>
          <w:b/>
          <w:bCs/>
          <w:color w:val="auto"/>
          <w:lang w:val="en-US" w:eastAsia="zh-CN"/>
        </w:rPr>
        <w:t>五</w:t>
      </w:r>
      <w:r>
        <w:rPr>
          <w:rFonts w:hint="eastAsia"/>
          <w:b/>
          <w:bCs/>
          <w:color w:val="auto"/>
        </w:rPr>
        <w:t>、采购代理机构收费标准：免费</w:t>
      </w:r>
      <w:r>
        <w:rPr>
          <w:rFonts w:hint="eastAsia"/>
          <w:b/>
          <w:bCs/>
          <w:color w:val="auto"/>
          <w:lang w:eastAsia="zh-CN"/>
        </w:rPr>
        <w:t>。</w:t>
      </w:r>
    </w:p>
    <w:p w14:paraId="581716A4">
      <w:pPr>
        <w:spacing w:line="500" w:lineRule="exact"/>
        <w:ind w:firstLine="566" w:firstLineChars="200"/>
        <w:rPr>
          <w:b/>
          <w:bCs/>
          <w:color w:val="auto"/>
        </w:rPr>
      </w:pPr>
      <w:bookmarkStart w:id="28" w:name="_Toc22849_WPSOffice_Level2"/>
      <w:bookmarkEnd w:id="28"/>
      <w:bookmarkStart w:id="29" w:name="_Toc10758_WPSOffice_Level2"/>
      <w:bookmarkEnd w:id="29"/>
      <w:bookmarkStart w:id="30" w:name="_Toc20005"/>
      <w:bookmarkEnd w:id="30"/>
      <w:bookmarkStart w:id="31" w:name="_Toc17917"/>
      <w:bookmarkEnd w:id="31"/>
      <w:bookmarkStart w:id="32" w:name="_Toc14110_WPSOffice_Level2"/>
      <w:bookmarkEnd w:id="32"/>
      <w:r>
        <w:rPr>
          <w:rFonts w:hint="eastAsia"/>
          <w:b/>
          <w:bCs/>
          <w:color w:val="auto"/>
        </w:rPr>
        <w:t>十</w:t>
      </w:r>
      <w:r>
        <w:rPr>
          <w:rFonts w:hint="eastAsia"/>
          <w:b/>
          <w:bCs/>
          <w:color w:val="auto"/>
          <w:lang w:val="en-US" w:eastAsia="zh-CN"/>
        </w:rPr>
        <w:t>六</w:t>
      </w:r>
      <w:r>
        <w:rPr>
          <w:rFonts w:hint="eastAsia"/>
          <w:b/>
          <w:bCs/>
          <w:color w:val="auto"/>
        </w:rPr>
        <w:t>、公告期自发布之日起</w:t>
      </w:r>
      <w:r>
        <w:rPr>
          <w:rFonts w:hint="eastAsia" w:ascii="宋体" w:hAnsi="宋体" w:eastAsia="宋体" w:cs="宋体"/>
          <w:b/>
          <w:bCs/>
          <w:color w:val="auto"/>
          <w:lang w:val="en-US" w:eastAsia="zh-CN"/>
        </w:rPr>
        <w:t>7</w:t>
      </w:r>
      <w:r>
        <w:rPr>
          <w:rFonts w:hint="eastAsia"/>
          <w:b/>
          <w:bCs/>
          <w:color w:val="auto"/>
        </w:rPr>
        <w:t>个工作日。</w:t>
      </w:r>
    </w:p>
    <w:p w14:paraId="6FB0A84E">
      <w:pPr>
        <w:spacing w:before="190" w:beforeLines="50" w:line="500" w:lineRule="exact"/>
        <w:ind w:firstLine="566" w:firstLineChars="200"/>
        <w:rPr>
          <w:rFonts w:hint="eastAsia" w:ascii="宋体" w:hAnsi="宋体" w:eastAsia="宋体" w:cs="宋体"/>
          <w:b/>
          <w:bCs/>
          <w:color w:val="auto"/>
        </w:rPr>
      </w:pPr>
    </w:p>
    <w:p w14:paraId="2F091685">
      <w:pPr>
        <w:spacing w:before="190" w:beforeLines="50" w:line="500" w:lineRule="exact"/>
        <w:ind w:firstLine="566" w:firstLineChars="200"/>
        <w:rPr>
          <w:color w:val="auto"/>
        </w:rPr>
      </w:pPr>
      <w:r>
        <w:rPr>
          <w:rFonts w:hint="eastAsia" w:ascii="宋体" w:hAnsi="宋体" w:eastAsia="宋体" w:cs="宋体"/>
          <w:b/>
          <w:bCs/>
          <w:color w:val="auto"/>
        </w:rPr>
        <w:t>特别提醒：</w:t>
      </w:r>
    </w:p>
    <w:p w14:paraId="2D1CE647">
      <w:pPr>
        <w:wordWrap w:val="0"/>
        <w:spacing w:line="500" w:lineRule="exact"/>
        <w:ind w:firstLine="426" w:firstLineChars="200"/>
        <w:rPr>
          <w:rFonts w:ascii="宋体" w:hAnsi="宋体" w:eastAsia="宋体" w:cs="宋体"/>
          <w:b/>
          <w:bCs/>
          <w:color w:val="auto"/>
          <w:sz w:val="21"/>
          <w:szCs w:val="21"/>
        </w:rPr>
      </w:pPr>
      <w:bookmarkStart w:id="33" w:name="_Toc495014919"/>
      <w:bookmarkStart w:id="34" w:name="_Toc495014610"/>
      <w:bookmarkStart w:id="35" w:name="_Toc495014584"/>
      <w:bookmarkStart w:id="36" w:name="_Toc445306492"/>
      <w:bookmarkStart w:id="37" w:name="_Toc16643"/>
      <w:bookmarkStart w:id="38" w:name="_Toc26954"/>
      <w:bookmarkStart w:id="39" w:name="_Toc495014953"/>
      <w:bookmarkStart w:id="40" w:name="_Toc8753"/>
      <w:bookmarkStart w:id="41" w:name="_Toc495012820"/>
      <w:bookmarkStart w:id="42" w:name="_Toc495012770"/>
      <w:bookmarkStart w:id="43" w:name="_Toc495014648"/>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本项目采用电子化投标及远程不见面开标方式。投标人须使用数字认证证书（CA锁）对电子投标文件进行签章、加密、递交及开标时解密等相关招投标事宜。开标前，投标人需登录网络开标大厅。开标时，按照工作人员要求进行远程解密，如因投标人自身原因造成无法解密投标文件，按无效投标对待。</w:t>
      </w:r>
    </w:p>
    <w:p w14:paraId="42CEB7FD">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制作电子投标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lang w:val="en-US" w:eastAsia="zh-CN"/>
        </w:rPr>
        <w:t>客户</w:t>
      </w:r>
      <w:r>
        <w:rPr>
          <w:rFonts w:hint="eastAsia" w:ascii="宋体" w:hAnsi="宋体" w:eastAsia="宋体" w:cs="宋体"/>
          <w:b/>
          <w:bCs/>
          <w:color w:val="auto"/>
          <w:sz w:val="21"/>
          <w:szCs w:val="21"/>
        </w:rPr>
        <w:t>端制作电子投标文件，制作扩展名为“.SXSTF”的电子投标文件。</w:t>
      </w:r>
    </w:p>
    <w:p w14:paraId="3EDF6E29">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递交电子投标文件。登录全国公共资源交易中心平台（陕西省·延安市）（http://ya.sxggzyjy.cn/），选择“电子交易平台—政府采购交易系统—企业端”进行登录，登录后选择“交易乙方”身份进入，进入菜单“</w:t>
      </w:r>
      <w:r>
        <w:rPr>
          <w:rFonts w:hint="eastAsia" w:ascii="宋体" w:hAnsi="宋体" w:eastAsia="宋体" w:cs="宋体"/>
          <w:b/>
          <w:bCs/>
          <w:color w:val="auto"/>
          <w:sz w:val="21"/>
          <w:szCs w:val="21"/>
          <w:lang w:val="en-US" w:eastAsia="zh-CN"/>
        </w:rPr>
        <w:t>政府采购</w:t>
      </w:r>
      <w:r>
        <w:rPr>
          <w:rFonts w:hint="eastAsia" w:ascii="宋体" w:hAnsi="宋体" w:eastAsia="宋体" w:cs="宋体"/>
          <w:b/>
          <w:bCs/>
          <w:color w:val="auto"/>
          <w:sz w:val="21"/>
          <w:szCs w:val="21"/>
        </w:rPr>
        <w:t>—我的项目—项目流程—上传</w:t>
      </w:r>
      <w:r>
        <w:rPr>
          <w:rFonts w:hint="eastAsia" w:ascii="宋体" w:hAnsi="宋体" w:eastAsia="宋体" w:cs="宋体"/>
          <w:b/>
          <w:bCs/>
          <w:color w:val="auto"/>
          <w:sz w:val="21"/>
          <w:szCs w:val="21"/>
          <w:lang w:val="en-US" w:eastAsia="zh-CN"/>
        </w:rPr>
        <w:t>响应</w:t>
      </w:r>
      <w:r>
        <w:rPr>
          <w:rFonts w:hint="eastAsia" w:ascii="宋体" w:hAnsi="宋体" w:eastAsia="宋体" w:cs="宋体"/>
          <w:b/>
          <w:bCs/>
          <w:color w:val="auto"/>
          <w:sz w:val="21"/>
          <w:szCs w:val="21"/>
        </w:rPr>
        <w:t>文件”，上传加密的电子投标文件。上传成功后，电子化平台将予以记录。</w:t>
      </w:r>
    </w:p>
    <w:p w14:paraId="33ABAC92">
      <w:pPr>
        <w:wordWrap w:val="0"/>
        <w:spacing w:line="500" w:lineRule="exact"/>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4</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为了保证远程不见面开标顺利进行，投标人需使用配备音响和拾音设备的电脑提前1小时登录网络开标大厅（相关操作流程见本章第十四条第5款备注（1））。</w:t>
      </w:r>
    </w:p>
    <w:bookmarkEnd w:id="33"/>
    <w:bookmarkEnd w:id="34"/>
    <w:bookmarkEnd w:id="35"/>
    <w:bookmarkEnd w:id="36"/>
    <w:bookmarkEnd w:id="37"/>
    <w:bookmarkEnd w:id="38"/>
    <w:bookmarkEnd w:id="39"/>
    <w:bookmarkEnd w:id="40"/>
    <w:bookmarkEnd w:id="41"/>
    <w:bookmarkEnd w:id="42"/>
    <w:bookmarkEnd w:id="43"/>
    <w:p w14:paraId="13DDD183">
      <w:pPr>
        <w:pStyle w:val="2"/>
        <w:rPr>
          <w:rFonts w:cs="Times New Roman"/>
          <w:color w:val="auto"/>
        </w:rPr>
      </w:pPr>
      <w:bookmarkStart w:id="44" w:name="_Toc14432"/>
      <w:bookmarkEnd w:id="44"/>
      <w:bookmarkStart w:id="45" w:name="_Toc1044"/>
      <w:bookmarkEnd w:id="45"/>
      <w:bookmarkStart w:id="46" w:name="_Toc23988"/>
      <w:bookmarkEnd w:id="46"/>
      <w:bookmarkStart w:id="47" w:name="_Toc22925"/>
      <w:bookmarkEnd w:id="47"/>
      <w:bookmarkStart w:id="48" w:name="_Toc10152"/>
      <w:bookmarkEnd w:id="48"/>
      <w:bookmarkStart w:id="49" w:name="_Toc9792"/>
      <w:bookmarkEnd w:id="49"/>
      <w:bookmarkStart w:id="50" w:name="_Toc18479"/>
      <w:bookmarkEnd w:id="50"/>
      <w:bookmarkStart w:id="51" w:name="_Toc14373"/>
      <w:bookmarkEnd w:id="51"/>
      <w:r>
        <w:rPr>
          <w:rFonts w:hint="eastAsia" w:ascii="黑体" w:hAnsi="黑体" w:eastAsia="黑体" w:cs="黑体"/>
          <w:b w:val="0"/>
          <w:bCs w:val="0"/>
          <w:color w:val="auto"/>
          <w:sz w:val="32"/>
          <w:szCs w:val="32"/>
        </w:rPr>
        <w:br w:type="page"/>
      </w:r>
      <w:r>
        <w:rPr>
          <w:rFonts w:hint="eastAsia" w:ascii="黑体" w:hAnsi="黑体" w:eastAsia="黑体" w:cs="黑体"/>
          <w:b w:val="0"/>
          <w:bCs w:val="0"/>
          <w:color w:val="auto"/>
          <w:sz w:val="32"/>
          <w:szCs w:val="32"/>
        </w:rPr>
        <w:t>第二章  投标人须知</w:t>
      </w:r>
    </w:p>
    <w:p w14:paraId="0076D0F4">
      <w:pPr>
        <w:pStyle w:val="3"/>
        <w:spacing w:line="500" w:lineRule="exact"/>
        <w:ind w:firstLine="566" w:firstLineChars="200"/>
        <w:rPr>
          <w:rFonts w:ascii="华文仿宋" w:cs="Times New Roman"/>
          <w:color w:val="auto"/>
          <w:sz w:val="28"/>
          <w:szCs w:val="28"/>
        </w:rPr>
      </w:pPr>
      <w:bookmarkStart w:id="52" w:name="_Toc18994"/>
      <w:bookmarkEnd w:id="52"/>
      <w:bookmarkStart w:id="53" w:name="_Toc2124"/>
      <w:bookmarkEnd w:id="53"/>
      <w:bookmarkStart w:id="54" w:name="_Toc4935"/>
      <w:bookmarkEnd w:id="54"/>
      <w:bookmarkStart w:id="55" w:name="_Toc9277"/>
      <w:bookmarkEnd w:id="55"/>
      <w:bookmarkStart w:id="56" w:name="_Toc6447"/>
      <w:bookmarkEnd w:id="56"/>
      <w:bookmarkStart w:id="57" w:name="_Toc2341"/>
      <w:bookmarkEnd w:id="57"/>
      <w:bookmarkStart w:id="58" w:name="_Toc12398"/>
      <w:bookmarkEnd w:id="58"/>
      <w:bookmarkStart w:id="59" w:name="_Toc3177"/>
      <w:bookmarkEnd w:id="59"/>
      <w:bookmarkStart w:id="60" w:name="_Toc10543"/>
      <w:bookmarkEnd w:id="60"/>
      <w:bookmarkStart w:id="61" w:name="_Toc2084"/>
      <w:bookmarkEnd w:id="61"/>
      <w:r>
        <w:rPr>
          <w:rFonts w:hint="eastAsia" w:ascii="华文仿宋" w:hAnsi="华文仿宋" w:cs="华文仿宋"/>
          <w:color w:val="auto"/>
          <w:sz w:val="28"/>
          <w:szCs w:val="28"/>
        </w:rPr>
        <w:t>一、定义</w:t>
      </w:r>
    </w:p>
    <w:p w14:paraId="30FE17F7">
      <w:pPr>
        <w:numPr>
          <w:ilvl w:val="0"/>
          <w:numId w:val="0"/>
        </w:numPr>
        <w:spacing w:line="500" w:lineRule="exact"/>
        <w:ind w:leftChars="200"/>
        <w:rPr>
          <w:rFonts w:hint="default" w:ascii="华文仿宋" w:hAnsi="华文仿宋" w:eastAsia="华文仿宋" w:cs="华文仿宋"/>
          <w:color w:val="auto"/>
          <w:highlight w:val="none"/>
          <w:lang w:val="en-US" w:eastAsia="zh-CN"/>
        </w:rPr>
      </w:pPr>
      <w:r>
        <w:rPr>
          <w:rFonts w:hint="eastAsia" w:ascii="华文仿宋" w:hAnsi="华文仿宋" w:cs="华文仿宋"/>
          <w:color w:val="auto"/>
        </w:rPr>
        <w:t>（一）采购人</w:t>
      </w:r>
      <w:r>
        <w:rPr>
          <w:rFonts w:hint="eastAsia" w:ascii="华文仿宋" w:hAnsi="华文仿宋" w:cs="华文仿宋"/>
          <w:color w:val="auto"/>
          <w:highlight w:val="none"/>
        </w:rPr>
        <w:t>：</w:t>
      </w:r>
      <w:r>
        <w:rPr>
          <w:rFonts w:hint="eastAsia" w:ascii="华文仿宋" w:hAnsi="华文仿宋" w:cs="华文仿宋"/>
          <w:b w:val="0"/>
          <w:bCs w:val="0"/>
          <w:color w:val="auto"/>
          <w:highlight w:val="none"/>
          <w:lang w:val="en-US" w:eastAsia="zh-CN"/>
        </w:rPr>
        <w:t>延安市自然资源局</w:t>
      </w:r>
    </w:p>
    <w:p w14:paraId="054F7DF2">
      <w:pPr>
        <w:spacing w:line="500" w:lineRule="exact"/>
        <w:ind w:firstLine="566" w:firstLineChars="200"/>
        <w:rPr>
          <w:rFonts w:hint="eastAsia" w:ascii="华文仿宋" w:eastAsia="华文仿宋" w:cs="Times New Roman"/>
          <w:color w:val="auto"/>
          <w:highlight w:val="none"/>
          <w:lang w:eastAsia="zh-CN"/>
        </w:rPr>
      </w:pPr>
      <w:r>
        <w:rPr>
          <w:rFonts w:hint="eastAsia" w:ascii="华文仿宋" w:hAnsi="华文仿宋" w:cs="华文仿宋"/>
          <w:color w:val="auto"/>
          <w:highlight w:val="none"/>
        </w:rPr>
        <w:t>（二）监督机构：</w:t>
      </w:r>
      <w:r>
        <w:rPr>
          <w:rFonts w:hint="eastAsia" w:ascii="华文仿宋" w:hAnsi="华文仿宋" w:cs="华文仿宋"/>
          <w:color w:val="auto"/>
          <w:highlight w:val="none"/>
          <w:lang w:val="en-US" w:eastAsia="zh-CN"/>
        </w:rPr>
        <w:t>延安市财政局</w:t>
      </w:r>
    </w:p>
    <w:p w14:paraId="27031128">
      <w:pPr>
        <w:spacing w:line="500" w:lineRule="exact"/>
        <w:ind w:firstLine="566" w:firstLineChars="200"/>
        <w:rPr>
          <w:rFonts w:hint="eastAsia" w:ascii="华文仿宋" w:eastAsia="华文仿宋" w:cs="Times New Roman"/>
          <w:color w:val="auto"/>
          <w:lang w:eastAsia="zh-CN"/>
        </w:rPr>
      </w:pPr>
      <w:r>
        <w:rPr>
          <w:rFonts w:hint="eastAsia" w:ascii="华文仿宋" w:hAnsi="华文仿宋" w:cs="华文仿宋"/>
          <w:color w:val="auto"/>
          <w:highlight w:val="none"/>
        </w:rPr>
        <w:t>（三）采购代理机构：</w:t>
      </w:r>
      <w:r>
        <w:rPr>
          <w:rFonts w:hint="eastAsia" w:ascii="华文仿宋" w:hAnsi="华文仿宋" w:cs="华文仿宋"/>
          <w:color w:val="auto"/>
          <w:highlight w:val="none"/>
          <w:lang w:eastAsia="zh-CN"/>
        </w:rPr>
        <w:t>延安市公共资源</w:t>
      </w:r>
      <w:r>
        <w:rPr>
          <w:rFonts w:hint="eastAsia" w:ascii="华文仿宋" w:hAnsi="华文仿宋" w:cs="华文仿宋"/>
          <w:color w:val="auto"/>
          <w:lang w:eastAsia="zh-CN"/>
        </w:rPr>
        <w:t>交易中心（延安市市直单位政府采购中心）（</w:t>
      </w:r>
      <w:r>
        <w:rPr>
          <w:rFonts w:hint="eastAsia" w:ascii="华文仿宋" w:hAnsi="华文仿宋" w:cs="华文仿宋"/>
          <w:color w:val="auto"/>
          <w:lang w:val="en-US" w:eastAsia="zh-CN"/>
        </w:rPr>
        <w:t>以下简称：中心</w:t>
      </w:r>
      <w:r>
        <w:rPr>
          <w:rFonts w:hint="eastAsia" w:ascii="华文仿宋" w:hAnsi="华文仿宋" w:cs="华文仿宋"/>
          <w:color w:val="auto"/>
          <w:lang w:eastAsia="zh-CN"/>
        </w:rPr>
        <w:t>）</w:t>
      </w:r>
    </w:p>
    <w:p w14:paraId="5691311E">
      <w:pPr>
        <w:spacing w:line="500" w:lineRule="exact"/>
        <w:ind w:firstLine="566" w:firstLineChars="200"/>
        <w:rPr>
          <w:rFonts w:ascii="华文仿宋" w:cs="Times New Roman"/>
          <w:color w:val="auto"/>
        </w:rPr>
      </w:pPr>
      <w:r>
        <w:rPr>
          <w:rFonts w:hint="eastAsia" w:ascii="华文仿宋" w:hAnsi="华文仿宋" w:cs="华文仿宋"/>
          <w:color w:val="auto"/>
        </w:rPr>
        <w:t>（四）投标人：拟向采购人提供货物、工程或者服务的法人、其他组织或者自然人</w:t>
      </w:r>
    </w:p>
    <w:p w14:paraId="2602C5A2">
      <w:pPr>
        <w:pStyle w:val="3"/>
        <w:spacing w:line="500" w:lineRule="exact"/>
        <w:ind w:firstLine="566" w:firstLineChars="200"/>
        <w:rPr>
          <w:rFonts w:ascii="华文仿宋" w:cs="Times New Roman"/>
          <w:color w:val="auto"/>
          <w:sz w:val="28"/>
          <w:szCs w:val="28"/>
        </w:rPr>
      </w:pPr>
      <w:bookmarkStart w:id="62" w:name="_Toc29476"/>
      <w:bookmarkEnd w:id="62"/>
      <w:bookmarkStart w:id="63" w:name="_Toc16981"/>
      <w:bookmarkEnd w:id="63"/>
      <w:bookmarkStart w:id="64" w:name="_Toc19809"/>
      <w:bookmarkEnd w:id="64"/>
      <w:bookmarkStart w:id="65" w:name="_Toc17842"/>
      <w:bookmarkEnd w:id="65"/>
      <w:bookmarkStart w:id="66" w:name="_Toc31840"/>
      <w:bookmarkEnd w:id="66"/>
      <w:bookmarkStart w:id="67" w:name="_Toc1931"/>
      <w:bookmarkEnd w:id="67"/>
      <w:bookmarkStart w:id="68" w:name="_Toc715"/>
      <w:bookmarkEnd w:id="68"/>
      <w:bookmarkStart w:id="69" w:name="_Toc18623"/>
      <w:bookmarkEnd w:id="69"/>
      <w:bookmarkStart w:id="70" w:name="_Toc4889"/>
      <w:bookmarkEnd w:id="70"/>
      <w:bookmarkStart w:id="71" w:name="_Toc31905"/>
      <w:bookmarkEnd w:id="71"/>
      <w:r>
        <w:rPr>
          <w:rFonts w:hint="eastAsia" w:ascii="华文仿宋" w:hAnsi="华文仿宋" w:cs="华文仿宋"/>
          <w:color w:val="auto"/>
          <w:sz w:val="28"/>
          <w:szCs w:val="28"/>
        </w:rPr>
        <w:t>二、投标人注意事项</w:t>
      </w:r>
    </w:p>
    <w:p w14:paraId="0A41A211">
      <w:pPr>
        <w:pStyle w:val="3"/>
        <w:spacing w:line="500" w:lineRule="exact"/>
        <w:ind w:firstLine="566" w:firstLineChars="200"/>
        <w:rPr>
          <w:rFonts w:ascii="华文仿宋" w:cs="Times New Roman"/>
          <w:color w:val="auto"/>
          <w:sz w:val="28"/>
          <w:szCs w:val="28"/>
        </w:rPr>
      </w:pPr>
      <w:bookmarkStart w:id="72" w:name="_Toc734"/>
      <w:bookmarkEnd w:id="72"/>
      <w:bookmarkStart w:id="73" w:name="_Toc27956"/>
      <w:bookmarkEnd w:id="73"/>
      <w:bookmarkStart w:id="74" w:name="_Toc17374"/>
      <w:bookmarkEnd w:id="74"/>
      <w:bookmarkStart w:id="75" w:name="_Toc24064"/>
      <w:bookmarkEnd w:id="75"/>
      <w:bookmarkStart w:id="76" w:name="_Toc22478"/>
      <w:bookmarkEnd w:id="76"/>
      <w:bookmarkStart w:id="77" w:name="_Toc1795"/>
      <w:bookmarkEnd w:id="77"/>
      <w:bookmarkStart w:id="78" w:name="_Toc23045"/>
      <w:bookmarkEnd w:id="78"/>
      <w:bookmarkStart w:id="79" w:name="_Toc24852"/>
      <w:bookmarkEnd w:id="79"/>
      <w:bookmarkStart w:id="80" w:name="_Toc30161"/>
      <w:bookmarkEnd w:id="80"/>
      <w:bookmarkStart w:id="81" w:name="_Toc16764"/>
      <w:bookmarkEnd w:id="81"/>
      <w:bookmarkStart w:id="82" w:name="_Toc21886"/>
      <w:bookmarkEnd w:id="82"/>
      <w:bookmarkStart w:id="83" w:name="_Toc11128"/>
      <w:bookmarkEnd w:id="83"/>
      <w:bookmarkStart w:id="84" w:name="_Toc1370"/>
      <w:bookmarkEnd w:id="84"/>
      <w:bookmarkStart w:id="85" w:name="_Toc10573"/>
      <w:bookmarkEnd w:id="85"/>
      <w:bookmarkStart w:id="86" w:name="_Toc37"/>
      <w:bookmarkEnd w:id="86"/>
      <w:bookmarkStart w:id="87" w:name="_Toc730"/>
      <w:bookmarkEnd w:id="87"/>
      <w:bookmarkStart w:id="88" w:name="_Toc27608"/>
      <w:bookmarkEnd w:id="88"/>
      <w:bookmarkStart w:id="89" w:name="_Toc27141"/>
      <w:bookmarkEnd w:id="89"/>
      <w:bookmarkStart w:id="90" w:name="_Toc28589"/>
      <w:bookmarkEnd w:id="90"/>
      <w:bookmarkStart w:id="91" w:name="_Toc18818"/>
      <w:bookmarkEnd w:id="91"/>
      <w:bookmarkStart w:id="92" w:name="_Toc27849"/>
      <w:bookmarkEnd w:id="92"/>
      <w:bookmarkStart w:id="93" w:name="_Toc28058"/>
      <w:bookmarkEnd w:id="93"/>
      <w:bookmarkStart w:id="94" w:name="_Toc10905"/>
      <w:bookmarkEnd w:id="94"/>
      <w:bookmarkStart w:id="95" w:name="_Toc30368"/>
      <w:bookmarkEnd w:id="95"/>
      <w:r>
        <w:rPr>
          <w:rFonts w:hint="eastAsia" w:ascii="华文仿宋" w:hAnsi="华文仿宋" w:cs="华文仿宋"/>
          <w:color w:val="auto"/>
          <w:sz w:val="28"/>
          <w:szCs w:val="28"/>
        </w:rPr>
        <w:t>（一）询问</w:t>
      </w:r>
    </w:p>
    <w:p w14:paraId="15962680">
      <w:pPr>
        <w:spacing w:line="500" w:lineRule="exact"/>
        <w:ind w:firstLine="566" w:firstLineChars="200"/>
        <w:rPr>
          <w:rFonts w:ascii="华文仿宋" w:hAnsi="华文仿宋" w:cs="华文仿宋"/>
          <w:color w:val="auto"/>
        </w:rPr>
      </w:pPr>
      <w:bookmarkStart w:id="96" w:name="_Toc17968"/>
      <w:bookmarkStart w:id="97" w:name="_Toc18061"/>
      <w:bookmarkStart w:id="98" w:name="_Toc10767"/>
      <w:bookmarkStart w:id="99" w:name="_Toc12755"/>
      <w:bookmarkStart w:id="100" w:name="_Toc23676"/>
      <w:bookmarkStart w:id="101" w:name="_Toc25620"/>
      <w:bookmarkStart w:id="102" w:name="_Toc29525"/>
      <w:bookmarkStart w:id="103" w:name="_Toc2542"/>
      <w:bookmarkStart w:id="104" w:name="_Toc5585"/>
      <w:bookmarkStart w:id="105" w:name="_Toc26397"/>
      <w:bookmarkStart w:id="106" w:name="_Toc11418"/>
      <w:bookmarkStart w:id="107" w:name="_Toc9752"/>
      <w:bookmarkStart w:id="108" w:name="_Toc7423"/>
      <w:bookmarkStart w:id="109" w:name="_Toc2552"/>
      <w:bookmarkStart w:id="110" w:name="_Toc16663"/>
      <w:r>
        <w:rPr>
          <w:rFonts w:hint="eastAsia" w:ascii="华文仿宋" w:hAnsi="华文仿宋" w:cs="华文仿宋"/>
          <w:color w:val="auto"/>
        </w:rPr>
        <w:t>投标人针对招标文件（包括采购需求、投标人资格条件、商务条款等）和公开/邀请招标资格审查结果依法提出书面询问的，采购人应在三个工作日内书面答复；投标人向</w:t>
      </w:r>
      <w:r>
        <w:rPr>
          <w:rFonts w:hint="eastAsia" w:ascii="华文仿宋" w:hAnsi="华文仿宋" w:cs="华文仿宋"/>
          <w:color w:val="auto"/>
          <w:lang w:eastAsia="zh-CN"/>
        </w:rPr>
        <w:t>中心</w:t>
      </w:r>
      <w:r>
        <w:rPr>
          <w:rFonts w:hint="eastAsia" w:ascii="华文仿宋" w:hAnsi="华文仿宋" w:cs="华文仿宋"/>
          <w:color w:val="auto"/>
        </w:rPr>
        <w:t>提出书面询问的，</w:t>
      </w:r>
      <w:r>
        <w:rPr>
          <w:rFonts w:hint="eastAsia" w:ascii="华文仿宋" w:hAnsi="华文仿宋" w:cs="华文仿宋"/>
          <w:color w:val="auto"/>
          <w:lang w:eastAsia="zh-CN"/>
        </w:rPr>
        <w:t>中心</w:t>
      </w:r>
      <w:r>
        <w:rPr>
          <w:rFonts w:hint="eastAsia" w:ascii="华文仿宋" w:hAnsi="华文仿宋" w:cs="华文仿宋"/>
          <w:color w:val="auto"/>
        </w:rPr>
        <w:t>应告知采购人并协助采购人做出答复。</w:t>
      </w:r>
    </w:p>
    <w:p w14:paraId="0C62D6C8">
      <w:pPr>
        <w:spacing w:line="500" w:lineRule="exact"/>
        <w:ind w:firstLine="566" w:firstLineChars="200"/>
        <w:rPr>
          <w:rFonts w:ascii="华文仿宋" w:hAnsi="华文仿宋" w:cs="华文仿宋"/>
          <w:color w:val="auto"/>
        </w:rPr>
      </w:pPr>
      <w:r>
        <w:rPr>
          <w:rFonts w:hint="eastAsia" w:ascii="华文仿宋" w:hAnsi="华文仿宋" w:cs="华文仿宋"/>
          <w:color w:val="auto"/>
        </w:rPr>
        <w:t>投标人对采购过程（不含公开/邀请招标资格审查结果）、中标（成交）结果，向</w:t>
      </w:r>
      <w:r>
        <w:rPr>
          <w:rFonts w:hint="eastAsia" w:ascii="华文仿宋" w:hAnsi="华文仿宋" w:cs="华文仿宋"/>
          <w:color w:val="auto"/>
          <w:lang w:eastAsia="zh-CN"/>
        </w:rPr>
        <w:t>中心</w:t>
      </w:r>
      <w:r>
        <w:rPr>
          <w:rFonts w:hint="eastAsia" w:ascii="华文仿宋" w:hAnsi="华文仿宋" w:cs="华文仿宋"/>
          <w:color w:val="auto"/>
        </w:rPr>
        <w:t>提出书面询问的，</w:t>
      </w:r>
      <w:r>
        <w:rPr>
          <w:rFonts w:hint="eastAsia" w:ascii="华文仿宋" w:hAnsi="华文仿宋" w:cs="华文仿宋"/>
          <w:color w:val="auto"/>
          <w:lang w:eastAsia="zh-CN"/>
        </w:rPr>
        <w:t>中心</w:t>
      </w:r>
      <w:r>
        <w:rPr>
          <w:rFonts w:hint="eastAsia" w:ascii="华文仿宋" w:hAnsi="华文仿宋" w:cs="华文仿宋"/>
          <w:color w:val="auto"/>
        </w:rPr>
        <w:t>应在三个工作日内书面答复。</w:t>
      </w:r>
    </w:p>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4BFC4070">
      <w:pPr>
        <w:pStyle w:val="3"/>
        <w:spacing w:line="500" w:lineRule="exact"/>
        <w:ind w:firstLine="566" w:firstLineChars="200"/>
        <w:rPr>
          <w:rFonts w:ascii="华文仿宋" w:cs="Times New Roman"/>
          <w:color w:val="auto"/>
          <w:sz w:val="28"/>
          <w:szCs w:val="28"/>
        </w:rPr>
      </w:pPr>
      <w:bookmarkStart w:id="111" w:name="_Toc7955"/>
      <w:bookmarkEnd w:id="111"/>
      <w:bookmarkStart w:id="112" w:name="_Toc17556"/>
      <w:bookmarkEnd w:id="112"/>
      <w:bookmarkStart w:id="113" w:name="_Toc9640"/>
      <w:bookmarkEnd w:id="113"/>
      <w:bookmarkStart w:id="114" w:name="_Toc11623"/>
      <w:bookmarkEnd w:id="114"/>
      <w:bookmarkStart w:id="115" w:name="_Toc12428"/>
      <w:bookmarkEnd w:id="115"/>
      <w:bookmarkStart w:id="116" w:name="_Toc21561"/>
      <w:bookmarkEnd w:id="116"/>
      <w:bookmarkStart w:id="117" w:name="_Toc6193"/>
      <w:bookmarkEnd w:id="117"/>
      <w:bookmarkStart w:id="118" w:name="_Toc27356"/>
      <w:bookmarkEnd w:id="118"/>
      <w:bookmarkStart w:id="119" w:name="_Toc860"/>
      <w:bookmarkEnd w:id="119"/>
      <w:r>
        <w:rPr>
          <w:rFonts w:hint="eastAsia" w:ascii="华文仿宋" w:hAnsi="华文仿宋" w:cs="华文仿宋"/>
          <w:color w:val="auto"/>
          <w:sz w:val="28"/>
          <w:szCs w:val="28"/>
        </w:rPr>
        <w:t>（二）现场踏勘及标前答疑会</w:t>
      </w:r>
    </w:p>
    <w:p w14:paraId="591F8244">
      <w:pPr>
        <w:pStyle w:val="7"/>
        <w:spacing w:afterLines="0" w:line="500" w:lineRule="exact"/>
        <w:ind w:firstLine="566" w:firstLineChars="200"/>
        <w:rPr>
          <w:color w:val="auto"/>
        </w:rPr>
      </w:pPr>
      <w:r>
        <w:rPr>
          <w:rFonts w:hint="eastAsia"/>
          <w:color w:val="auto"/>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auto"/>
          <w:lang w:eastAsia="zh-CN"/>
        </w:rPr>
        <w:t>中心</w:t>
      </w:r>
      <w:r>
        <w:rPr>
          <w:rFonts w:hint="eastAsia"/>
          <w:color w:val="auto"/>
        </w:rPr>
        <w:t>在财政部门指定的媒体上发布。</w:t>
      </w:r>
    </w:p>
    <w:p w14:paraId="4725E4AE">
      <w:pPr>
        <w:spacing w:afterLines="0" w:line="500" w:lineRule="exact"/>
        <w:ind w:firstLine="566" w:firstLineChars="200"/>
        <w:rPr>
          <w:rFonts w:ascii="华文仿宋" w:hAnsi="华文仿宋" w:cs="华文仿宋"/>
          <w:bCs/>
          <w:color w:val="auto"/>
        </w:rPr>
      </w:pPr>
      <w:r>
        <w:rPr>
          <w:rFonts w:hint="eastAsia"/>
          <w:color w:val="auto"/>
        </w:rPr>
        <w:t>答复内容可能影响投标文件编制的，应当顺延开标时间。</w:t>
      </w:r>
      <w:r>
        <w:rPr>
          <w:rFonts w:hint="eastAsia" w:ascii="华文仿宋" w:hAnsi="华文仿宋" w:cs="华文仿宋"/>
          <w:bCs/>
          <w:color w:val="auto"/>
        </w:rPr>
        <w:t>凡未参加现场踏勘和标前答疑的投标人，由此造成的偏差由各投标人自行负责。</w:t>
      </w:r>
    </w:p>
    <w:p w14:paraId="1644003D">
      <w:pPr>
        <w:spacing w:afterLines="0" w:line="500" w:lineRule="exact"/>
        <w:ind w:firstLine="566" w:firstLineChars="200"/>
        <w:rPr>
          <w:rFonts w:hint="eastAsia" w:ascii="华文仿宋" w:hAnsi="华文仿宋" w:cs="华文仿宋"/>
          <w:b/>
          <w:color w:val="auto"/>
        </w:rPr>
      </w:pPr>
      <w:r>
        <w:rPr>
          <w:rFonts w:hint="eastAsia" w:ascii="华文仿宋" w:hAnsi="华文仿宋" w:cs="华文仿宋"/>
          <w:b/>
          <w:color w:val="auto"/>
        </w:rPr>
        <w:t>本项目</w:t>
      </w:r>
      <w:r>
        <w:rPr>
          <w:rFonts w:hint="eastAsia" w:ascii="华文仿宋" w:hAnsi="华文仿宋" w:cs="华文仿宋"/>
          <w:b/>
          <w:color w:val="auto"/>
          <w:lang w:val="en-US" w:eastAsia="zh-CN"/>
        </w:rPr>
        <w:t>不进行</w:t>
      </w:r>
      <w:r>
        <w:rPr>
          <w:rFonts w:hint="eastAsia" w:ascii="华文仿宋" w:hAnsi="华文仿宋" w:cs="华文仿宋"/>
          <w:b/>
          <w:color w:val="auto"/>
        </w:rPr>
        <w:t>集中踏勘和标前答疑。</w:t>
      </w:r>
    </w:p>
    <w:p w14:paraId="33E9C226">
      <w:pPr>
        <w:pStyle w:val="3"/>
        <w:spacing w:line="500" w:lineRule="exact"/>
        <w:ind w:firstLine="566" w:firstLineChars="200"/>
        <w:rPr>
          <w:rFonts w:ascii="华文仿宋" w:cs="Times New Roman"/>
          <w:color w:val="auto"/>
          <w:sz w:val="28"/>
          <w:szCs w:val="28"/>
        </w:rPr>
      </w:pPr>
      <w:bookmarkStart w:id="120" w:name="_Toc4494"/>
      <w:bookmarkEnd w:id="120"/>
      <w:bookmarkStart w:id="121" w:name="_Toc13487"/>
      <w:bookmarkEnd w:id="121"/>
      <w:bookmarkStart w:id="122" w:name="_Toc32452"/>
      <w:bookmarkEnd w:id="122"/>
      <w:bookmarkStart w:id="123" w:name="_Toc17393"/>
      <w:bookmarkEnd w:id="123"/>
      <w:bookmarkStart w:id="124" w:name="_Toc31489"/>
      <w:bookmarkEnd w:id="124"/>
      <w:bookmarkStart w:id="125" w:name="_Toc30373"/>
      <w:bookmarkEnd w:id="125"/>
      <w:bookmarkStart w:id="126" w:name="_Toc19650"/>
      <w:bookmarkEnd w:id="126"/>
      <w:bookmarkStart w:id="127" w:name="_Toc13711"/>
      <w:bookmarkEnd w:id="127"/>
      <w:bookmarkStart w:id="128" w:name="_Toc12086"/>
      <w:bookmarkEnd w:id="128"/>
      <w:bookmarkStart w:id="129" w:name="_Toc19048"/>
      <w:bookmarkEnd w:id="129"/>
      <w:bookmarkStart w:id="130" w:name="_Toc2"/>
      <w:bookmarkEnd w:id="130"/>
      <w:bookmarkStart w:id="131" w:name="_Toc7492"/>
      <w:bookmarkEnd w:id="131"/>
      <w:bookmarkStart w:id="132" w:name="_Toc28768"/>
      <w:bookmarkEnd w:id="132"/>
      <w:bookmarkStart w:id="133" w:name="_Toc25374"/>
      <w:bookmarkEnd w:id="133"/>
      <w:bookmarkStart w:id="134" w:name="_Toc23122"/>
      <w:bookmarkEnd w:id="134"/>
      <w:bookmarkStart w:id="135" w:name="_Toc24893"/>
      <w:bookmarkEnd w:id="135"/>
      <w:bookmarkStart w:id="136" w:name="_Toc29658"/>
      <w:bookmarkEnd w:id="136"/>
      <w:bookmarkStart w:id="137" w:name="_Toc15669"/>
      <w:bookmarkEnd w:id="137"/>
      <w:bookmarkStart w:id="138" w:name="_Toc25161"/>
      <w:bookmarkEnd w:id="138"/>
      <w:bookmarkStart w:id="139" w:name="_Toc7114"/>
      <w:bookmarkEnd w:id="139"/>
      <w:bookmarkStart w:id="140" w:name="_Toc11479"/>
      <w:bookmarkEnd w:id="140"/>
      <w:bookmarkStart w:id="141" w:name="_Toc21760"/>
      <w:bookmarkEnd w:id="141"/>
      <w:bookmarkStart w:id="142" w:name="_Toc9167"/>
      <w:bookmarkEnd w:id="142"/>
      <w:bookmarkStart w:id="143" w:name="_Toc20548"/>
      <w:bookmarkEnd w:id="143"/>
      <w:r>
        <w:rPr>
          <w:rFonts w:hint="eastAsia" w:ascii="华文仿宋" w:hAnsi="华文仿宋" w:cs="华文仿宋"/>
          <w:color w:val="auto"/>
          <w:sz w:val="28"/>
          <w:szCs w:val="28"/>
        </w:rPr>
        <w:t>（三）质疑和投诉</w:t>
      </w:r>
    </w:p>
    <w:p w14:paraId="2E6F5E75">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投标人如果认为招标文件（包括采购需求、投标人资格条件、商务条款等）使自身的合法权益受到损害，可以在获取招标文件之日起７个工作日内，以书面形式向采购人提出质疑；投标人如果认为采购过程</w:t>
      </w:r>
      <w:r>
        <w:rPr>
          <w:rFonts w:hint="eastAsia" w:ascii="仿宋" w:hAnsi="仿宋" w:eastAsia="仿宋" w:cs="仿宋"/>
          <w:bCs/>
          <w:color w:val="auto"/>
        </w:rPr>
        <w:t>（不含公开/邀请招标资格审查结果）</w:t>
      </w:r>
      <w:r>
        <w:rPr>
          <w:rFonts w:hint="eastAsia" w:ascii="华文仿宋" w:hAnsi="华文仿宋" w:cs="华文仿宋"/>
          <w:color w:val="auto"/>
        </w:rPr>
        <w:t>或中标结果使自身的合法权益受到损害，可以在知道或应知其权益受到损害之日起7个工作日内，以书面形式向</w:t>
      </w:r>
      <w:r>
        <w:rPr>
          <w:rFonts w:hint="eastAsia" w:ascii="华文仿宋" w:hAnsi="华文仿宋" w:cs="华文仿宋"/>
          <w:color w:val="auto"/>
          <w:lang w:eastAsia="zh-CN"/>
        </w:rPr>
        <w:t>中心</w:t>
      </w:r>
      <w:r>
        <w:rPr>
          <w:rFonts w:hint="eastAsia" w:ascii="华文仿宋" w:hAnsi="华文仿宋" w:cs="华文仿宋"/>
          <w:color w:val="auto"/>
        </w:rPr>
        <w:t>提出质疑。</w:t>
      </w:r>
    </w:p>
    <w:p w14:paraId="010EBD8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投标人提出质疑应当提交质疑函和必要的证明材料，并按财政部《质疑函范本》给定的格式进行填写，范本下载详见【财政部国库司（gks.mof.gov.cn）】网站〖首页</w:t>
      </w:r>
      <w:r>
        <w:rPr>
          <w:rFonts w:ascii="华文仿宋" w:cs="Times New Roman"/>
          <w:color w:val="auto"/>
        </w:rPr>
        <w:t>•</w:t>
      </w:r>
      <w:r>
        <w:rPr>
          <w:rFonts w:hint="eastAsia" w:ascii="华文仿宋" w:hAnsi="华文仿宋" w:cs="华文仿宋"/>
          <w:color w:val="auto"/>
        </w:rPr>
        <w:t>〉政府采购管理〗栏目中的《政府采购供应商质疑函范本》。</w:t>
      </w:r>
    </w:p>
    <w:p w14:paraId="7114CDF8">
      <w:pPr>
        <w:spacing w:line="500" w:lineRule="exact"/>
        <w:ind w:firstLine="566" w:firstLineChars="200"/>
        <w:rPr>
          <w:rFonts w:ascii="华文仿宋" w:cs="Times New Roman"/>
          <w:color w:val="auto"/>
        </w:rPr>
      </w:pPr>
      <w:r>
        <w:rPr>
          <w:rFonts w:hint="eastAsia" w:ascii="华文仿宋" w:hAnsi="华文仿宋" w:cs="华文仿宋"/>
          <w:color w:val="auto"/>
        </w:rPr>
        <w:t>《政府采购供应商质疑函范本》链接地址：</w:t>
      </w:r>
    </w:p>
    <w:p w14:paraId="1480E75D">
      <w:pPr>
        <w:spacing w:line="500" w:lineRule="exac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http://gks.mof.gov.cn/ztztz/zhengfucaigouguanli/201802/t20180201_2804589.htm</w:t>
      </w:r>
    </w:p>
    <w:p w14:paraId="19E04F1F">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557C57FC">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在法定质疑期内，针对同一采购程序环节的质疑应当一次性提出。</w:t>
      </w:r>
      <w:r>
        <w:rPr>
          <w:rFonts w:hint="eastAsia" w:ascii="华文仿宋" w:hAnsi="华文仿宋" w:cs="华文仿宋"/>
          <w:color w:val="auto"/>
          <w:lang w:eastAsia="zh-CN"/>
        </w:rPr>
        <w:t>中心</w:t>
      </w:r>
      <w:r>
        <w:rPr>
          <w:rFonts w:hint="eastAsia" w:ascii="华文仿宋" w:hAnsi="华文仿宋" w:cs="华文仿宋"/>
          <w:color w:val="auto"/>
        </w:rPr>
        <w:t>或采购人将在收到书面质疑后</w:t>
      </w:r>
      <w:r>
        <w:rPr>
          <w:rFonts w:ascii="仿宋" w:hAnsi="仿宋" w:eastAsia="仿宋" w:cs="仿宋"/>
          <w:color w:val="auto"/>
        </w:rPr>
        <w:t>7</w:t>
      </w:r>
      <w:r>
        <w:rPr>
          <w:rFonts w:hint="eastAsia" w:ascii="华文仿宋" w:hAnsi="华文仿宋" w:cs="华文仿宋"/>
          <w:color w:val="auto"/>
        </w:rPr>
        <w:t>个工作日内做出答复，并以书面形式通知质疑人和其他有关投标人。</w:t>
      </w:r>
    </w:p>
    <w:p w14:paraId="394C5F58">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有下列情形之一的，属于无效质疑，</w:t>
      </w:r>
      <w:r>
        <w:rPr>
          <w:rFonts w:hint="eastAsia" w:ascii="华文仿宋" w:hAnsi="华文仿宋" w:cs="华文仿宋"/>
          <w:color w:val="auto"/>
          <w:lang w:eastAsia="zh-CN"/>
        </w:rPr>
        <w:t>中心</w:t>
      </w:r>
      <w:r>
        <w:rPr>
          <w:rFonts w:hint="eastAsia" w:ascii="华文仿宋" w:hAnsi="华文仿宋" w:cs="华文仿宋"/>
          <w:color w:val="auto"/>
        </w:rPr>
        <w:t>和采购人不予受理：</w:t>
      </w:r>
    </w:p>
    <w:p w14:paraId="006B90F8">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）质疑人不是参与本次政府采购项目的投标人或潜在投标人；</w:t>
      </w:r>
    </w:p>
    <w:p w14:paraId="4259B907">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）质疑人与质疑事项不存在利害关系的；</w:t>
      </w:r>
    </w:p>
    <w:p w14:paraId="1583C64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）未在法定期限内提出质疑的；</w:t>
      </w:r>
    </w:p>
    <w:p w14:paraId="09C75AC1">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）质疑未以书面形式提出，或质疑函主要内容构成不完整的，或缺乏必要的证明材料及证明材料不完整的；</w:t>
      </w:r>
    </w:p>
    <w:p w14:paraId="288C618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5</w:t>
      </w:r>
      <w:r>
        <w:rPr>
          <w:rFonts w:hint="eastAsia" w:ascii="华文仿宋" w:hAnsi="华文仿宋" w:cs="华文仿宋"/>
          <w:color w:val="auto"/>
        </w:rPr>
        <w:t>）质疑函没有合法有效的签字、盖章或授权的；</w:t>
      </w:r>
    </w:p>
    <w:p w14:paraId="66AF3115">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6</w:t>
      </w:r>
      <w:r>
        <w:rPr>
          <w:rFonts w:hint="eastAsia" w:ascii="华文仿宋" w:hAnsi="华文仿宋" w:cs="华文仿宋"/>
          <w:color w:val="auto"/>
        </w:rPr>
        <w:t>）以非法手段取得证据、材料的；</w:t>
      </w:r>
    </w:p>
    <w:p w14:paraId="2B318386">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7</w:t>
      </w:r>
      <w:r>
        <w:rPr>
          <w:rFonts w:hint="eastAsia" w:ascii="华文仿宋" w:hAnsi="华文仿宋" w:cs="华文仿宋"/>
          <w:color w:val="auto"/>
        </w:rPr>
        <w:t>）质疑答复后，同一质疑人就同一事项再次提出质疑的；</w:t>
      </w:r>
    </w:p>
    <w:p w14:paraId="7FAF20A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8</w:t>
      </w:r>
      <w:r>
        <w:rPr>
          <w:rFonts w:hint="eastAsia" w:ascii="华文仿宋" w:hAnsi="华文仿宋" w:cs="华文仿宋"/>
          <w:color w:val="auto"/>
        </w:rPr>
        <w:t>）不符合法律、法规、规章和政府采购监管机构规定的其他条件的。</w:t>
      </w:r>
    </w:p>
    <w:p w14:paraId="0E2A05DE">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质疑人对</w:t>
      </w:r>
      <w:r>
        <w:rPr>
          <w:rFonts w:hint="eastAsia" w:ascii="华文仿宋" w:hAnsi="华文仿宋" w:cs="华文仿宋"/>
          <w:color w:val="auto"/>
          <w:lang w:eastAsia="zh-CN"/>
        </w:rPr>
        <w:t>中心</w:t>
      </w:r>
      <w:r>
        <w:rPr>
          <w:rFonts w:hint="eastAsia" w:ascii="华文仿宋" w:hAnsi="华文仿宋" w:cs="华文仿宋"/>
          <w:color w:val="auto"/>
        </w:rPr>
        <w:t>或采购人的答复不满意，以及</w:t>
      </w:r>
      <w:r>
        <w:rPr>
          <w:rFonts w:hint="eastAsia" w:ascii="华文仿宋" w:hAnsi="华文仿宋" w:cs="华文仿宋"/>
          <w:color w:val="auto"/>
          <w:lang w:eastAsia="zh-CN"/>
        </w:rPr>
        <w:t>中心</w:t>
      </w:r>
      <w:r>
        <w:rPr>
          <w:rFonts w:hint="eastAsia" w:ascii="华文仿宋" w:hAnsi="华文仿宋" w:cs="华文仿宋"/>
          <w:color w:val="auto"/>
        </w:rPr>
        <w:t>或采购人未在规定时间内做出答复的，可以在答复期满后</w:t>
      </w:r>
      <w:r>
        <w:rPr>
          <w:rFonts w:ascii="仿宋" w:hAnsi="仿宋" w:eastAsia="仿宋" w:cs="仿宋"/>
          <w:color w:val="auto"/>
        </w:rPr>
        <w:t>15</w:t>
      </w:r>
      <w:r>
        <w:rPr>
          <w:rFonts w:hint="eastAsia" w:ascii="华文仿宋" w:hAnsi="华文仿宋" w:cs="华文仿宋"/>
          <w:color w:val="auto"/>
        </w:rPr>
        <w:t>个工作日内向政府采购监管机构提出投诉。</w:t>
      </w:r>
    </w:p>
    <w:p w14:paraId="516CFD23">
      <w:pPr>
        <w:spacing w:line="500" w:lineRule="exact"/>
        <w:ind w:firstLine="566" w:firstLineChars="200"/>
        <w:rPr>
          <w:rFonts w:ascii="华文仿宋" w:cs="Times New Roman"/>
          <w:color w:val="auto"/>
        </w:rPr>
      </w:pPr>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投标人投诉的事项不得超出已质疑事项的范围。</w:t>
      </w:r>
    </w:p>
    <w:p w14:paraId="560C7332">
      <w:pPr>
        <w:spacing w:line="500" w:lineRule="exact"/>
        <w:ind w:firstLine="566" w:firstLineChars="200"/>
        <w:rPr>
          <w:rFonts w:ascii="华文仿宋" w:cs="Times New Roman"/>
          <w:b/>
          <w:bCs/>
          <w:color w:val="auto"/>
        </w:rPr>
      </w:pPr>
      <w:r>
        <w:rPr>
          <w:rFonts w:ascii="华文仿宋" w:hAnsi="华文仿宋" w:cs="华文仿宋"/>
          <w:color w:val="auto"/>
        </w:rPr>
        <w:t>7</w:t>
      </w:r>
      <w:r>
        <w:rPr>
          <w:rFonts w:hint="eastAsia" w:ascii="华文仿宋" w:hAnsi="华文仿宋" w:cs="华文仿宋"/>
          <w:color w:val="auto"/>
          <w:lang w:val="en-US" w:eastAsia="zh-CN"/>
        </w:rPr>
        <w:t>.</w:t>
      </w:r>
      <w:r>
        <w:rPr>
          <w:rFonts w:hint="eastAsia" w:ascii="华文仿宋" w:hAnsi="华文仿宋" w:cs="华文仿宋"/>
          <w:b/>
          <w:bCs/>
          <w:color w:val="auto"/>
        </w:rPr>
        <w:t>对捏造事实、提供虚假材料进行质疑、投诉的行为予以严肃处理：</w:t>
      </w:r>
    </w:p>
    <w:p w14:paraId="307F2755">
      <w:pPr>
        <w:spacing w:line="500" w:lineRule="exact"/>
        <w:ind w:firstLine="566" w:firstLineChars="200"/>
        <w:rPr>
          <w:rFonts w:ascii="华文仿宋" w:cs="Times New Roman"/>
          <w:color w:val="auto"/>
        </w:rPr>
      </w:pPr>
      <w:r>
        <w:rPr>
          <w:rFonts w:hint="eastAsia" w:ascii="华文仿宋" w:hAnsi="华文仿宋" w:cs="华文仿宋"/>
          <w:color w:val="auto"/>
        </w:rPr>
        <w:t>依据《中华人民共和国政府采购法》及其实施条例、《政府采购货物和服务招标投标管理办法》（财政部令第87号）、《政府采购质疑和投诉办法》等法律法规的规定，投标人质疑、投诉应当有明确的请求和必要的证明材料。</w:t>
      </w:r>
      <w:r>
        <w:rPr>
          <w:rFonts w:hint="eastAsia" w:ascii="华文仿宋" w:hAnsi="华文仿宋" w:cs="华文仿宋"/>
          <w:b/>
          <w:bCs/>
          <w:color w:val="auto"/>
        </w:rPr>
        <w:t>投诉人在全国范围内十二个月内三次以上投诉查无实据的，由财政部门列入不良行为记录名单。</w:t>
      </w:r>
      <w:r>
        <w:rPr>
          <w:rFonts w:hint="eastAsia" w:ascii="华文仿宋" w:hAnsi="华文仿宋" w:cs="华文仿宋"/>
          <w:color w:val="auto"/>
        </w:rPr>
        <w:t>对于捏造事实、提供虚假材料或者以非法手段取得证明材料进行投诉的，财政部门应当予以驳回，并将其列入不良行为记录名单，禁止其一至三年内参加政府采购活动。</w:t>
      </w:r>
    </w:p>
    <w:p w14:paraId="5274C20A">
      <w:pPr>
        <w:spacing w:line="500" w:lineRule="exact"/>
        <w:ind w:firstLine="566" w:firstLineChars="200"/>
        <w:rPr>
          <w:rFonts w:ascii="华文仿宋" w:cs="Times New Roman"/>
          <w:b/>
          <w:bCs/>
          <w:color w:val="auto"/>
        </w:rPr>
      </w:pPr>
      <w:r>
        <w:rPr>
          <w:rFonts w:ascii="华文仿宋" w:hAnsi="华文仿宋" w:cs="华文仿宋"/>
          <w:color w:val="auto"/>
        </w:rPr>
        <w:t>8</w:t>
      </w:r>
      <w:r>
        <w:rPr>
          <w:rFonts w:hint="eastAsia" w:ascii="华文仿宋" w:hAnsi="华文仿宋" w:cs="华文仿宋"/>
          <w:color w:val="auto"/>
          <w:lang w:val="en-US" w:eastAsia="zh-CN"/>
        </w:rPr>
        <w:t>.</w:t>
      </w:r>
      <w:r>
        <w:rPr>
          <w:rFonts w:hint="eastAsia" w:ascii="华文仿宋" w:hAnsi="华文仿宋" w:cs="华文仿宋"/>
          <w:b/>
          <w:bCs/>
          <w:color w:val="auto"/>
        </w:rPr>
        <w:t>对捏造事实诬告陷害他人、诽谤他人的法律适用：</w:t>
      </w:r>
    </w:p>
    <w:p w14:paraId="383E8D3A">
      <w:pPr>
        <w:spacing w:line="500" w:lineRule="exact"/>
        <w:ind w:firstLine="566" w:firstLineChars="200"/>
        <w:rPr>
          <w:rFonts w:ascii="华文仿宋" w:cs="Times New Roman"/>
          <w:color w:val="auto"/>
        </w:rPr>
      </w:pPr>
      <w:r>
        <w:rPr>
          <w:rFonts w:hint="eastAsia" w:ascii="华文仿宋" w:hAnsi="华文仿宋" w:cs="华文仿宋"/>
          <w:color w:val="auto"/>
        </w:rPr>
        <w:t>《中华人民共和国刑法》第</w:t>
      </w:r>
      <w:r>
        <w:rPr>
          <w:rFonts w:ascii="仿宋" w:hAnsi="仿宋" w:eastAsia="仿宋" w:cs="仿宋"/>
          <w:color w:val="auto"/>
        </w:rPr>
        <w:t>243</w:t>
      </w:r>
      <w:r>
        <w:rPr>
          <w:rFonts w:hint="eastAsia" w:ascii="华文仿宋" w:hAnsi="华文仿宋" w:cs="华文仿宋"/>
          <w:color w:val="auto"/>
        </w:rPr>
        <w:t>条【诬告陷害罪】捏造事实诬告陷害他人，意图使他人受刑事追究，情节严重的，处三年以下有期徒刑、拘役或者管制；造成严重后果的，处三年以上十年以下有期徒刑。</w:t>
      </w:r>
    </w:p>
    <w:p w14:paraId="581F8E93">
      <w:pPr>
        <w:spacing w:line="500" w:lineRule="exact"/>
        <w:ind w:firstLine="566" w:firstLineChars="200"/>
        <w:rPr>
          <w:rFonts w:ascii="华文仿宋" w:cs="Times New Roman"/>
          <w:color w:val="auto"/>
        </w:rPr>
      </w:pPr>
      <w:r>
        <w:rPr>
          <w:rFonts w:hint="eastAsia" w:ascii="华文仿宋" w:hAnsi="华文仿宋" w:cs="华文仿宋"/>
          <w:color w:val="auto"/>
        </w:rPr>
        <w:t>《中华人民共和国刑法》第</w:t>
      </w:r>
      <w:r>
        <w:rPr>
          <w:rFonts w:ascii="仿宋" w:hAnsi="仿宋" w:eastAsia="仿宋" w:cs="仿宋"/>
          <w:color w:val="auto"/>
        </w:rPr>
        <w:t>246</w:t>
      </w:r>
      <w:r>
        <w:rPr>
          <w:rFonts w:hint="eastAsia" w:ascii="华文仿宋" w:hAnsi="华文仿宋" w:cs="华文仿宋"/>
          <w:color w:val="auto"/>
        </w:rPr>
        <w:t>条【侮辱罪、诽谤罪】以暴力或者其他方法公然侮辱他人或者捏造事实诽谤他人，情节严重的，处三年以下有期徒刑、拘役、管制或者剥夺政治权利。</w:t>
      </w:r>
    </w:p>
    <w:p w14:paraId="0DC651D3">
      <w:pPr>
        <w:numPr>
          <w:ilvl w:val="0"/>
          <w:numId w:val="0"/>
        </w:numPr>
        <w:spacing w:line="500" w:lineRule="exact"/>
        <w:ind w:firstLine="566" w:firstLineChars="200"/>
        <w:rPr>
          <w:rFonts w:hint="default" w:ascii="华文仿宋" w:hAnsi="华文仿宋" w:cs="华文仿宋"/>
          <w:color w:val="FF0000"/>
          <w:sz w:val="36"/>
          <w:szCs w:val="36"/>
          <w:lang w:val="en-US"/>
        </w:rPr>
      </w:pPr>
      <w:r>
        <w:rPr>
          <w:rFonts w:hint="eastAsia" w:ascii="华文仿宋" w:hAnsi="华文仿宋" w:cs="华文仿宋"/>
          <w:color w:val="auto"/>
          <w:lang w:val="en-US" w:eastAsia="zh-CN"/>
        </w:rPr>
        <w:t>9.</w:t>
      </w:r>
      <w:r>
        <w:rPr>
          <w:rFonts w:hint="eastAsia" w:ascii="华文仿宋" w:hAnsi="华文仿宋" w:cs="华文仿宋"/>
          <w:color w:val="auto"/>
        </w:rPr>
        <w:t>质疑函递交地址：</w:t>
      </w:r>
      <w:r>
        <w:rPr>
          <w:rFonts w:hint="eastAsia" w:ascii="华文仿宋" w:hAnsi="华文仿宋" w:cs="华文仿宋"/>
          <w:color w:val="auto"/>
          <w:lang w:val="en-US" w:eastAsia="zh-CN"/>
        </w:rPr>
        <w:t>中心A233办公室</w:t>
      </w:r>
    </w:p>
    <w:p w14:paraId="29C767FD">
      <w:pPr>
        <w:spacing w:line="500" w:lineRule="exact"/>
        <w:ind w:firstLine="566" w:firstLineChars="200"/>
        <w:rPr>
          <w:rFonts w:hint="default" w:ascii="仿宋" w:hAnsi="仿宋" w:eastAsia="仿宋" w:cs="仿宋"/>
          <w:color w:val="auto"/>
          <w:lang w:val="en-US" w:eastAsia="zh-CN"/>
        </w:rPr>
      </w:pPr>
      <w:r>
        <w:rPr>
          <w:rFonts w:hint="eastAsia" w:ascii="华文仿宋" w:hAnsi="华文仿宋" w:cs="华文仿宋"/>
          <w:color w:val="auto"/>
        </w:rPr>
        <w:t>联系电话：</w:t>
      </w:r>
      <w:r>
        <w:rPr>
          <w:rFonts w:hint="eastAsia" w:ascii="仿宋" w:hAnsi="仿宋" w:eastAsia="仿宋" w:cs="仿宋"/>
          <w:color w:val="auto"/>
          <w:lang w:val="en-US" w:eastAsia="zh-CN"/>
        </w:rPr>
        <w:t>0911-2162209</w:t>
      </w:r>
    </w:p>
    <w:p w14:paraId="41E61088">
      <w:pPr>
        <w:spacing w:line="500" w:lineRule="exact"/>
        <w:ind w:firstLine="566" w:firstLineChars="200"/>
        <w:rPr>
          <w:rFonts w:hint="default" w:ascii="华文仿宋" w:eastAsia="华文仿宋" w:cs="Times New Roman"/>
          <w:color w:val="auto"/>
          <w:lang w:val="en-US" w:eastAsia="zh-CN"/>
        </w:rPr>
      </w:pPr>
      <w:r>
        <w:rPr>
          <w:rFonts w:hint="eastAsia" w:ascii="华文仿宋" w:hAnsi="华文仿宋" w:cs="华文仿宋"/>
          <w:color w:val="auto"/>
        </w:rPr>
        <w:t>投诉书递交地址：延安市新区为民服务中心</w:t>
      </w:r>
      <w:r>
        <w:rPr>
          <w:rFonts w:hint="eastAsia" w:ascii="华文仿宋" w:hAnsi="华文仿宋" w:cs="华文仿宋"/>
          <w:color w:val="auto"/>
          <w:lang w:val="en-US" w:eastAsia="zh-CN"/>
        </w:rPr>
        <w:t>综合楼（1号楼）延安市财政局采购科</w:t>
      </w:r>
    </w:p>
    <w:p w14:paraId="574F4B49">
      <w:pPr>
        <w:spacing w:line="500" w:lineRule="exact"/>
        <w:ind w:firstLine="566" w:firstLineChars="200"/>
        <w:rPr>
          <w:rFonts w:hint="default" w:ascii="华文仿宋" w:eastAsia="华文仿宋" w:cs="Times New Roman"/>
          <w:color w:val="auto"/>
          <w:u w:val="single"/>
          <w:lang w:val="en-US" w:eastAsia="zh-CN"/>
        </w:rPr>
      </w:pPr>
      <w:r>
        <w:rPr>
          <w:rFonts w:hint="eastAsia" w:ascii="华文仿宋" w:hAnsi="华文仿宋" w:cs="华文仿宋"/>
          <w:color w:val="auto"/>
        </w:rPr>
        <w:t>联系电话：</w:t>
      </w:r>
      <w:r>
        <w:rPr>
          <w:rFonts w:hint="eastAsia" w:ascii="仿宋" w:hAnsi="仿宋" w:eastAsia="仿宋" w:cs="仿宋"/>
          <w:color w:val="auto"/>
          <w:lang w:val="en-US" w:eastAsia="zh-CN"/>
        </w:rPr>
        <w:t>0911-7091014</w:t>
      </w:r>
    </w:p>
    <w:p w14:paraId="209A24E6">
      <w:pPr>
        <w:pStyle w:val="3"/>
        <w:spacing w:line="500" w:lineRule="exact"/>
        <w:ind w:firstLine="566" w:firstLineChars="200"/>
        <w:rPr>
          <w:rFonts w:ascii="华文仿宋" w:cs="Times New Roman"/>
          <w:color w:val="auto"/>
          <w:sz w:val="28"/>
          <w:szCs w:val="28"/>
        </w:rPr>
      </w:pPr>
      <w:bookmarkStart w:id="144" w:name="_Toc8591"/>
      <w:bookmarkEnd w:id="144"/>
      <w:bookmarkStart w:id="145" w:name="_Toc6125"/>
      <w:bookmarkEnd w:id="145"/>
      <w:bookmarkStart w:id="146" w:name="_Toc2698"/>
      <w:bookmarkEnd w:id="146"/>
      <w:bookmarkStart w:id="147" w:name="_Toc6063"/>
      <w:bookmarkEnd w:id="147"/>
      <w:bookmarkStart w:id="148" w:name="_Toc29424"/>
      <w:bookmarkEnd w:id="148"/>
      <w:bookmarkStart w:id="149" w:name="_Toc7801"/>
      <w:bookmarkEnd w:id="149"/>
      <w:bookmarkStart w:id="150" w:name="_Toc6747"/>
      <w:bookmarkEnd w:id="150"/>
      <w:bookmarkStart w:id="151" w:name="_Toc18065"/>
      <w:bookmarkEnd w:id="151"/>
      <w:bookmarkStart w:id="152" w:name="_Toc3487"/>
      <w:bookmarkEnd w:id="152"/>
      <w:bookmarkStart w:id="153" w:name="_Toc32709"/>
      <w:bookmarkEnd w:id="153"/>
      <w:bookmarkStart w:id="154" w:name="_Toc10327"/>
      <w:bookmarkEnd w:id="154"/>
      <w:bookmarkStart w:id="155" w:name="_Toc12966"/>
      <w:bookmarkEnd w:id="155"/>
      <w:bookmarkStart w:id="156" w:name="_Toc13615"/>
      <w:bookmarkEnd w:id="156"/>
      <w:r>
        <w:rPr>
          <w:rFonts w:hint="eastAsia" w:ascii="华文仿宋" w:hAnsi="华文仿宋" w:cs="华文仿宋"/>
          <w:color w:val="auto"/>
          <w:sz w:val="28"/>
          <w:szCs w:val="28"/>
        </w:rPr>
        <w:t>（四）关于信用记录的查询和使用</w:t>
      </w:r>
    </w:p>
    <w:p w14:paraId="0DAE49D2">
      <w:pPr>
        <w:wordWrap w:val="0"/>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采购人将在资格审查阶段通过【</w:t>
      </w:r>
      <w:r>
        <w:rPr>
          <w:color w:val="auto"/>
        </w:rPr>
        <w:fldChar w:fldCharType="begin"/>
      </w:r>
      <w:r>
        <w:rPr>
          <w:color w:val="auto"/>
        </w:rPr>
        <w:instrText xml:space="preserve"> HYPERLINK "http://www.creditchina.gov.cn" </w:instrText>
      </w:r>
      <w:r>
        <w:rPr>
          <w:color w:val="auto"/>
        </w:rPr>
        <w:fldChar w:fldCharType="separate"/>
      </w:r>
      <w:r>
        <w:rPr>
          <w:rStyle w:val="40"/>
          <w:rFonts w:hint="eastAsia" w:ascii="华文仿宋" w:hAnsi="华文仿宋" w:cs="华文仿宋"/>
          <w:color w:val="auto"/>
          <w:sz w:val="28"/>
          <w:szCs w:val="28"/>
        </w:rPr>
        <w:t>信用中国</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www.creditchina.gov.cn</w:t>
      </w:r>
      <w:r>
        <w:rPr>
          <w:rFonts w:hint="eastAsia" w:ascii="华文仿宋" w:hAnsi="华文仿宋" w:cs="华文仿宋"/>
          <w:color w:val="auto"/>
        </w:rPr>
        <w:t>）】、【</w:t>
      </w:r>
      <w:r>
        <w:rPr>
          <w:color w:val="auto"/>
        </w:rPr>
        <w:fldChar w:fldCharType="begin"/>
      </w:r>
      <w:r>
        <w:rPr>
          <w:color w:val="auto"/>
        </w:rPr>
        <w:instrText xml:space="preserve"> HYPERLINK "http://www.ccgp.gov.cn/cr/list" </w:instrText>
      </w:r>
      <w:r>
        <w:rPr>
          <w:color w:val="auto"/>
        </w:rPr>
        <w:fldChar w:fldCharType="separate"/>
      </w:r>
      <w:r>
        <w:rPr>
          <w:rStyle w:val="40"/>
          <w:rFonts w:hint="eastAsia" w:ascii="华文仿宋" w:hAnsi="华文仿宋" w:cs="华文仿宋"/>
          <w:color w:val="auto"/>
          <w:sz w:val="28"/>
          <w:szCs w:val="28"/>
        </w:rPr>
        <w:t>中国政府采购网</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www.ccgp.gov.cn</w:t>
      </w:r>
      <w:r>
        <w:rPr>
          <w:rFonts w:hint="eastAsia" w:ascii="华文仿宋" w:hAnsi="华文仿宋" w:cs="华文仿宋"/>
          <w:color w:val="auto"/>
        </w:rPr>
        <w:t>）】网站对投标文件中的《供应商信用记录书面声明函》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w:t>
      </w:r>
      <w:r>
        <w:rPr>
          <w:rFonts w:hint="eastAsia" w:ascii="仿宋" w:hAnsi="仿宋" w:eastAsia="仿宋" w:cs="仿宋"/>
          <w:color w:val="auto"/>
        </w:rPr>
        <w:t>〔</w:t>
      </w:r>
      <w:r>
        <w:rPr>
          <w:rFonts w:ascii="仿宋" w:hAnsi="仿宋" w:eastAsia="仿宋" w:cs="仿宋"/>
          <w:color w:val="auto"/>
        </w:rPr>
        <w:t>2016</w:t>
      </w:r>
      <w:r>
        <w:rPr>
          <w:rFonts w:hint="eastAsia" w:ascii="仿宋" w:hAnsi="仿宋" w:eastAsia="仿宋" w:cs="仿宋"/>
          <w:color w:val="auto"/>
        </w:rPr>
        <w:t>〕</w:t>
      </w:r>
      <w:r>
        <w:rPr>
          <w:rFonts w:ascii="仿宋" w:hAnsi="仿宋" w:eastAsia="仿宋" w:cs="仿宋"/>
          <w:color w:val="auto"/>
        </w:rPr>
        <w:t>125</w:t>
      </w:r>
      <w:r>
        <w:rPr>
          <w:rFonts w:hint="eastAsia" w:ascii="华文仿宋" w:hAnsi="华文仿宋" w:cs="华文仿宋"/>
          <w:color w:val="auto"/>
        </w:rPr>
        <w:t>号）的第二条第（三）款规定，其投标或成交资格将被取消。</w:t>
      </w:r>
    </w:p>
    <w:p w14:paraId="2BC7DA13">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投标人在参加政府采购活动前</w:t>
      </w:r>
      <w:r>
        <w:rPr>
          <w:rFonts w:ascii="仿宋" w:hAnsi="仿宋" w:eastAsia="仿宋" w:cs="仿宋"/>
          <w:color w:val="auto"/>
        </w:rPr>
        <w:t>3</w:t>
      </w:r>
      <w:r>
        <w:rPr>
          <w:rFonts w:hint="eastAsia" w:ascii="华文仿宋" w:hAnsi="华文仿宋" w:cs="华文仿宋"/>
          <w:color w:val="auto"/>
        </w:rPr>
        <w:t>年内因违法经营被禁止在一定期限内参加政府采购活动，期限届满的，可以参加政府采购活动的，但投标人应提供相关证明材料。</w:t>
      </w:r>
    </w:p>
    <w:p w14:paraId="283C7249">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投标人信用记录及企业基本信息查询的时间段为“招标公告发布之日（含当日）至提交投标文件截止之日（含当日）”。信用记录及企业基本信息查询的结果，可以纸质截图或将截图保存至电子介质的形式留存。投标人未如实填报《供应商信用记录书面声明函》的，视为“投标人提供虚假材料谋取中标、成交的”行为。</w:t>
      </w:r>
    </w:p>
    <w:p w14:paraId="721594FC">
      <w:pPr>
        <w:spacing w:line="500" w:lineRule="exact"/>
        <w:ind w:firstLine="566" w:firstLineChars="200"/>
        <w:rPr>
          <w:rFonts w:ascii="华文仿宋" w:cs="Times New Roman"/>
          <w:b/>
          <w:bCs/>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7860D2AA">
      <w:pPr>
        <w:pStyle w:val="4"/>
        <w:pageBreakBefore w:val="0"/>
        <w:widowControl/>
        <w:kinsoku/>
        <w:wordWrap/>
        <w:overflowPunct/>
        <w:topLinePunct w:val="0"/>
        <w:autoSpaceDE/>
        <w:autoSpaceDN/>
        <w:bidi w:val="0"/>
        <w:adjustRightInd/>
        <w:snapToGrid/>
        <w:spacing w:line="500" w:lineRule="exact"/>
        <w:ind w:left="0" w:leftChars="0" w:firstLine="566" w:firstLineChars="200"/>
        <w:jc w:val="left"/>
        <w:rPr>
          <w:rFonts w:hint="eastAsia" w:ascii="宋体" w:hAnsi="宋体" w:eastAsia="宋体" w:cs="宋体"/>
          <w:b/>
          <w:bCs w:val="0"/>
          <w:sz w:val="24"/>
          <w:szCs w:val="24"/>
          <w:u w:val="none"/>
        </w:rPr>
      </w:pPr>
      <w:bookmarkStart w:id="157" w:name="_Toc12077"/>
      <w:bookmarkEnd w:id="157"/>
      <w:bookmarkStart w:id="158" w:name="_Toc11972"/>
      <w:bookmarkEnd w:id="158"/>
      <w:bookmarkStart w:id="159" w:name="_Toc5640"/>
      <w:bookmarkEnd w:id="159"/>
      <w:bookmarkStart w:id="160" w:name="_Toc7552"/>
      <w:bookmarkEnd w:id="160"/>
      <w:bookmarkStart w:id="161" w:name="_Toc20160"/>
      <w:bookmarkEnd w:id="161"/>
      <w:bookmarkStart w:id="162" w:name="_Toc2762"/>
      <w:bookmarkEnd w:id="162"/>
      <w:bookmarkStart w:id="163" w:name="_Toc7521"/>
      <w:bookmarkEnd w:id="163"/>
      <w:bookmarkStart w:id="164" w:name="_Toc15680"/>
      <w:bookmarkEnd w:id="164"/>
      <w:bookmarkStart w:id="165" w:name="_Toc7784"/>
      <w:bookmarkEnd w:id="165"/>
      <w:bookmarkStart w:id="166" w:name="_Toc31225"/>
      <w:bookmarkEnd w:id="166"/>
      <w:bookmarkStart w:id="167" w:name="_Toc22297"/>
      <w:bookmarkEnd w:id="167"/>
      <w:bookmarkStart w:id="168" w:name="_Toc13983"/>
      <w:bookmarkEnd w:id="168"/>
      <w:bookmarkStart w:id="169" w:name="_Toc17203"/>
      <w:bookmarkEnd w:id="169"/>
      <w:bookmarkStart w:id="170" w:name="_Toc22218"/>
      <w:bookmarkStart w:id="171" w:name="_Toc29629"/>
      <w:bookmarkStart w:id="172" w:name="_Toc13054"/>
      <w:bookmarkStart w:id="173" w:name="_Toc21422"/>
      <w:bookmarkStart w:id="174" w:name="_Toc2301"/>
      <w:bookmarkStart w:id="175" w:name="_Toc4320"/>
      <w:bookmarkStart w:id="176" w:name="_Toc10798"/>
      <w:bookmarkStart w:id="177" w:name="_Toc12893"/>
      <w:bookmarkStart w:id="178" w:name="_Toc23236"/>
      <w:r>
        <w:rPr>
          <w:rFonts w:hint="eastAsia" w:ascii="华文仿宋" w:hAnsi="华文仿宋" w:cs="华文仿宋"/>
          <w:color w:val="auto"/>
          <w:sz w:val="28"/>
          <w:szCs w:val="28"/>
          <w:u w:val="none"/>
        </w:rPr>
        <w:t>（五）</w:t>
      </w:r>
      <w:r>
        <w:rPr>
          <w:rFonts w:hint="eastAsia" w:ascii="华文仿宋" w:hAnsi="华文仿宋" w:eastAsia="华文仿宋" w:cs="华文仿宋"/>
          <w:sz w:val="28"/>
          <w:szCs w:val="28"/>
          <w:u w:val="none"/>
          <w:lang w:val="en-US" w:eastAsia="zh-CN"/>
        </w:rPr>
        <w:t>相关</w:t>
      </w:r>
      <w:r>
        <w:rPr>
          <w:rFonts w:hint="eastAsia" w:ascii="华文仿宋" w:hAnsi="华文仿宋" w:eastAsia="华文仿宋" w:cs="华文仿宋"/>
          <w:sz w:val="28"/>
          <w:szCs w:val="28"/>
          <w:u w:val="none"/>
        </w:rPr>
        <w:t>政府采购政策文件</w:t>
      </w:r>
    </w:p>
    <w:p w14:paraId="5BE6B985">
      <w:pPr>
        <w:spacing w:line="500" w:lineRule="exact"/>
        <w:ind w:firstLine="566" w:firstLineChars="200"/>
        <w:rPr>
          <w:rFonts w:ascii="华文仿宋" w:hAnsi="华文仿宋" w:cs="华文仿宋"/>
          <w:color w:val="000000"/>
        </w:rPr>
      </w:pPr>
      <w:bookmarkStart w:id="179" w:name="_Toc24060"/>
      <w:bookmarkStart w:id="180" w:name="_Toc14846"/>
      <w:bookmarkStart w:id="181" w:name="_Toc3425"/>
      <w:bookmarkStart w:id="182" w:name="_Toc31683"/>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1BD0EF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18BE6C1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0EB84A1C">
      <w:pPr>
        <w:pStyle w:val="12"/>
        <w:spacing w:line="500" w:lineRule="exact"/>
        <w:ind w:firstLine="48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B584B05">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小微</w:t>
      </w:r>
      <w:r>
        <w:rPr>
          <w:rFonts w:hint="eastAsia" w:ascii="仿宋" w:hAnsi="仿宋" w:eastAsia="仿宋" w:cs="仿宋"/>
          <w:b/>
          <w:bCs/>
          <w:color w:val="auto"/>
        </w:rPr>
        <w:t>企业应提供《</w:t>
      </w:r>
      <w:r>
        <w:rPr>
          <w:rFonts w:hint="eastAsia" w:ascii="仿宋" w:hAnsi="仿宋" w:eastAsia="仿宋" w:cs="仿宋"/>
          <w:b/>
          <w:bCs/>
          <w:color w:val="auto"/>
          <w:lang w:val="en-US" w:eastAsia="zh-CN"/>
        </w:rPr>
        <w:t>小微</w:t>
      </w:r>
      <w:r>
        <w:rPr>
          <w:rFonts w:hint="eastAsia" w:ascii="仿宋" w:hAnsi="仿宋" w:eastAsia="仿宋" w:cs="仿宋"/>
          <w:b/>
          <w:bCs/>
          <w:color w:val="auto"/>
        </w:rPr>
        <w:t>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电子投标</w:t>
      </w:r>
      <w:r>
        <w:rPr>
          <w:rFonts w:hint="eastAsia" w:ascii="华文仿宋" w:hAnsi="华文仿宋" w:cs="华文仿宋"/>
          <w:b/>
          <w:bCs/>
          <w:color w:val="auto"/>
        </w:rPr>
        <w:t>文</w:t>
      </w:r>
      <w:r>
        <w:rPr>
          <w:rFonts w:hint="eastAsia" w:ascii="华文仿宋" w:hAnsi="华文仿宋" w:cs="华文仿宋"/>
          <w:b/>
          <w:bCs/>
        </w:rPr>
        <w:t>件无效。</w:t>
      </w:r>
    </w:p>
    <w:p w14:paraId="6D23AA42">
      <w:pPr>
        <w:pStyle w:val="12"/>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中小</w:t>
      </w:r>
      <w:r>
        <w:rPr>
          <w:rFonts w:hint="eastAsia" w:ascii="华文仿宋" w:hAnsi="华文仿宋" w:cs="华文仿宋"/>
          <w:color w:val="000000"/>
          <w:sz w:val="24"/>
          <w:szCs w:val="24"/>
        </w:rPr>
        <w:t>企业划分标准参照《中小企业划型标准规定》（工信部联企业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2B8FB640">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auto"/>
          <w:lang w:val="en-US" w:eastAsia="zh-CN"/>
        </w:rPr>
        <w:t>扫描件</w:t>
      </w:r>
      <w:r>
        <w:rPr>
          <w:rFonts w:hint="eastAsia" w:ascii="华文仿宋" w:hAnsi="华文仿宋" w:cs="华文仿宋"/>
          <w:color w:val="000000"/>
          <w:lang w:val="zh-CN"/>
        </w:rPr>
        <w:t>，监狱和戒毒企业</w:t>
      </w:r>
      <w:r>
        <w:rPr>
          <w:rFonts w:hint="eastAsia" w:ascii="华文仿宋" w:hAnsi="华文仿宋" w:cs="华文仿宋"/>
          <w:color w:val="000000"/>
        </w:rPr>
        <w:t>视同小型、微型企业。</w:t>
      </w:r>
    </w:p>
    <w:p w14:paraId="7BB9EF0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674CF4E">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w:t>
      </w:r>
      <w:r>
        <w:rPr>
          <w:rFonts w:hint="eastAsia" w:ascii="华文仿宋" w:hAnsi="华文仿宋" w:cs="华文仿宋"/>
          <w:b/>
          <w:bCs/>
          <w:color w:val="auto"/>
          <w:lang w:val="en-US" w:eastAsia="zh-CN"/>
        </w:rPr>
        <w:t>投标</w:t>
      </w:r>
      <w:r>
        <w:rPr>
          <w:rFonts w:hint="eastAsia" w:ascii="华文仿宋" w:hAnsi="华文仿宋" w:cs="华文仿宋"/>
          <w:b/>
          <w:bCs/>
          <w:color w:val="auto"/>
        </w:rPr>
        <w:t>文件无效。</w:t>
      </w:r>
    </w:p>
    <w:p w14:paraId="3C3778D0">
      <w:pPr>
        <w:pStyle w:val="17"/>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876F23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p>
    <w:p w14:paraId="68D831B7">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节能产品政府采购品目清单详见财政部、发展改革委《关于印发节能产品政府采购品目清单的通知》（财库〔2019〕19号）。</w:t>
      </w:r>
    </w:p>
    <w:p w14:paraId="729609AF">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环境标志产品政府采购品目清单详见财政部、生态环境部《关于印发环境标志产品政府采购品目清单的通知》（财库〔2019〕18号）。</w:t>
      </w:r>
    </w:p>
    <w:p w14:paraId="4B9E9B8F">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国家确定的节能产品、环境标志产品认证机构详见市场监管总局《关于发布参与实施政府采购节能产品、环境标志产品认证机构名录的公告》（2019年第16号）。</w:t>
      </w:r>
    </w:p>
    <w:p w14:paraId="38D3543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cs="华文仿宋"/>
          <w:kern w:val="0"/>
        </w:rPr>
        <w:t>”（</w:t>
      </w:r>
      <w:r>
        <w:fldChar w:fldCharType="begin"/>
      </w:r>
      <w:r>
        <w:instrText xml:space="preserve"> HYPERLINK "http://www.ccgp-shaanxi.gov.cn/zcdservice/zcd/shanxi/" </w:instrText>
      </w:r>
      <w:r>
        <w:fldChar w:fldCharType="separate"/>
      </w:r>
      <w:r>
        <w:rPr>
          <w:rFonts w:hint="eastAsia" w:ascii="华文仿宋" w:hAnsi="华文仿宋" w:cs="华文仿宋"/>
          <w:kern w:val="0"/>
        </w:rPr>
        <w:t>陕西省政府采购信用融资平台</w:t>
      </w:r>
      <w:r>
        <w:rPr>
          <w:rFonts w:hint="eastAsia" w:ascii="华文仿宋" w:hAnsi="华文仿宋" w:cs="华文仿宋"/>
          <w:kern w:val="0"/>
        </w:rPr>
        <w:fldChar w:fldCharType="end"/>
      </w:r>
      <w:r>
        <w:rPr>
          <w:rFonts w:hint="eastAsia" w:ascii="华文仿宋" w:hAnsi="华文仿宋" w:cs="华文仿宋"/>
          <w:kern w:val="0"/>
        </w:rPr>
        <w:t>：</w:t>
      </w:r>
      <w:r>
        <w:rPr>
          <w:rFonts w:hint="eastAsia" w:ascii="华文仿宋" w:hAnsi="华文仿宋" w:cs="华文仿宋"/>
          <w:kern w:val="0"/>
        </w:rPr>
        <w:fldChar w:fldCharType="begin"/>
      </w:r>
      <w:r>
        <w:rPr>
          <w:rFonts w:hint="eastAsia" w:ascii="华文仿宋" w:hAnsi="华文仿宋" w:cs="华文仿宋"/>
          <w:kern w:val="0"/>
        </w:rPr>
        <w:instrText xml:space="preserve"> HYPERLINK "http://www.ccgp-shaanxi.gov.cn/zcdservice/zcd/shanxi/）" </w:instrText>
      </w:r>
      <w:r>
        <w:rPr>
          <w:rFonts w:hint="eastAsia" w:ascii="华文仿宋" w:hAnsi="华文仿宋" w:cs="华文仿宋"/>
          <w:kern w:val="0"/>
        </w:rPr>
        <w:fldChar w:fldCharType="separate"/>
      </w:r>
      <w:r>
        <w:rPr>
          <w:rStyle w:val="40"/>
          <w:rFonts w:hint="eastAsia" w:ascii="华文仿宋" w:hAnsi="华文仿宋" w:cs="华文仿宋"/>
          <w:kern w:val="0"/>
        </w:rPr>
        <w:t>http://www.ccgp-shaanxi.gov.cn/zcdservice/zcd/shanxi/）</w:t>
      </w:r>
      <w:r>
        <w:rPr>
          <w:rFonts w:hint="eastAsia" w:ascii="华文仿宋" w:hAnsi="华文仿宋" w:cs="华文仿宋"/>
          <w:kern w:val="0"/>
        </w:rPr>
        <w:fldChar w:fldCharType="end"/>
      </w:r>
    </w:p>
    <w:p w14:paraId="51556916">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10.</w:t>
      </w:r>
      <w:r>
        <w:rPr>
          <w:rFonts w:hint="eastAsia" w:ascii="华文仿宋" w:hAnsi="华文仿宋" w:eastAsia="华文仿宋" w:cs="华文仿宋"/>
          <w:kern w:val="0"/>
          <w:sz w:val="28"/>
          <w:szCs w:val="28"/>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26E058B6">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1.投标（响应）报价低于全部通过符合性审查供应商投标（响应）报价平均值50%的，即投标（响应）报价&lt;全部通过符合性审查供应商投标（响应）报价平均值×50%；</w:t>
      </w:r>
    </w:p>
    <w:p w14:paraId="1836EE79">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2.投标（响应）报价低于通过符合性审查的次低报价供应商投标（响应）报价50%的，即投标（响应）报价&lt;通过符合性审查的次低报价供应商投标（响应）报价×50%；</w:t>
      </w:r>
    </w:p>
    <w:p w14:paraId="50CCF0BD">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3.投标（响应）报价低于采购项目最高限价45%的，即投标（响应）报价&lt;采购项目最高限价×45%；</w:t>
      </w:r>
    </w:p>
    <w:p w14:paraId="70CF69A8">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4.评审委员会基于专业判断，认为供应商报价过低，有可能影响产品质量或者不能诚信履约的其他情形。</w:t>
      </w:r>
    </w:p>
    <w:p w14:paraId="372C99B8">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采购人可以结合具体项目实际情况，提高上述第1项至第3项中启动异常低价投标（响应）审查的数值标准，但是最高不得超过65%。</w:t>
      </w:r>
    </w:p>
    <w:p w14:paraId="7A88D8C2">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相关法律法规对供应商报价有规定的，从其规定。</w:t>
      </w:r>
    </w:p>
    <w:p w14:paraId="51D7E141">
      <w:pPr>
        <w:keepNext w:val="0"/>
        <w:keepLines w:val="0"/>
        <w:pageBreakBefore w:val="0"/>
        <w:widowControl/>
        <w:kinsoku/>
        <w:overflowPunct/>
        <w:topLinePunct w:val="0"/>
        <w:autoSpaceDE/>
        <w:autoSpaceDN/>
        <w:bidi w:val="0"/>
        <w:adjustRightInd/>
        <w:snapToGrid/>
        <w:spacing w:line="500" w:lineRule="exact"/>
        <w:ind w:firstLine="566" w:firstLineChars="200"/>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9DC8793">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3D8495">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33D9EF">
      <w:pPr>
        <w:keepNext w:val="0"/>
        <w:keepLines w:val="0"/>
        <w:pageBreakBefore w:val="0"/>
        <w:widowControl/>
        <w:kinsoku/>
        <w:overflowPunct/>
        <w:topLinePunct w:val="0"/>
        <w:autoSpaceDE/>
        <w:autoSpaceDN/>
        <w:bidi w:val="0"/>
        <w:adjustRightInd/>
        <w:snapToGrid/>
        <w:spacing w:line="500" w:lineRule="exact"/>
        <w:textAlignment w:val="auto"/>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color w:val="000000"/>
          <w:kern w:val="0"/>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3C2B3117">
      <w:r>
        <w:rPr>
          <w:rFonts w:hint="eastAsia" w:ascii="华文仿宋" w:hAnsi="华文仿宋" w:eastAsia="华文仿宋" w:cs="华文仿宋"/>
          <w:color w:val="000000"/>
          <w:kern w:val="0"/>
          <w:sz w:val="28"/>
          <w:szCs w:val="28"/>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5A69DAA">
      <w:pPr>
        <w:pStyle w:val="12"/>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default"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注：</w:t>
      </w:r>
      <w:r>
        <w:rPr>
          <w:rFonts w:hint="eastAsia" w:cs="Calibri Light"/>
          <w:b/>
          <w:bCs/>
          <w:color w:val="auto"/>
          <w:kern w:val="2"/>
          <w:sz w:val="28"/>
          <w:szCs w:val="28"/>
          <w:highlight w:val="none"/>
          <w:lang w:val="en-US" w:eastAsia="zh-CN" w:bidi="ar-SA"/>
        </w:rPr>
        <w:t>1.</w:t>
      </w:r>
      <w:r>
        <w:rPr>
          <w:rFonts w:hint="eastAsia" w:ascii="Calibri Light" w:hAnsi="Calibri Light" w:eastAsia="华文仿宋" w:cs="Calibri Light"/>
          <w:b/>
          <w:bCs/>
          <w:color w:val="auto"/>
          <w:kern w:val="2"/>
          <w:sz w:val="28"/>
          <w:szCs w:val="28"/>
          <w:highlight w:val="none"/>
          <w:lang w:val="en-US" w:eastAsia="zh-CN" w:bidi="ar-SA"/>
        </w:rPr>
        <w:t>参加投标供应商根据项目具体情况自行响应相关政府采购政策文件。</w:t>
      </w:r>
    </w:p>
    <w:p w14:paraId="289E57C2">
      <w:pPr>
        <w:pStyle w:val="12"/>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eastAsia" w:ascii="华文仿宋" w:hAnsi="华文仿宋" w:cs="华文仿宋"/>
          <w:b/>
          <w:bCs/>
          <w:color w:val="000000"/>
        </w:rPr>
      </w:pPr>
      <w:r>
        <w:rPr>
          <w:rFonts w:hint="eastAsia" w:cs="Calibri Light"/>
          <w:b/>
          <w:bCs/>
          <w:color w:val="auto"/>
          <w:kern w:val="2"/>
          <w:sz w:val="28"/>
          <w:szCs w:val="28"/>
          <w:highlight w:val="none"/>
          <w:lang w:val="en-US" w:eastAsia="zh-CN" w:bidi="ar-SA"/>
        </w:rPr>
        <w:t>2.</w:t>
      </w:r>
      <w:r>
        <w:rPr>
          <w:rFonts w:hint="eastAsia" w:ascii="Calibri Light" w:hAnsi="Calibri Light" w:eastAsia="华文仿宋" w:cs="Calibri Light"/>
          <w:b/>
          <w:bCs/>
          <w:color w:val="auto"/>
          <w:kern w:val="2"/>
          <w:sz w:val="28"/>
          <w:szCs w:val="28"/>
          <w:highlight w:val="none"/>
          <w:lang w:val="en-US" w:eastAsia="zh-CN" w:bidi="ar-SA"/>
        </w:rPr>
        <w:t>本项目为</w:t>
      </w:r>
      <w:r>
        <w:rPr>
          <w:rFonts w:hint="eastAsia" w:ascii="Calibri Light" w:hAnsi="Calibri Light" w:cs="Calibri Light"/>
          <w:b/>
          <w:bCs/>
          <w:color w:val="auto"/>
          <w:kern w:val="2"/>
          <w:sz w:val="28"/>
          <w:szCs w:val="28"/>
          <w:highlight w:val="none"/>
          <w:lang w:val="en-US" w:eastAsia="zh-CN" w:bidi="ar-SA"/>
        </w:rPr>
        <w:t>专门面向小微</w:t>
      </w:r>
      <w:r>
        <w:rPr>
          <w:rFonts w:hint="eastAsia" w:ascii="Calibri Light" w:hAnsi="Calibri Light" w:eastAsia="华文仿宋" w:cs="Calibri Light"/>
          <w:b/>
          <w:bCs/>
          <w:color w:val="auto"/>
          <w:kern w:val="2"/>
          <w:sz w:val="28"/>
          <w:szCs w:val="28"/>
          <w:highlight w:val="none"/>
          <w:lang w:val="en-US" w:eastAsia="zh-CN" w:bidi="ar-SA"/>
        </w:rPr>
        <w:t>企业采购的采购项目，因此，不再执行价格评审优惠扶持政策。</w:t>
      </w:r>
    </w:p>
    <w:p w14:paraId="3230E339">
      <w:pPr>
        <w:keepNext w:val="0"/>
        <w:keepLines w:val="0"/>
        <w:pageBreakBefore w:val="0"/>
        <w:widowControl/>
        <w:kinsoku/>
        <w:wordWrap/>
        <w:overflowPunct/>
        <w:topLinePunct w:val="0"/>
        <w:autoSpaceDE/>
        <w:autoSpaceDN/>
        <w:bidi w:val="0"/>
        <w:adjustRightInd/>
        <w:snapToGrid/>
        <w:spacing w:line="480" w:lineRule="exact"/>
        <w:ind w:firstLine="566" w:firstLineChars="200"/>
        <w:textAlignment w:val="auto"/>
        <w:rPr>
          <w:rFonts w:hint="eastAsia"/>
          <w:color w:val="auto"/>
        </w:rPr>
      </w:pPr>
      <w:r>
        <w:rPr>
          <w:rFonts w:hint="eastAsia"/>
          <w:color w:val="auto"/>
        </w:rPr>
        <w:t>本项目采购标的对应</w:t>
      </w:r>
      <w:r>
        <w:rPr>
          <w:rFonts w:hint="eastAsia"/>
          <w:color w:val="auto"/>
          <w:highlight w:val="none"/>
        </w:rPr>
        <w:t>的中小</w:t>
      </w:r>
      <w:r>
        <w:rPr>
          <w:rFonts w:hint="eastAsia"/>
          <w:color w:val="auto"/>
        </w:rPr>
        <w:t>企业划分标准所属行业为</w:t>
      </w:r>
      <w:r>
        <w:rPr>
          <w:rFonts w:hint="eastAsia"/>
          <w:b/>
          <w:bCs/>
          <w:color w:val="auto"/>
          <w:u w:val="single"/>
          <w:lang w:val="en-US" w:eastAsia="zh-CN"/>
        </w:rPr>
        <w:t>其他未列明行业</w:t>
      </w:r>
      <w:r>
        <w:rPr>
          <w:rFonts w:hint="eastAsia"/>
          <w:color w:val="auto"/>
        </w:rPr>
        <w:t>。</w:t>
      </w:r>
    </w:p>
    <w:bookmarkEnd w:id="170"/>
    <w:bookmarkEnd w:id="171"/>
    <w:bookmarkEnd w:id="172"/>
    <w:bookmarkEnd w:id="173"/>
    <w:bookmarkEnd w:id="174"/>
    <w:bookmarkEnd w:id="175"/>
    <w:bookmarkEnd w:id="176"/>
    <w:bookmarkEnd w:id="177"/>
    <w:bookmarkEnd w:id="178"/>
    <w:bookmarkEnd w:id="179"/>
    <w:bookmarkEnd w:id="180"/>
    <w:bookmarkEnd w:id="181"/>
    <w:bookmarkEnd w:id="182"/>
    <w:p w14:paraId="5B3AA21A">
      <w:pPr>
        <w:pStyle w:val="3"/>
        <w:spacing w:line="500" w:lineRule="exact"/>
        <w:ind w:firstLine="566" w:firstLineChars="200"/>
        <w:rPr>
          <w:rFonts w:ascii="华文仿宋" w:cs="Times New Roman"/>
          <w:color w:val="auto"/>
          <w:sz w:val="28"/>
          <w:szCs w:val="28"/>
        </w:rPr>
      </w:pPr>
      <w:r>
        <w:rPr>
          <w:rFonts w:hint="eastAsia" w:ascii="华文仿宋" w:hAnsi="华文仿宋" w:cs="华文仿宋"/>
          <w:color w:val="auto"/>
          <w:sz w:val="28"/>
          <w:szCs w:val="28"/>
        </w:rPr>
        <w:t>（六）关于产品和服务</w:t>
      </w:r>
    </w:p>
    <w:p w14:paraId="68AB19E2">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所有产品必须具有在中国境内法定许可的生产及销售资格，且为全新原厂制造，其核心关键部分为近</w:t>
      </w:r>
      <w:r>
        <w:rPr>
          <w:rFonts w:ascii="仿宋" w:hAnsi="仿宋" w:eastAsia="仿宋" w:cs="仿宋"/>
          <w:color w:val="auto"/>
        </w:rPr>
        <w:t>10</w:t>
      </w:r>
      <w:r>
        <w:rPr>
          <w:rFonts w:hint="eastAsia" w:ascii="华文仿宋" w:hAnsi="华文仿宋" w:cs="华文仿宋"/>
          <w:color w:val="auto"/>
        </w:rPr>
        <w:t>个月内所生产的非淘汰类产品；属于《中华人民共和国实施强制性产品认证的产品目录》的产品，就不能提供超出此目录范畴外的替代品，此外，还须同时具备国家认监委颁布《中国强制认证》（</w:t>
      </w:r>
      <w:r>
        <w:rPr>
          <w:rFonts w:hint="eastAsia" w:ascii="仿宋" w:hAnsi="仿宋" w:eastAsia="仿宋" w:cs="仿宋"/>
          <w:color w:val="auto"/>
          <w:kern w:val="0"/>
        </w:rPr>
        <w:t>CCC</w:t>
      </w:r>
      <w:r>
        <w:rPr>
          <w:rFonts w:hint="eastAsia" w:ascii="华文仿宋" w:hAnsi="华文仿宋" w:cs="华文仿宋"/>
          <w:color w:val="auto"/>
        </w:rPr>
        <w:t>认证）。</w:t>
      </w:r>
    </w:p>
    <w:p w14:paraId="5DB1943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bCs/>
          <w:color w:val="auto"/>
          <w:lang w:val="en-US" w:eastAsia="zh-CN"/>
        </w:rPr>
        <w:t>.</w:t>
      </w:r>
      <w:r>
        <w:rPr>
          <w:rFonts w:hint="eastAsia" w:ascii="华文仿宋" w:hAnsi="华文仿宋" w:cs="华文仿宋"/>
          <w:color w:val="auto"/>
        </w:rPr>
        <w:t>采购的产品属于政府采购节能产品</w:t>
      </w:r>
      <w:r>
        <w:rPr>
          <w:rFonts w:hint="eastAsia" w:ascii="华文仿宋" w:hAnsi="华文仿宋" w:cs="华文仿宋"/>
          <w:bCs/>
          <w:color w:val="auto"/>
        </w:rPr>
        <w:t>、</w:t>
      </w:r>
      <w:r>
        <w:rPr>
          <w:rFonts w:hint="eastAsia" w:ascii="华文仿宋" w:hAnsi="华文仿宋" w:cs="华文仿宋"/>
          <w:color w:val="auto"/>
        </w:rPr>
        <w:t>环境标志产品品目清单范围的，投标人需提供国家确定的认证机构出具的、处于有效期之内的节能产品、环境标志产品认证证书，对获得证书的产品实施政府优先采购或强制采购。</w:t>
      </w:r>
    </w:p>
    <w:p w14:paraId="3F80E5ED">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772CDAD3">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信息安全产品应当获得国家信息安全认证，并可提供由中国信息安全认证中心按照国家标准认证颁发的有效认证证书。</w:t>
      </w:r>
    </w:p>
    <w:p w14:paraId="4856B2E5">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根据《政府采购进口产品管理办法》（财库</w:t>
      </w:r>
      <w:r>
        <w:rPr>
          <w:rFonts w:hint="eastAsia" w:ascii="仿宋" w:hAnsi="仿宋" w:eastAsia="仿宋" w:cs="仿宋"/>
          <w:color w:val="auto"/>
        </w:rPr>
        <w:t>〔</w:t>
      </w:r>
      <w:r>
        <w:rPr>
          <w:rFonts w:ascii="仿宋" w:hAnsi="仿宋" w:eastAsia="仿宋" w:cs="仿宋"/>
          <w:color w:val="auto"/>
        </w:rPr>
        <w:t>2007</w:t>
      </w:r>
      <w:r>
        <w:rPr>
          <w:rFonts w:hint="eastAsia" w:ascii="仿宋" w:hAnsi="仿宋" w:eastAsia="仿宋" w:cs="仿宋"/>
          <w:color w:val="auto"/>
        </w:rPr>
        <w:t>〕</w:t>
      </w:r>
      <w:r>
        <w:rPr>
          <w:rFonts w:ascii="仿宋" w:hAnsi="仿宋" w:eastAsia="仿宋" w:cs="仿宋"/>
          <w:color w:val="auto"/>
        </w:rPr>
        <w:t>119</w:t>
      </w:r>
      <w:r>
        <w:rPr>
          <w:rFonts w:hint="eastAsia" w:ascii="华文仿宋" w:hAnsi="华文仿宋" w:cs="华文仿宋"/>
          <w:color w:val="auto"/>
        </w:rPr>
        <w:t>号）与《关于政府采购进口产品管理有关问题的通知》（财办库</w:t>
      </w:r>
      <w:r>
        <w:rPr>
          <w:rFonts w:ascii="仿宋" w:hAnsi="仿宋" w:eastAsia="仿宋" w:cs="仿宋"/>
          <w:color w:val="auto"/>
        </w:rPr>
        <w:t>[2008]248</w:t>
      </w:r>
      <w:r>
        <w:rPr>
          <w:rFonts w:hint="eastAsia" w:ascii="华文仿宋" w:hAnsi="华文仿宋" w:cs="华文仿宋"/>
          <w:color w:val="auto"/>
        </w:rPr>
        <w:t>号）的有关规定，未经核准同意，投标人投标时必须提供本国产品，投标人以进口产品参与投标的，将作无效投标处理。</w:t>
      </w:r>
    </w:p>
    <w:p w14:paraId="779453F1">
      <w:pPr>
        <w:spacing w:line="500" w:lineRule="exact"/>
        <w:ind w:firstLine="566" w:firstLineChars="200"/>
        <w:rPr>
          <w:rFonts w:ascii="华文仿宋" w:hAnsi="华文仿宋" w:cs="华文仿宋"/>
          <w:color w:val="auto"/>
        </w:rPr>
      </w:pPr>
      <w:bookmarkStart w:id="183" w:name="_Toc8680"/>
      <w:bookmarkStart w:id="184" w:name="_Toc9128"/>
      <w:bookmarkStart w:id="185" w:name="_Toc27587"/>
      <w:bookmarkStart w:id="186" w:name="_Toc14421"/>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如招标文件中已说明，经政府采购管理部门审核同意，允许部分或全部产品采购进口产品，投标人既可提供本国产品，也可以提供进口产品。</w:t>
      </w:r>
      <w:r>
        <w:rPr>
          <w:rFonts w:hint="eastAsia" w:ascii="华文仿宋" w:hAnsi="华文仿宋" w:cs="华文仿宋"/>
          <w:color w:val="auto"/>
          <w:lang w:val="en-US" w:eastAsia="zh-CN"/>
        </w:rPr>
        <w:t>根据延安市财政局（延财办采〔2023〕14号）文件要求，参加本次采购的供应商不得采购美光公司产品（包括含有美光芯片的产品）。</w:t>
      </w:r>
      <w:r>
        <w:rPr>
          <w:rFonts w:hint="eastAsia" w:ascii="华文仿宋" w:hAnsi="华文仿宋" w:cs="华文仿宋"/>
          <w:color w:val="auto"/>
        </w:rPr>
        <w:t>在提供的进口产品中，优先采购向我国企业转让技术、与我国企业签订消化吸收再创新方案的投标人的进口产品。进口产品必须同时具备原产地证明、中国商检证明及合法进货渠道全套单证。</w:t>
      </w:r>
    </w:p>
    <w:bookmarkEnd w:id="183"/>
    <w:bookmarkEnd w:id="184"/>
    <w:bookmarkEnd w:id="185"/>
    <w:bookmarkEnd w:id="186"/>
    <w:p w14:paraId="0F431D36">
      <w:pPr>
        <w:spacing w:line="500" w:lineRule="exact"/>
        <w:ind w:firstLine="566" w:firstLineChars="200"/>
        <w:outlineLvl w:val="1"/>
        <w:rPr>
          <w:rFonts w:ascii="华文仿宋" w:cs="Times New Roman"/>
          <w:b/>
          <w:bCs/>
          <w:color w:val="auto"/>
        </w:rPr>
      </w:pPr>
      <w:bookmarkStart w:id="187" w:name="_Toc4584"/>
      <w:bookmarkEnd w:id="187"/>
      <w:bookmarkStart w:id="188" w:name="_Toc13812"/>
      <w:bookmarkEnd w:id="188"/>
      <w:bookmarkStart w:id="189" w:name="_Toc26560"/>
      <w:bookmarkEnd w:id="189"/>
      <w:bookmarkStart w:id="190" w:name="_Toc1957"/>
      <w:bookmarkEnd w:id="190"/>
      <w:bookmarkStart w:id="191" w:name="_Toc9202"/>
      <w:bookmarkEnd w:id="191"/>
      <w:bookmarkStart w:id="192" w:name="_Toc24738"/>
      <w:bookmarkEnd w:id="192"/>
      <w:bookmarkStart w:id="193" w:name="_Toc32325"/>
      <w:bookmarkEnd w:id="193"/>
      <w:bookmarkStart w:id="194" w:name="_Toc22958"/>
      <w:bookmarkEnd w:id="194"/>
      <w:bookmarkStart w:id="195" w:name="_Toc2191"/>
      <w:bookmarkEnd w:id="195"/>
      <w:r>
        <w:rPr>
          <w:rFonts w:hint="eastAsia" w:ascii="华文仿宋" w:hAnsi="华文仿宋" w:cs="华文仿宋"/>
          <w:b/>
          <w:bCs/>
          <w:color w:val="auto"/>
        </w:rPr>
        <w:t>（七）关于同一品牌产品的处理</w:t>
      </w:r>
    </w:p>
    <w:p w14:paraId="50381BF7">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w:t>
      </w:r>
      <w:r>
        <w:rPr>
          <w:rFonts w:hint="eastAsia" w:ascii="华文仿宋" w:hAnsi="华文仿宋" w:cs="华文仿宋"/>
          <w:color w:val="auto"/>
          <w:lang w:val="en-US" w:eastAsia="zh-CN"/>
        </w:rPr>
        <w:t>.</w:t>
      </w:r>
      <w:r>
        <w:rPr>
          <w:rFonts w:hint="eastAsia" w:ascii="华文仿宋" w:hAnsi="华文仿宋" w:cs="华文仿宋"/>
          <w:bCs/>
          <w:color w:val="auto"/>
        </w:rPr>
        <w:t>单一产品采购项目中，提供相同品牌的产品的不同投标人参加同一合同项下投标的，按以下处理：</w:t>
      </w:r>
    </w:p>
    <w:p w14:paraId="4EECA089">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采用最低评标价法的采购项目，提供相同品牌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336BDD2D">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10D5D8E2">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w:t>
      </w:r>
      <w:r>
        <w:rPr>
          <w:rFonts w:hint="eastAsia" w:ascii="华文仿宋" w:hAnsi="华文仿宋" w:cs="华文仿宋"/>
          <w:color w:val="auto"/>
          <w:lang w:val="en-US" w:eastAsia="zh-CN"/>
        </w:rPr>
        <w:t>.</w:t>
      </w:r>
      <w:r>
        <w:rPr>
          <w:rFonts w:hint="eastAsia" w:ascii="华文仿宋" w:hAnsi="华文仿宋" w:cs="华文仿宋"/>
          <w:bCs/>
          <w:color w:val="auto"/>
        </w:rPr>
        <w:t>非单一产品采购项目，采购人将根据采购项目技术构成、产品价格比重等因素确定核心产品（可能不止一种），并在招标文件中载明。提供相同品牌的核心产品的不同投标人参加同一合同项下投标的，按以下处理：</w:t>
      </w:r>
    </w:p>
    <w:p w14:paraId="2D21A18A">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1）采用最低评标价法的采购项目，提供相同品牌核心产品的不同投标人参加同一合同项下投标的，以其中通过资格审查、符合性审查且投标报价最低的参加评标；报价相同的，由评标委员会按照技术方案、售后服务等内容确定一个参加评标的投标人，其他投标无效。</w:t>
      </w:r>
    </w:p>
    <w:p w14:paraId="73EFF9C6">
      <w:pPr>
        <w:spacing w:line="500" w:lineRule="exact"/>
        <w:ind w:firstLine="566" w:firstLineChars="200"/>
        <w:rPr>
          <w:rFonts w:ascii="华文仿宋" w:hAnsi="华文仿宋" w:cs="华文仿宋"/>
          <w:bCs/>
          <w:color w:val="auto"/>
        </w:rPr>
      </w:pPr>
      <w:r>
        <w:rPr>
          <w:rFonts w:hint="eastAsia" w:ascii="华文仿宋" w:hAnsi="华文仿宋" w:cs="华文仿宋"/>
          <w:bCs/>
          <w:color w:val="auto"/>
        </w:rPr>
        <w:t>（2）使用综合评分法的采购项目，提供相同品牌核心产品且通过资格审查、符合性审查的不同投标人参加同一合同项下投标的，按一家投标人计算，评审后得分最高的同品牌投标人获得中标人推荐资格；评审得分相同的，由评标委员会按照投标报价最低的方式确定一个获得中标人推荐资格，其他同品牌投标人不作为中标候选人。</w:t>
      </w:r>
    </w:p>
    <w:p w14:paraId="7838447A">
      <w:pPr>
        <w:spacing w:line="500" w:lineRule="exact"/>
        <w:ind w:firstLine="566" w:firstLineChars="200"/>
        <w:rPr>
          <w:rFonts w:ascii="华文仿宋" w:hAnsi="华文仿宋" w:cs="华文仿宋"/>
          <w:bCs/>
          <w:color w:val="auto"/>
        </w:rPr>
      </w:pPr>
      <w:bookmarkStart w:id="196" w:name="_Toc8711"/>
      <w:bookmarkStart w:id="197" w:name="_Toc14044"/>
      <w:bookmarkStart w:id="198" w:name="_Toc24108"/>
      <w:bookmarkStart w:id="199" w:name="_Toc3975"/>
      <w:r>
        <w:rPr>
          <w:rFonts w:hint="eastAsia" w:ascii="华文仿宋" w:hAnsi="华文仿宋" w:cs="华文仿宋"/>
          <w:bCs/>
          <w:color w:val="auto"/>
        </w:rPr>
        <w:t>（3）核心产品为两个以上时，多家投标人提供的核心产品有部分采用或全部采用相同品牌的，按一家投标人计算。</w:t>
      </w:r>
    </w:p>
    <w:bookmarkEnd w:id="196"/>
    <w:bookmarkEnd w:id="197"/>
    <w:bookmarkEnd w:id="198"/>
    <w:bookmarkEnd w:id="199"/>
    <w:p w14:paraId="21E3D7D4">
      <w:pPr>
        <w:spacing w:line="500" w:lineRule="exact"/>
        <w:ind w:firstLine="566" w:firstLineChars="200"/>
        <w:outlineLvl w:val="1"/>
        <w:rPr>
          <w:rFonts w:ascii="华文仿宋" w:hAnsi="华文仿宋" w:cs="华文仿宋"/>
          <w:b/>
          <w:bCs/>
          <w:color w:val="auto"/>
        </w:rPr>
      </w:pPr>
      <w:bookmarkStart w:id="200" w:name="_Toc29723"/>
      <w:bookmarkEnd w:id="200"/>
      <w:bookmarkStart w:id="201" w:name="_Toc22662"/>
      <w:bookmarkEnd w:id="201"/>
      <w:bookmarkStart w:id="202" w:name="_Toc2291"/>
      <w:bookmarkEnd w:id="202"/>
      <w:bookmarkStart w:id="203" w:name="_Toc28691"/>
      <w:bookmarkEnd w:id="203"/>
      <w:bookmarkStart w:id="204" w:name="_Toc20287"/>
      <w:bookmarkEnd w:id="204"/>
      <w:bookmarkStart w:id="205" w:name="_Toc1065"/>
      <w:bookmarkEnd w:id="205"/>
      <w:bookmarkStart w:id="206" w:name="_Toc12727"/>
      <w:bookmarkEnd w:id="206"/>
      <w:bookmarkStart w:id="207" w:name="_Toc8606"/>
      <w:bookmarkEnd w:id="207"/>
      <w:bookmarkStart w:id="208" w:name="_Toc30507"/>
      <w:bookmarkEnd w:id="208"/>
      <w:r>
        <w:rPr>
          <w:rFonts w:hint="eastAsia" w:ascii="华文仿宋" w:hAnsi="华文仿宋" w:cs="华文仿宋"/>
          <w:b/>
          <w:bCs/>
          <w:color w:val="auto"/>
        </w:rPr>
        <w:t>（八）知识产权与保密事项</w:t>
      </w:r>
    </w:p>
    <w:p w14:paraId="2A170DF9">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所有涉及知识产权的产品及设计，投标人必须确保采购人拥有其合法的、不受限制的无偿使用权，并免受任何侵权诉讼或索偿，否则，由此产生的一切经济损失和法律责任由投标人承担。</w:t>
      </w:r>
    </w:p>
    <w:p w14:paraId="461937F3">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由采购人向投标人提供的用户需求书、图纸、样品、模型、模件和所有资料，投标人获得后，应对其保密。除非采购人同意，投标人不得向第三方透露或将其用于本次投标以外的任何用途。开标后，若采购人有要求，投标人须归还采购人认为需保密的文件和资料，并销毁所有相应的备份文件及资料。</w:t>
      </w:r>
    </w:p>
    <w:p w14:paraId="7476B3EC">
      <w:pPr>
        <w:pStyle w:val="3"/>
        <w:spacing w:line="500" w:lineRule="exact"/>
        <w:ind w:firstLine="566" w:firstLineChars="200"/>
        <w:rPr>
          <w:rFonts w:ascii="华文仿宋" w:cs="Times New Roman"/>
          <w:color w:val="auto"/>
          <w:sz w:val="28"/>
          <w:szCs w:val="28"/>
        </w:rPr>
      </w:pPr>
      <w:bookmarkStart w:id="209" w:name="_Toc29889"/>
      <w:bookmarkEnd w:id="209"/>
      <w:bookmarkStart w:id="210" w:name="_Toc16987"/>
      <w:bookmarkEnd w:id="210"/>
      <w:bookmarkStart w:id="211" w:name="_Toc18494"/>
      <w:bookmarkEnd w:id="211"/>
      <w:bookmarkStart w:id="212" w:name="_Toc20526"/>
      <w:bookmarkEnd w:id="212"/>
      <w:bookmarkStart w:id="213" w:name="_Toc8480"/>
      <w:bookmarkEnd w:id="213"/>
      <w:bookmarkStart w:id="214" w:name="_Toc13630"/>
      <w:bookmarkEnd w:id="214"/>
      <w:bookmarkStart w:id="215" w:name="_Toc19626"/>
      <w:bookmarkEnd w:id="215"/>
      <w:bookmarkStart w:id="216" w:name="_Toc7162"/>
      <w:bookmarkEnd w:id="216"/>
      <w:bookmarkStart w:id="217" w:name="_Toc21178"/>
      <w:bookmarkEnd w:id="217"/>
      <w:bookmarkStart w:id="218" w:name="_Toc4149"/>
      <w:bookmarkEnd w:id="218"/>
      <w:bookmarkStart w:id="219" w:name="_Toc3498"/>
      <w:bookmarkEnd w:id="219"/>
      <w:bookmarkStart w:id="220" w:name="_Toc6574"/>
      <w:bookmarkEnd w:id="220"/>
      <w:bookmarkStart w:id="221" w:name="_Toc23903"/>
      <w:bookmarkEnd w:id="221"/>
      <w:r>
        <w:rPr>
          <w:rFonts w:hint="eastAsia" w:ascii="华文仿宋" w:hAnsi="华文仿宋" w:cs="华文仿宋"/>
          <w:color w:val="auto"/>
          <w:sz w:val="28"/>
          <w:szCs w:val="28"/>
        </w:rPr>
        <w:t>（九）投标人的投标费用自理</w:t>
      </w:r>
    </w:p>
    <w:p w14:paraId="531A2817">
      <w:pPr>
        <w:pStyle w:val="3"/>
        <w:spacing w:line="500" w:lineRule="exact"/>
        <w:ind w:firstLine="566" w:firstLineChars="200"/>
        <w:rPr>
          <w:rFonts w:ascii="华文仿宋" w:cs="Times New Roman"/>
          <w:color w:val="auto"/>
          <w:sz w:val="28"/>
          <w:szCs w:val="28"/>
        </w:rPr>
      </w:pPr>
      <w:bookmarkStart w:id="222" w:name="_Toc24881"/>
      <w:bookmarkEnd w:id="222"/>
      <w:bookmarkStart w:id="223" w:name="_Toc31083"/>
      <w:bookmarkEnd w:id="223"/>
      <w:bookmarkStart w:id="224" w:name="_Toc5403"/>
      <w:bookmarkEnd w:id="224"/>
      <w:bookmarkStart w:id="225" w:name="_Toc8467"/>
      <w:bookmarkEnd w:id="225"/>
      <w:bookmarkStart w:id="226" w:name="_Toc1232"/>
      <w:bookmarkEnd w:id="226"/>
      <w:bookmarkStart w:id="227" w:name="_Toc31732"/>
      <w:bookmarkEnd w:id="227"/>
      <w:bookmarkStart w:id="228" w:name="_Toc9087"/>
      <w:bookmarkEnd w:id="228"/>
      <w:bookmarkStart w:id="229" w:name="_Toc17448"/>
      <w:bookmarkEnd w:id="229"/>
      <w:r>
        <w:rPr>
          <w:rFonts w:hint="eastAsia" w:ascii="华文仿宋" w:hAnsi="华文仿宋" w:cs="华文仿宋"/>
          <w:color w:val="auto"/>
          <w:sz w:val="28"/>
          <w:szCs w:val="28"/>
        </w:rPr>
        <w:t>三、招标文件</w:t>
      </w:r>
    </w:p>
    <w:p w14:paraId="7C310883">
      <w:pPr>
        <w:pStyle w:val="3"/>
        <w:spacing w:line="500" w:lineRule="exact"/>
        <w:ind w:firstLine="566" w:firstLineChars="200"/>
        <w:rPr>
          <w:rFonts w:ascii="华文仿宋" w:cs="Times New Roman"/>
          <w:color w:val="auto"/>
          <w:sz w:val="28"/>
          <w:szCs w:val="28"/>
        </w:rPr>
      </w:pPr>
      <w:bookmarkStart w:id="230" w:name="_Toc9775"/>
      <w:bookmarkEnd w:id="230"/>
      <w:bookmarkStart w:id="231" w:name="_Toc24360"/>
      <w:bookmarkEnd w:id="231"/>
      <w:bookmarkStart w:id="232" w:name="_Toc5975"/>
      <w:bookmarkEnd w:id="232"/>
      <w:bookmarkStart w:id="233" w:name="_Toc14049"/>
      <w:bookmarkEnd w:id="233"/>
      <w:bookmarkStart w:id="234" w:name="_Toc27415"/>
      <w:bookmarkEnd w:id="234"/>
      <w:bookmarkStart w:id="235" w:name="_Toc8008"/>
      <w:bookmarkEnd w:id="235"/>
      <w:bookmarkStart w:id="236" w:name="_Toc32304"/>
      <w:bookmarkEnd w:id="236"/>
      <w:bookmarkStart w:id="237" w:name="_Toc31765"/>
      <w:bookmarkEnd w:id="237"/>
      <w:bookmarkStart w:id="238" w:name="_Toc22248"/>
      <w:bookmarkEnd w:id="238"/>
      <w:bookmarkStart w:id="239" w:name="_Toc23378"/>
      <w:bookmarkEnd w:id="239"/>
      <w:bookmarkStart w:id="240" w:name="_Toc12593"/>
      <w:bookmarkEnd w:id="240"/>
      <w:bookmarkStart w:id="241" w:name="_Toc3049"/>
      <w:bookmarkEnd w:id="241"/>
      <w:bookmarkStart w:id="242" w:name="_Toc6250"/>
      <w:bookmarkEnd w:id="242"/>
      <w:r>
        <w:rPr>
          <w:rFonts w:hint="eastAsia" w:ascii="华文仿宋" w:hAnsi="华文仿宋" w:cs="华文仿宋"/>
          <w:color w:val="auto"/>
          <w:sz w:val="28"/>
          <w:szCs w:val="28"/>
        </w:rPr>
        <w:t>（一）招标文件包括下列内容</w:t>
      </w:r>
    </w:p>
    <w:p w14:paraId="564EB237">
      <w:pPr>
        <w:spacing w:line="500" w:lineRule="exact"/>
        <w:ind w:firstLine="566" w:firstLineChars="200"/>
        <w:rPr>
          <w:rFonts w:ascii="华文仿宋" w:cs="Times New Roman"/>
          <w:color w:val="auto"/>
        </w:rPr>
      </w:pPr>
      <w:r>
        <w:rPr>
          <w:rFonts w:hint="eastAsia" w:ascii="华文仿宋" w:hAnsi="华文仿宋" w:cs="华文仿宋"/>
          <w:color w:val="auto"/>
        </w:rPr>
        <w:t>第一章　投标邀请函</w:t>
      </w:r>
    </w:p>
    <w:p w14:paraId="307CBE0E">
      <w:pPr>
        <w:spacing w:line="500" w:lineRule="exact"/>
        <w:ind w:firstLine="566" w:firstLineChars="200"/>
        <w:rPr>
          <w:rFonts w:ascii="华文仿宋" w:cs="Times New Roman"/>
          <w:color w:val="auto"/>
        </w:rPr>
      </w:pPr>
      <w:r>
        <w:rPr>
          <w:rFonts w:hint="eastAsia" w:ascii="华文仿宋" w:hAnsi="华文仿宋" w:cs="华文仿宋"/>
          <w:color w:val="auto"/>
        </w:rPr>
        <w:t>第二章　投标人须知</w:t>
      </w:r>
    </w:p>
    <w:p w14:paraId="63235AC5">
      <w:pPr>
        <w:spacing w:line="500" w:lineRule="exact"/>
        <w:ind w:firstLine="566" w:firstLineChars="200"/>
        <w:rPr>
          <w:rFonts w:ascii="华文仿宋" w:cs="Times New Roman"/>
          <w:color w:val="auto"/>
        </w:rPr>
      </w:pPr>
      <w:r>
        <w:rPr>
          <w:rFonts w:hint="eastAsia" w:ascii="华文仿宋" w:hAnsi="华文仿宋" w:cs="华文仿宋"/>
          <w:color w:val="auto"/>
        </w:rPr>
        <w:t>第三章  评审办法及标准</w:t>
      </w:r>
    </w:p>
    <w:p w14:paraId="5B6283E3">
      <w:pPr>
        <w:spacing w:line="500" w:lineRule="exact"/>
        <w:ind w:firstLine="566" w:firstLineChars="200"/>
        <w:rPr>
          <w:rFonts w:ascii="华文仿宋" w:cs="Times New Roman"/>
          <w:color w:val="auto"/>
        </w:rPr>
      </w:pPr>
      <w:r>
        <w:rPr>
          <w:rFonts w:hint="eastAsia" w:ascii="华文仿宋" w:hAnsi="华文仿宋" w:cs="华文仿宋"/>
          <w:color w:val="auto"/>
        </w:rPr>
        <w:t>第四章　招标内容及采购要求</w:t>
      </w:r>
    </w:p>
    <w:p w14:paraId="27B4A8FB">
      <w:pPr>
        <w:spacing w:line="500" w:lineRule="exact"/>
        <w:ind w:firstLine="566" w:firstLineChars="200"/>
        <w:rPr>
          <w:rFonts w:ascii="华文仿宋" w:cs="Times New Roman"/>
          <w:color w:val="auto"/>
        </w:rPr>
      </w:pPr>
      <w:r>
        <w:rPr>
          <w:rFonts w:hint="eastAsia" w:ascii="华文仿宋" w:hAnsi="华文仿宋" w:cs="华文仿宋"/>
          <w:color w:val="auto"/>
        </w:rPr>
        <w:t>第五章　合同</w:t>
      </w:r>
      <w:r>
        <w:rPr>
          <w:rFonts w:hint="eastAsia" w:ascii="华文仿宋" w:hAnsi="华文仿宋" w:cs="华文仿宋"/>
          <w:color w:val="auto"/>
          <w:lang w:val="en-US" w:eastAsia="zh-CN"/>
        </w:rPr>
        <w:t>草案</w:t>
      </w:r>
      <w:r>
        <w:rPr>
          <w:rFonts w:hint="eastAsia" w:ascii="华文仿宋" w:hAnsi="华文仿宋" w:cs="华文仿宋"/>
          <w:color w:val="auto"/>
        </w:rPr>
        <w:t>条款</w:t>
      </w:r>
    </w:p>
    <w:p w14:paraId="17D0634C">
      <w:pPr>
        <w:spacing w:line="500" w:lineRule="exact"/>
        <w:ind w:firstLine="566" w:firstLineChars="200"/>
        <w:rPr>
          <w:rFonts w:ascii="华文仿宋" w:cs="Times New Roman"/>
          <w:color w:val="auto"/>
        </w:rPr>
      </w:pPr>
      <w:r>
        <w:rPr>
          <w:rFonts w:hint="eastAsia" w:ascii="华文仿宋" w:hAnsi="华文仿宋" w:cs="华文仿宋"/>
          <w:color w:val="auto"/>
        </w:rPr>
        <w:t>第六章　投标文件构成及格式</w:t>
      </w:r>
    </w:p>
    <w:p w14:paraId="2DCC0DB8">
      <w:pPr>
        <w:pStyle w:val="3"/>
        <w:spacing w:line="500" w:lineRule="exact"/>
        <w:ind w:firstLine="566" w:firstLineChars="200"/>
        <w:rPr>
          <w:rFonts w:ascii="华文仿宋" w:cs="Times New Roman"/>
          <w:color w:val="auto"/>
          <w:sz w:val="28"/>
          <w:szCs w:val="28"/>
        </w:rPr>
      </w:pPr>
      <w:bookmarkStart w:id="243" w:name="_Toc17819"/>
      <w:bookmarkEnd w:id="243"/>
      <w:bookmarkStart w:id="244" w:name="_Toc26229"/>
      <w:bookmarkEnd w:id="244"/>
      <w:bookmarkStart w:id="245" w:name="_Toc16113"/>
      <w:bookmarkEnd w:id="245"/>
      <w:bookmarkStart w:id="246" w:name="_Toc7074"/>
      <w:bookmarkEnd w:id="246"/>
      <w:bookmarkStart w:id="247" w:name="_Toc15437"/>
      <w:bookmarkEnd w:id="247"/>
      <w:bookmarkStart w:id="248" w:name="_Toc31656"/>
      <w:bookmarkEnd w:id="248"/>
      <w:bookmarkStart w:id="249" w:name="_Toc25865"/>
      <w:bookmarkEnd w:id="249"/>
      <w:bookmarkStart w:id="250" w:name="_Toc20821"/>
      <w:bookmarkEnd w:id="250"/>
      <w:bookmarkStart w:id="251" w:name="_Toc5020"/>
      <w:bookmarkEnd w:id="251"/>
      <w:bookmarkStart w:id="252" w:name="_Toc4175"/>
      <w:bookmarkEnd w:id="252"/>
      <w:bookmarkStart w:id="253" w:name="_Toc19535"/>
      <w:bookmarkEnd w:id="253"/>
      <w:bookmarkStart w:id="254" w:name="_Toc16844"/>
      <w:bookmarkEnd w:id="254"/>
      <w:bookmarkStart w:id="255" w:name="_Toc3956"/>
      <w:bookmarkEnd w:id="255"/>
      <w:r>
        <w:rPr>
          <w:rFonts w:hint="eastAsia" w:ascii="华文仿宋" w:hAnsi="华文仿宋" w:cs="华文仿宋"/>
          <w:color w:val="auto"/>
          <w:sz w:val="28"/>
          <w:szCs w:val="28"/>
        </w:rPr>
        <w:t>（二）招标文件的检查及阅读</w:t>
      </w:r>
    </w:p>
    <w:p w14:paraId="2FF58704">
      <w:pPr>
        <w:spacing w:line="500" w:lineRule="exact"/>
        <w:ind w:firstLine="566" w:firstLineChars="200"/>
        <w:rPr>
          <w:rFonts w:ascii="华文仿宋" w:cs="Times New Roman"/>
          <w:color w:val="auto"/>
        </w:rPr>
      </w:pPr>
      <w:r>
        <w:rPr>
          <w:rFonts w:hint="eastAsia" w:ascii="华文仿宋" w:hAnsi="华文仿宋" w:cs="华文仿宋"/>
          <w:color w:val="auto"/>
        </w:rPr>
        <w:t>投标人下载招标文件后应仔细阅读检查招标文件中的所有内容，按照招标文件中所列事项、条款、规范要求及格式，在投标文件中对招标文件做出全面的响应，并按招标文件的要求提交全部资料。</w:t>
      </w:r>
    </w:p>
    <w:p w14:paraId="1723417F">
      <w:pPr>
        <w:spacing w:line="500" w:lineRule="exact"/>
        <w:ind w:firstLine="566" w:firstLineChars="200"/>
        <w:rPr>
          <w:rFonts w:ascii="华文仿宋" w:cs="Times New Roman"/>
          <w:color w:val="auto"/>
        </w:rPr>
      </w:pPr>
      <w:r>
        <w:rPr>
          <w:rFonts w:hint="eastAsia" w:ascii="华文仿宋" w:hAnsi="华文仿宋" w:cs="华文仿宋"/>
          <w:color w:val="auto"/>
        </w:rPr>
        <w:t>项目废标后重新组织招标的，</w:t>
      </w:r>
      <w:r>
        <w:rPr>
          <w:rFonts w:hint="eastAsia" w:ascii="华文仿宋" w:hAnsi="华文仿宋" w:cs="华文仿宋"/>
          <w:color w:val="auto"/>
          <w:lang w:eastAsia="zh-CN"/>
        </w:rPr>
        <w:t>中心</w:t>
      </w:r>
      <w:r>
        <w:rPr>
          <w:rFonts w:hint="eastAsia" w:ascii="华文仿宋" w:hAnsi="华文仿宋" w:cs="华文仿宋"/>
          <w:color w:val="auto"/>
        </w:rPr>
        <w:t>将重新编制、发布新版招标文件，投标人应按新版招标文件重新编制投标文件。原招标文件及投标文件失效。</w:t>
      </w:r>
    </w:p>
    <w:p w14:paraId="1BED564C">
      <w:pPr>
        <w:spacing w:line="500" w:lineRule="exact"/>
        <w:ind w:firstLine="566" w:firstLineChars="200"/>
        <w:rPr>
          <w:rFonts w:ascii="华文仿宋" w:cs="Times New Roman"/>
          <w:b/>
          <w:bCs/>
          <w:color w:val="auto"/>
        </w:rPr>
      </w:pPr>
      <w:r>
        <w:rPr>
          <w:rFonts w:hint="eastAsia" w:ascii="华文仿宋" w:hAnsi="华文仿宋" w:cs="华文仿宋"/>
          <w:b/>
          <w:bCs/>
          <w:color w:val="auto"/>
        </w:rPr>
        <w:t>投标文件封面、投标函以及法定代表人授权委托书三处的项目名称、项目编号、标段（如有）应当与最新发布的招标文件保持一致，否则将被视为无效投标文件。</w:t>
      </w:r>
    </w:p>
    <w:p w14:paraId="46B93332">
      <w:pPr>
        <w:pStyle w:val="3"/>
        <w:spacing w:line="500" w:lineRule="exact"/>
        <w:ind w:firstLine="566" w:firstLineChars="200"/>
        <w:rPr>
          <w:rFonts w:ascii="华文仿宋" w:cs="Times New Roman"/>
          <w:color w:val="auto"/>
          <w:sz w:val="28"/>
          <w:szCs w:val="28"/>
        </w:rPr>
      </w:pPr>
      <w:bookmarkStart w:id="256" w:name="_Toc566"/>
      <w:bookmarkEnd w:id="256"/>
      <w:bookmarkStart w:id="257" w:name="_Toc30151"/>
      <w:bookmarkEnd w:id="257"/>
      <w:bookmarkStart w:id="258" w:name="_Toc1771"/>
      <w:bookmarkEnd w:id="258"/>
      <w:bookmarkStart w:id="259" w:name="_Toc24326"/>
      <w:bookmarkEnd w:id="259"/>
      <w:bookmarkStart w:id="260" w:name="_Toc9885"/>
      <w:bookmarkEnd w:id="260"/>
      <w:bookmarkStart w:id="261" w:name="_Toc1338"/>
      <w:bookmarkEnd w:id="261"/>
      <w:bookmarkStart w:id="262" w:name="_Toc9024"/>
      <w:bookmarkEnd w:id="262"/>
      <w:bookmarkStart w:id="263" w:name="_Toc10483"/>
      <w:bookmarkEnd w:id="263"/>
      <w:bookmarkStart w:id="264" w:name="_Toc8999"/>
      <w:bookmarkEnd w:id="264"/>
      <w:bookmarkStart w:id="265" w:name="_Toc16661"/>
      <w:bookmarkEnd w:id="265"/>
      <w:bookmarkStart w:id="266" w:name="_Toc1339"/>
      <w:bookmarkEnd w:id="266"/>
      <w:bookmarkStart w:id="267" w:name="_Toc10780"/>
      <w:bookmarkEnd w:id="267"/>
      <w:bookmarkStart w:id="268" w:name="_Toc1970"/>
      <w:bookmarkEnd w:id="268"/>
      <w:r>
        <w:rPr>
          <w:rFonts w:hint="eastAsia" w:ascii="华文仿宋" w:hAnsi="华文仿宋" w:cs="华文仿宋"/>
          <w:color w:val="auto"/>
          <w:sz w:val="28"/>
          <w:szCs w:val="28"/>
        </w:rPr>
        <w:t>（三）招标文件的修改、澄清</w:t>
      </w:r>
    </w:p>
    <w:p w14:paraId="3C2EC95B">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在提交投标文件截止之日前，</w:t>
      </w:r>
      <w:r>
        <w:rPr>
          <w:rFonts w:hint="eastAsia" w:ascii="华文仿宋" w:hAnsi="华文仿宋" w:cs="华文仿宋"/>
          <w:color w:val="auto"/>
          <w:lang w:eastAsia="zh-CN"/>
        </w:rPr>
        <w:t>中心</w:t>
      </w:r>
      <w:r>
        <w:rPr>
          <w:rFonts w:hint="eastAsia" w:ascii="华文仿宋" w:hAnsi="华文仿宋" w:cs="华文仿宋"/>
          <w:color w:val="auto"/>
        </w:rPr>
        <w:t>可对已发出的招标文件进行必要的澄清或者修改，澄清或者修改的内容作为招标文件的组成部分。澄清或者修改的内容可能影响投标文件编制的，</w:t>
      </w:r>
      <w:r>
        <w:rPr>
          <w:rFonts w:hint="eastAsia" w:ascii="华文仿宋" w:hAnsi="华文仿宋" w:cs="华文仿宋"/>
          <w:color w:val="auto"/>
          <w:lang w:eastAsia="zh-CN"/>
        </w:rPr>
        <w:t>中心</w:t>
      </w:r>
      <w:r>
        <w:rPr>
          <w:rFonts w:hint="eastAsia" w:ascii="华文仿宋" w:hAnsi="华文仿宋" w:cs="华文仿宋"/>
          <w:color w:val="auto"/>
        </w:rPr>
        <w:t>将在投标截止时间</w:t>
      </w:r>
      <w:r>
        <w:rPr>
          <w:rFonts w:ascii="仿宋" w:hAnsi="仿宋" w:eastAsia="仿宋" w:cs="仿宋"/>
          <w:color w:val="auto"/>
        </w:rPr>
        <w:t>15</w:t>
      </w:r>
      <w:r>
        <w:rPr>
          <w:rFonts w:hint="eastAsia" w:ascii="华文仿宋" w:hAnsi="华文仿宋" w:cs="华文仿宋"/>
          <w:color w:val="auto"/>
        </w:rPr>
        <w:t>日前，在财政部门指定的政府采购信息发布媒体上</w:t>
      </w:r>
      <w:r>
        <w:rPr>
          <w:rFonts w:hint="eastAsia" w:ascii="华文仿宋" w:hAnsi="华文仿宋" w:cs="华文仿宋"/>
          <w:b/>
          <w:bCs/>
          <w:color w:val="auto"/>
        </w:rPr>
        <w:t>发布更正公告</w:t>
      </w:r>
      <w:r>
        <w:rPr>
          <w:rFonts w:hint="eastAsia" w:ascii="华文仿宋" w:hAnsi="华文仿宋" w:cs="华文仿宋"/>
          <w:color w:val="auto"/>
        </w:rPr>
        <w:t>；不足</w:t>
      </w:r>
      <w:r>
        <w:rPr>
          <w:rFonts w:ascii="仿宋" w:hAnsi="仿宋" w:eastAsia="仿宋" w:cs="仿宋"/>
          <w:color w:val="auto"/>
        </w:rPr>
        <w:t>15</w:t>
      </w:r>
      <w:r>
        <w:rPr>
          <w:rFonts w:hint="eastAsia" w:ascii="华文仿宋" w:hAnsi="华文仿宋" w:cs="华文仿宋"/>
          <w:color w:val="auto"/>
        </w:rPr>
        <w:t>日，</w:t>
      </w:r>
      <w:r>
        <w:rPr>
          <w:rFonts w:hint="eastAsia" w:ascii="华文仿宋" w:hAnsi="华文仿宋" w:cs="华文仿宋"/>
          <w:color w:val="auto"/>
          <w:lang w:eastAsia="zh-CN"/>
        </w:rPr>
        <w:t>中心</w:t>
      </w:r>
      <w:r>
        <w:rPr>
          <w:rFonts w:hint="eastAsia" w:ascii="华文仿宋" w:hAnsi="华文仿宋" w:cs="华文仿宋"/>
          <w:color w:val="auto"/>
        </w:rPr>
        <w:t>将顺延提交投标文件的截止时间。</w:t>
      </w:r>
    </w:p>
    <w:p w14:paraId="42B6680B">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投标人对招标文件提出质疑的，应在招标文件获取之日起</w:t>
      </w:r>
      <w:r>
        <w:rPr>
          <w:rFonts w:ascii="仿宋" w:hAnsi="仿宋" w:eastAsia="仿宋" w:cs="仿宋"/>
          <w:color w:val="auto"/>
        </w:rPr>
        <w:t>7</w:t>
      </w:r>
      <w:r>
        <w:rPr>
          <w:rFonts w:hint="eastAsia" w:ascii="华文仿宋" w:hAnsi="华文仿宋" w:cs="华文仿宋"/>
          <w:color w:val="auto"/>
        </w:rPr>
        <w:t>个工作日内以书面形式提出，采购人以书面形式予以答复；在此之后提出的针对招标文件的质疑为无效质疑。答复的内容可能影响投标文件编制的，</w:t>
      </w:r>
      <w:r>
        <w:rPr>
          <w:rFonts w:hint="eastAsia" w:ascii="华文仿宋" w:hAnsi="华文仿宋" w:cs="华文仿宋"/>
          <w:color w:val="auto"/>
          <w:lang w:eastAsia="zh-CN"/>
        </w:rPr>
        <w:t>中心</w:t>
      </w:r>
      <w:r>
        <w:rPr>
          <w:rFonts w:hint="eastAsia" w:ascii="华文仿宋" w:hAnsi="华文仿宋" w:cs="华文仿宋"/>
          <w:color w:val="auto"/>
        </w:rPr>
        <w:t>将在财政部门指定的政府采购信息发布媒体上</w:t>
      </w:r>
      <w:r>
        <w:rPr>
          <w:rFonts w:hint="eastAsia" w:ascii="华文仿宋" w:hAnsi="华文仿宋" w:cs="华文仿宋"/>
          <w:b/>
          <w:bCs/>
          <w:color w:val="auto"/>
        </w:rPr>
        <w:t>发布更正公告</w:t>
      </w:r>
      <w:r>
        <w:rPr>
          <w:rFonts w:hint="eastAsia" w:ascii="华文仿宋" w:hAnsi="华文仿宋" w:cs="华文仿宋"/>
          <w:color w:val="auto"/>
        </w:rPr>
        <w:t>。</w:t>
      </w:r>
    </w:p>
    <w:p w14:paraId="6EA97C26">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各投标人在提交投标文件截止时间之前，应随时关注下列地址发布的更正公告，也可登录全国公共资源交易平台（陕西省）政府采购交易系统查看左上角的信息提醒，</w:t>
      </w:r>
      <w:r>
        <w:rPr>
          <w:rFonts w:hint="eastAsia" w:ascii="华文仿宋" w:hAnsi="华文仿宋" w:cs="华文仿宋"/>
          <w:color w:val="auto"/>
          <w:lang w:eastAsia="zh-CN"/>
        </w:rPr>
        <w:t>中心</w:t>
      </w:r>
      <w:r>
        <w:rPr>
          <w:rFonts w:hint="eastAsia" w:ascii="华文仿宋" w:hAnsi="华文仿宋" w:cs="华文仿宋"/>
          <w:b/>
          <w:bCs/>
          <w:color w:val="auto"/>
        </w:rPr>
        <w:t>不再单独通知，因投标人未及时关注所造成的一切后果由投标人自行承担：</w:t>
      </w:r>
    </w:p>
    <w:p w14:paraId="5F156A19">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w:t>
      </w:r>
      <w:r>
        <w:rPr>
          <w:color w:val="auto"/>
        </w:rPr>
        <w:fldChar w:fldCharType="begin"/>
      </w:r>
      <w:r>
        <w:rPr>
          <w:color w:val="auto"/>
        </w:rPr>
        <w:instrText xml:space="preserve"> HYPERLINK "http://www.ccgp-shaanxi.gov.cn" </w:instrText>
      </w:r>
      <w:r>
        <w:rPr>
          <w:color w:val="auto"/>
        </w:rPr>
        <w:fldChar w:fldCharType="separate"/>
      </w:r>
      <w:r>
        <w:rPr>
          <w:rStyle w:val="40"/>
          <w:rFonts w:hint="eastAsia" w:ascii="华文仿宋" w:hAnsi="华文仿宋" w:cs="华文仿宋"/>
          <w:color w:val="auto"/>
          <w:sz w:val="28"/>
          <w:szCs w:val="28"/>
        </w:rPr>
        <w:t>陕西省政府采购网</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（www.ccgp-shaanxi.gov.cn）】中的〖首页·〉</w:t>
      </w:r>
      <w:r>
        <w:rPr>
          <w:rFonts w:hint="eastAsia" w:ascii="华文仿宋" w:hAnsi="华文仿宋" w:cs="华文仿宋"/>
          <w:color w:val="auto"/>
          <w:lang w:val="en-US" w:eastAsia="zh-CN"/>
        </w:rPr>
        <w:t>市级</w:t>
      </w:r>
      <w:r>
        <w:rPr>
          <w:rFonts w:hint="eastAsia" w:ascii="华文仿宋" w:hAnsi="华文仿宋" w:cs="华文仿宋"/>
          <w:color w:val="auto"/>
        </w:rPr>
        <w:t>公告·〉更正公告〗；</w:t>
      </w:r>
    </w:p>
    <w:p w14:paraId="31D170D3">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hint="eastAsia" w:ascii="华文仿宋" w:hAnsi="华文仿宋" w:cs="华文仿宋"/>
          <w:color w:val="auto"/>
          <w:lang w:val="en-US" w:eastAsia="zh-CN"/>
        </w:rPr>
        <w:t>2</w:t>
      </w:r>
      <w:r>
        <w:rPr>
          <w:rFonts w:hint="eastAsia" w:ascii="华文仿宋" w:hAnsi="华文仿宋" w:cs="华文仿宋"/>
          <w:color w:val="auto"/>
        </w:rPr>
        <w:t>）【</w:t>
      </w:r>
      <w:r>
        <w:rPr>
          <w:rFonts w:hint="eastAsia" w:ascii="华文仿宋" w:hAnsi="华文仿宋" w:cs="华文仿宋"/>
          <w:color w:val="auto"/>
          <w:kern w:val="0"/>
        </w:rPr>
        <w:t>全国公共资源交易平台（陕西省·延安市）（ http://ya.sxggzyjy.cn/</w:t>
      </w:r>
      <w:r>
        <w:rPr>
          <w:rFonts w:hint="eastAsia" w:ascii="华文仿宋" w:hAnsi="华文仿宋" w:cs="华文仿宋"/>
          <w:color w:val="auto"/>
          <w:kern w:val="0"/>
          <w:lang w:val="en-US" w:eastAsia="zh-CN"/>
        </w:rPr>
        <w:t xml:space="preserve"> </w:t>
      </w:r>
      <w:r>
        <w:rPr>
          <w:rFonts w:hint="eastAsia" w:ascii="华文仿宋" w:hAnsi="华文仿宋" w:cs="华文仿宋"/>
          <w:color w:val="auto"/>
          <w:kern w:val="0"/>
        </w:rPr>
        <w:t>）</w:t>
      </w:r>
      <w:r>
        <w:rPr>
          <w:rFonts w:hint="eastAsia" w:ascii="华文仿宋" w:hAnsi="华文仿宋" w:cs="华文仿宋"/>
          <w:color w:val="auto"/>
        </w:rPr>
        <w:t>】中的〖首页·〉交易大厅·〉政府采购〗。</w:t>
      </w:r>
    </w:p>
    <w:p w14:paraId="080C3542">
      <w:pPr>
        <w:pStyle w:val="3"/>
        <w:spacing w:line="500" w:lineRule="exact"/>
        <w:ind w:firstLine="566" w:firstLineChars="200"/>
        <w:rPr>
          <w:rFonts w:hint="eastAsia" w:ascii="华文仿宋" w:eastAsia="华文仿宋" w:cs="Times New Roman"/>
          <w:color w:val="auto"/>
          <w:sz w:val="28"/>
          <w:szCs w:val="28"/>
          <w:lang w:eastAsia="zh-CN"/>
        </w:rPr>
      </w:pPr>
      <w:bookmarkStart w:id="269" w:name="_Toc32685"/>
      <w:bookmarkEnd w:id="269"/>
      <w:bookmarkStart w:id="270" w:name="_Toc3288"/>
      <w:bookmarkEnd w:id="270"/>
      <w:bookmarkStart w:id="271" w:name="_Toc6050"/>
      <w:bookmarkEnd w:id="271"/>
      <w:bookmarkStart w:id="272" w:name="_Toc8608"/>
      <w:bookmarkEnd w:id="272"/>
      <w:bookmarkStart w:id="273" w:name="_Toc29481"/>
      <w:bookmarkEnd w:id="273"/>
      <w:bookmarkStart w:id="274" w:name="_Toc27253"/>
      <w:bookmarkEnd w:id="274"/>
      <w:bookmarkStart w:id="275" w:name="_Toc13477"/>
      <w:bookmarkEnd w:id="275"/>
      <w:bookmarkStart w:id="276" w:name="_Toc8892"/>
      <w:bookmarkEnd w:id="276"/>
      <w:bookmarkStart w:id="277" w:name="_Toc26971"/>
      <w:bookmarkEnd w:id="277"/>
      <w:bookmarkStart w:id="278" w:name="_Toc1163"/>
      <w:bookmarkEnd w:id="278"/>
      <w:bookmarkStart w:id="279" w:name="_Toc31173"/>
      <w:bookmarkEnd w:id="279"/>
      <w:bookmarkStart w:id="280" w:name="_Toc5846"/>
      <w:bookmarkEnd w:id="280"/>
      <w:bookmarkStart w:id="281" w:name="_Toc9356"/>
      <w:bookmarkEnd w:id="281"/>
      <w:r>
        <w:rPr>
          <w:rFonts w:hint="eastAsia" w:ascii="华文仿宋" w:hAnsi="华文仿宋" w:cs="华文仿宋"/>
          <w:color w:val="auto"/>
          <w:sz w:val="28"/>
          <w:szCs w:val="28"/>
        </w:rPr>
        <w:t>（四）招标文件的解释权归</w:t>
      </w:r>
      <w:r>
        <w:rPr>
          <w:rFonts w:hint="eastAsia" w:ascii="华文仿宋" w:hAnsi="华文仿宋" w:cs="华文仿宋"/>
          <w:color w:val="auto"/>
          <w:sz w:val="28"/>
          <w:szCs w:val="28"/>
          <w:lang w:eastAsia="zh-CN"/>
        </w:rPr>
        <w:t>中心。</w:t>
      </w:r>
    </w:p>
    <w:p w14:paraId="28D49EB4">
      <w:pPr>
        <w:pStyle w:val="3"/>
        <w:spacing w:line="500" w:lineRule="exact"/>
        <w:ind w:firstLine="566" w:firstLineChars="200"/>
        <w:rPr>
          <w:rFonts w:ascii="华文仿宋" w:cs="Times New Roman"/>
          <w:color w:val="auto"/>
          <w:sz w:val="28"/>
          <w:szCs w:val="28"/>
        </w:rPr>
      </w:pPr>
      <w:bookmarkStart w:id="282" w:name="_Toc5567"/>
      <w:bookmarkEnd w:id="282"/>
      <w:bookmarkStart w:id="283" w:name="_Toc3628"/>
      <w:bookmarkEnd w:id="283"/>
      <w:bookmarkStart w:id="284" w:name="_Toc2063"/>
      <w:bookmarkEnd w:id="284"/>
      <w:bookmarkStart w:id="285" w:name="_Toc29501"/>
      <w:bookmarkEnd w:id="285"/>
      <w:bookmarkStart w:id="286" w:name="_Toc16758"/>
      <w:bookmarkEnd w:id="286"/>
      <w:bookmarkStart w:id="287" w:name="_Toc25753"/>
      <w:bookmarkEnd w:id="287"/>
      <w:bookmarkStart w:id="288" w:name="_Toc422"/>
      <w:bookmarkEnd w:id="288"/>
      <w:bookmarkStart w:id="289" w:name="_Toc6952"/>
      <w:bookmarkEnd w:id="289"/>
      <w:bookmarkStart w:id="290" w:name="_Toc6147"/>
      <w:bookmarkEnd w:id="290"/>
      <w:bookmarkStart w:id="291" w:name="_Toc28325"/>
      <w:bookmarkEnd w:id="291"/>
      <w:bookmarkStart w:id="292" w:name="_Toc14166"/>
      <w:bookmarkEnd w:id="292"/>
      <w:bookmarkStart w:id="293" w:name="_Toc15825"/>
      <w:bookmarkEnd w:id="293"/>
      <w:r>
        <w:rPr>
          <w:rFonts w:hint="eastAsia" w:ascii="华文仿宋" w:hAnsi="华文仿宋" w:cs="华文仿宋"/>
          <w:color w:val="auto"/>
          <w:sz w:val="28"/>
          <w:szCs w:val="28"/>
        </w:rPr>
        <w:t>四、投标报价</w:t>
      </w:r>
    </w:p>
    <w:p w14:paraId="03F42B41">
      <w:pPr>
        <w:spacing w:line="500" w:lineRule="exact"/>
        <w:ind w:firstLine="566" w:firstLineChars="200"/>
        <w:rPr>
          <w:rFonts w:ascii="华文仿宋" w:cs="Times New Roman"/>
          <w:color w:val="auto"/>
        </w:rPr>
      </w:pPr>
      <w:r>
        <w:rPr>
          <w:rFonts w:hint="eastAsia" w:ascii="华文仿宋" w:hAnsi="华文仿宋" w:cs="华文仿宋"/>
          <w:color w:val="auto"/>
        </w:rPr>
        <w:t>投标报价是投标人响应招标项目要求的全部工作内容的价格体现，包括完成采购内容所需的直接费、间接费、利润、税金及其它相关的一切费用。投标人在报价时应充分考虑所有可能发生的费用，招标文件未列明，而投标人认为应当计取的费用均应列入报价中。报价时不论是否计取，采购人均按已计取对待。</w:t>
      </w:r>
    </w:p>
    <w:p w14:paraId="1B6ED454">
      <w:pPr>
        <w:spacing w:line="500" w:lineRule="exact"/>
        <w:ind w:firstLine="566" w:firstLineChars="200"/>
        <w:rPr>
          <w:rFonts w:ascii="华文仿宋" w:cs="Times New Roman"/>
          <w:color w:val="auto"/>
        </w:rPr>
      </w:pPr>
      <w:r>
        <w:rPr>
          <w:rFonts w:hint="eastAsia" w:ascii="华文仿宋" w:hAnsi="华文仿宋" w:cs="华文仿宋"/>
          <w:color w:val="auto"/>
        </w:rPr>
        <w:t>（一）投标人应严格按照《投标文件构成及格式》中《开标一览表》中的相关要求填写分类报价及其他需要响应的内容。</w:t>
      </w:r>
    </w:p>
    <w:p w14:paraId="16B90CC0">
      <w:pPr>
        <w:spacing w:line="500" w:lineRule="exact"/>
        <w:ind w:firstLine="566" w:firstLineChars="200"/>
        <w:rPr>
          <w:rFonts w:ascii="华文仿宋" w:cs="Times New Roman"/>
          <w:color w:val="auto"/>
        </w:rPr>
      </w:pPr>
      <w:r>
        <w:rPr>
          <w:rFonts w:hint="eastAsia" w:ascii="华文仿宋" w:hAnsi="华文仿宋" w:cs="华文仿宋"/>
          <w:color w:val="auto"/>
        </w:rPr>
        <w:t>（二）投标报价货币：</w:t>
      </w:r>
      <w:r>
        <w:rPr>
          <w:rFonts w:hint="eastAsia" w:ascii="华文仿宋" w:hAnsi="华文仿宋" w:cs="华文仿宋"/>
          <w:b/>
          <w:bCs/>
          <w:color w:val="auto"/>
        </w:rPr>
        <w:t>人民币</w:t>
      </w:r>
      <w:r>
        <w:rPr>
          <w:rFonts w:hint="eastAsia" w:ascii="华文仿宋" w:hAnsi="华文仿宋" w:cs="华文仿宋"/>
          <w:color w:val="auto"/>
        </w:rPr>
        <w:t>；单位：</w:t>
      </w:r>
      <w:r>
        <w:rPr>
          <w:rFonts w:hint="eastAsia" w:ascii="华文仿宋" w:hAnsi="华文仿宋" w:cs="华文仿宋"/>
          <w:b/>
          <w:bCs/>
          <w:color w:val="auto"/>
        </w:rPr>
        <w:t>元</w:t>
      </w:r>
      <w:r>
        <w:rPr>
          <w:rFonts w:hint="eastAsia" w:ascii="华文仿宋" w:hAnsi="华文仿宋" w:cs="华文仿宋"/>
          <w:color w:val="auto"/>
        </w:rPr>
        <w:t>，</w:t>
      </w:r>
      <w:r>
        <w:rPr>
          <w:rFonts w:hint="eastAsia" w:ascii="华文仿宋" w:hAnsi="华文仿宋" w:cs="华文仿宋"/>
          <w:b/>
          <w:bCs/>
          <w:color w:val="auto"/>
        </w:rPr>
        <w:t>保留到元。</w:t>
      </w:r>
    </w:p>
    <w:p w14:paraId="3922BA77">
      <w:pPr>
        <w:spacing w:line="500" w:lineRule="exact"/>
        <w:ind w:firstLine="566" w:firstLineChars="200"/>
        <w:rPr>
          <w:rFonts w:ascii="华文仿宋" w:cs="Times New Roman"/>
          <w:color w:val="auto"/>
        </w:rPr>
      </w:pPr>
      <w:r>
        <w:rPr>
          <w:rFonts w:hint="eastAsia" w:ascii="华文仿宋" w:hAnsi="华文仿宋" w:cs="华文仿宋"/>
          <w:color w:val="auto"/>
        </w:rPr>
        <w:t>（三）投标报价只能提交唯一报价，并且在合同履行过程中是固定不变的，任何有选择的报价将不予接受，按无效投标处理。</w:t>
      </w:r>
    </w:p>
    <w:p w14:paraId="6CDF1B3F">
      <w:pPr>
        <w:spacing w:line="500" w:lineRule="exact"/>
        <w:ind w:firstLine="566" w:firstLineChars="200"/>
        <w:rPr>
          <w:rFonts w:ascii="华文仿宋" w:cs="Times New Roman"/>
          <w:color w:val="auto"/>
        </w:rPr>
      </w:pPr>
      <w:r>
        <w:rPr>
          <w:rFonts w:hint="eastAsia" w:ascii="华文仿宋" w:hAnsi="华文仿宋" w:cs="华文仿宋"/>
          <w:color w:val="auto"/>
        </w:rPr>
        <w:t>（四）投标文件报价出现前后不一致的，除招标文件另有规定外，按照下列规定修正：</w:t>
      </w:r>
    </w:p>
    <w:p w14:paraId="082A3FA3">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投标文件中开标一览表内容与投标文件中相应内容不一致的，以开标一览表为准；</w:t>
      </w:r>
    </w:p>
    <w:p w14:paraId="0119EF0E">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大写金额和小写金额不一致的，以大写金额为准；</w:t>
      </w:r>
    </w:p>
    <w:p w14:paraId="28C3E6EF">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单价金额小数点或者百分比有明显错位的，以开标一览表的总价为准，并修改单价；</w:t>
      </w:r>
    </w:p>
    <w:p w14:paraId="7C7E73BA">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总价金额与按单价汇总金额不一致的，以单价金额计算结果为准；</w:t>
      </w:r>
    </w:p>
    <w:p w14:paraId="2E98AB8C">
      <w:pPr>
        <w:spacing w:line="500" w:lineRule="exact"/>
        <w:ind w:firstLine="566" w:firstLineChars="200"/>
        <w:rPr>
          <w:rFonts w:ascii="华文仿宋" w:cs="Times New Roman"/>
          <w:b/>
          <w:bCs/>
          <w:color w:val="auto"/>
        </w:rPr>
      </w:pPr>
      <w:r>
        <w:rPr>
          <w:rFonts w:hint="eastAsia" w:ascii="华文仿宋" w:hAnsi="华文仿宋" w:cs="华文仿宋"/>
          <w:color w:val="auto"/>
        </w:rPr>
        <w:t>同时出现两种以上不一致的，按照前款规定的顺序修正。</w:t>
      </w:r>
      <w:r>
        <w:rPr>
          <w:rFonts w:hint="eastAsia" w:ascii="华文仿宋" w:hAnsi="华文仿宋" w:cs="华文仿宋"/>
          <w:b/>
          <w:bCs/>
          <w:color w:val="auto"/>
        </w:rPr>
        <w:t>修正后的报价经投标人确认后产生约束力，投标人不确认的，其投标无效。</w:t>
      </w:r>
    </w:p>
    <w:p w14:paraId="34DEBF4D">
      <w:pPr>
        <w:spacing w:line="500" w:lineRule="exact"/>
        <w:ind w:firstLine="566" w:firstLineChars="200"/>
        <w:rPr>
          <w:rFonts w:ascii="华文仿宋" w:cs="Times New Roman"/>
          <w:color w:val="auto"/>
        </w:rPr>
      </w:pPr>
      <w:r>
        <w:rPr>
          <w:rFonts w:hint="eastAsia" w:ascii="华文仿宋" w:hAnsi="华文仿宋" w:cs="华文仿宋"/>
          <w:color w:val="auto"/>
        </w:rPr>
        <w:t>（五）因投标人对招标文件理解不透、误解、疏漏或对市场行情了解不清造成的后果和风险，均由投标人自己负责。</w:t>
      </w:r>
    </w:p>
    <w:p w14:paraId="7BEE2FD5">
      <w:pPr>
        <w:pStyle w:val="3"/>
        <w:spacing w:line="500" w:lineRule="exact"/>
        <w:ind w:firstLine="566" w:firstLineChars="200"/>
        <w:rPr>
          <w:rFonts w:ascii="华文仿宋" w:cs="Times New Roman"/>
          <w:color w:val="auto"/>
          <w:sz w:val="28"/>
          <w:szCs w:val="28"/>
        </w:rPr>
      </w:pPr>
      <w:bookmarkStart w:id="294" w:name="_Toc17633"/>
      <w:bookmarkEnd w:id="294"/>
      <w:bookmarkStart w:id="295" w:name="_Toc9280"/>
      <w:bookmarkEnd w:id="295"/>
      <w:bookmarkStart w:id="296" w:name="_Toc10029"/>
      <w:bookmarkEnd w:id="296"/>
      <w:bookmarkStart w:id="297" w:name="_Toc28510"/>
      <w:bookmarkEnd w:id="297"/>
      <w:bookmarkStart w:id="298" w:name="_Toc17379"/>
      <w:bookmarkEnd w:id="298"/>
      <w:bookmarkStart w:id="299" w:name="_Toc11155"/>
      <w:bookmarkEnd w:id="299"/>
      <w:bookmarkStart w:id="300" w:name="_Toc6672"/>
      <w:bookmarkEnd w:id="300"/>
      <w:bookmarkStart w:id="301" w:name="_Toc14211"/>
      <w:bookmarkEnd w:id="301"/>
      <w:r>
        <w:rPr>
          <w:rFonts w:hint="eastAsia" w:ascii="华文仿宋" w:hAnsi="华文仿宋" w:cs="华文仿宋"/>
          <w:color w:val="auto"/>
          <w:sz w:val="28"/>
          <w:szCs w:val="28"/>
        </w:rPr>
        <w:t>五、投标文件</w:t>
      </w:r>
    </w:p>
    <w:p w14:paraId="2913B261">
      <w:pPr>
        <w:pStyle w:val="3"/>
        <w:spacing w:line="500" w:lineRule="exact"/>
        <w:ind w:firstLine="566" w:firstLineChars="200"/>
        <w:rPr>
          <w:rFonts w:ascii="华文仿宋" w:cs="Times New Roman"/>
          <w:color w:val="auto"/>
          <w:sz w:val="28"/>
          <w:szCs w:val="28"/>
        </w:rPr>
      </w:pPr>
      <w:bookmarkStart w:id="302" w:name="_Toc4717"/>
      <w:bookmarkEnd w:id="302"/>
      <w:bookmarkStart w:id="303" w:name="_Toc7897"/>
      <w:bookmarkEnd w:id="303"/>
      <w:bookmarkStart w:id="304" w:name="_Toc31454"/>
      <w:bookmarkEnd w:id="304"/>
      <w:bookmarkStart w:id="305" w:name="_Toc18892"/>
      <w:bookmarkEnd w:id="305"/>
      <w:bookmarkStart w:id="306" w:name="_Toc26923"/>
      <w:bookmarkEnd w:id="306"/>
      <w:bookmarkStart w:id="307" w:name="_Toc9782"/>
      <w:bookmarkEnd w:id="307"/>
      <w:bookmarkStart w:id="308" w:name="_Toc10242"/>
      <w:bookmarkEnd w:id="308"/>
      <w:bookmarkStart w:id="309" w:name="_Toc19870"/>
      <w:bookmarkEnd w:id="309"/>
      <w:bookmarkStart w:id="310" w:name="_Toc14317"/>
      <w:bookmarkEnd w:id="310"/>
      <w:bookmarkStart w:id="311" w:name="_Toc4108"/>
      <w:bookmarkEnd w:id="311"/>
      <w:bookmarkStart w:id="312" w:name="_Toc1832"/>
      <w:bookmarkEnd w:id="312"/>
      <w:bookmarkStart w:id="313" w:name="_Toc30911"/>
      <w:bookmarkEnd w:id="313"/>
      <w:bookmarkStart w:id="314" w:name="_Toc11839"/>
      <w:bookmarkEnd w:id="314"/>
      <w:r>
        <w:rPr>
          <w:rFonts w:hint="eastAsia" w:ascii="华文仿宋" w:hAnsi="华文仿宋" w:cs="华文仿宋"/>
          <w:color w:val="auto"/>
          <w:sz w:val="28"/>
          <w:szCs w:val="28"/>
        </w:rPr>
        <w:t>（一）投标文件形式</w:t>
      </w:r>
    </w:p>
    <w:p w14:paraId="0FDE3C9E">
      <w:pPr>
        <w:spacing w:line="500" w:lineRule="exact"/>
        <w:ind w:firstLine="566" w:firstLineChars="200"/>
        <w:rPr>
          <w:rFonts w:ascii="华文仿宋" w:cs="Times New Roman"/>
          <w:color w:val="auto"/>
        </w:rPr>
      </w:pPr>
      <w:r>
        <w:rPr>
          <w:rFonts w:hint="eastAsia" w:ascii="华文仿宋" w:hAnsi="华文仿宋" w:cs="华文仿宋"/>
          <w:color w:val="auto"/>
        </w:rPr>
        <w:t>本项目采用电子投标文件的形式。</w:t>
      </w:r>
    </w:p>
    <w:p w14:paraId="5D34107C">
      <w:pPr>
        <w:spacing w:line="500" w:lineRule="exact"/>
        <w:ind w:firstLine="566" w:firstLineChars="200"/>
        <w:rPr>
          <w:rFonts w:ascii="华文仿宋" w:cs="Times New Roman"/>
          <w:color w:val="auto"/>
        </w:rPr>
      </w:pPr>
      <w:r>
        <w:rPr>
          <w:rFonts w:hint="eastAsia" w:ascii="华文仿宋" w:hAnsi="华文仿宋" w:cs="华文仿宋"/>
          <w:color w:val="auto"/>
        </w:rPr>
        <w:t>编制电子投标文件时，应使用最新发布的电子招标文件及专用制作工具进行编制。并使用数字认证证书（</w:t>
      </w:r>
      <w:r>
        <w:rPr>
          <w:rFonts w:hint="eastAsia" w:ascii="仿宋" w:hAnsi="仿宋" w:eastAsia="仿宋" w:cs="仿宋"/>
          <w:color w:val="auto"/>
          <w:kern w:val="0"/>
        </w:rPr>
        <w:t>CA</w:t>
      </w:r>
      <w:r>
        <w:rPr>
          <w:rFonts w:hint="eastAsia" w:ascii="华文仿宋" w:hAnsi="华文仿宋" w:cs="华文仿宋"/>
          <w:color w:val="auto"/>
        </w:rPr>
        <w:t>锁）对电子投标文件进行签署、加密、递交及解密等相关操作。</w:t>
      </w:r>
    </w:p>
    <w:p w14:paraId="6DD54D4B">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电子招标文件下载。投标人登录全国公共资源交易平台（陕西省·延安市）网站〖首页·〉电子交易平台·〉</w:t>
      </w:r>
      <w:r>
        <w:rPr>
          <w:rFonts w:hint="eastAsia" w:ascii="华文仿宋" w:hAnsi="华文仿宋" w:cs="华文仿宋"/>
          <w:color w:val="auto"/>
          <w:lang w:val="en-US" w:eastAsia="zh-CN"/>
        </w:rPr>
        <w:t>政府采购交易系统</w:t>
      </w:r>
      <w:r>
        <w:rPr>
          <w:rFonts w:hint="eastAsia" w:ascii="华文仿宋" w:hAnsi="华文仿宋" w:cs="华文仿宋"/>
          <w:color w:val="auto"/>
        </w:rPr>
        <w:t>·〉企业端〗后，在〖招标公告</w:t>
      </w:r>
      <w:r>
        <w:rPr>
          <w:rFonts w:ascii="华文仿宋" w:hAnsi="华文仿宋" w:cs="华文仿宋"/>
          <w:color w:val="auto"/>
        </w:rPr>
        <w:t>/</w:t>
      </w:r>
      <w:r>
        <w:rPr>
          <w:rFonts w:hint="eastAsia" w:ascii="华文仿宋" w:hAnsi="华文仿宋" w:cs="华文仿宋"/>
          <w:color w:val="auto"/>
        </w:rPr>
        <w:t>出让公告〗模块中选择项目点击“我要投标”，参与投标活动。然后即可在〖我的项目〗中点击“项目流程</w:t>
      </w:r>
      <w:r>
        <w:rPr>
          <w:rFonts w:ascii="华文仿宋" w:hAnsi="华文仿宋" w:cs="华文仿宋"/>
          <w:color w:val="auto"/>
        </w:rPr>
        <w:t>&gt;</w:t>
      </w:r>
      <w:r>
        <w:rPr>
          <w:rFonts w:hint="eastAsia" w:ascii="华文仿宋" w:hAnsi="华文仿宋" w:cs="华文仿宋"/>
          <w:color w:val="auto"/>
        </w:rPr>
        <w:t>交易文件下载”下载电子招标文件（</w:t>
      </w:r>
      <w:r>
        <w:rPr>
          <w:rFonts w:ascii="华文仿宋" w:hAnsi="华文仿宋" w:cs="华文仿宋"/>
          <w:color w:val="auto"/>
        </w:rPr>
        <w:t>*</w:t>
      </w:r>
      <w:r>
        <w:rPr>
          <w:rFonts w:hint="eastAsia" w:ascii="仿宋" w:hAnsi="仿宋" w:eastAsia="仿宋" w:cs="仿宋"/>
          <w:color w:val="auto"/>
          <w:kern w:val="0"/>
        </w:rPr>
        <w:t>.SXSZF</w:t>
      </w:r>
      <w:r>
        <w:rPr>
          <w:rFonts w:hint="eastAsia" w:ascii="华文仿宋" w:hAnsi="华文仿宋" w:cs="华文仿宋"/>
          <w:color w:val="auto"/>
        </w:rPr>
        <w:t>）。</w:t>
      </w:r>
    </w:p>
    <w:p w14:paraId="2222BCA2">
      <w:pPr>
        <w:spacing w:line="500" w:lineRule="exact"/>
        <w:ind w:firstLine="566" w:firstLineChars="200"/>
        <w:rPr>
          <w:rFonts w:ascii="华文仿宋" w:cs="Times New Roman"/>
          <w:color w:val="auto"/>
        </w:rPr>
      </w:pPr>
      <w:r>
        <w:rPr>
          <w:rFonts w:hint="eastAsia" w:ascii="华文仿宋" w:hAnsi="华文仿宋" w:cs="华文仿宋"/>
          <w:color w:val="auto"/>
        </w:rPr>
        <w:t>注意：该项目如有变更文件，则应点击“项目流程</w:t>
      </w:r>
      <w:r>
        <w:rPr>
          <w:rFonts w:ascii="华文仿宋" w:hAnsi="华文仿宋" w:cs="华文仿宋"/>
          <w:color w:val="auto"/>
        </w:rPr>
        <w:t>&gt;</w:t>
      </w:r>
      <w:r>
        <w:rPr>
          <w:rFonts w:hint="eastAsia" w:ascii="华文仿宋" w:hAnsi="华文仿宋" w:cs="华文仿宋"/>
          <w:color w:val="auto"/>
        </w:rPr>
        <w:t>答疑文件下载”下载更新后的电子招标文件（</w:t>
      </w:r>
      <w:r>
        <w:rPr>
          <w:rFonts w:ascii="华文仿宋" w:hAnsi="华文仿宋" w:cs="华文仿宋"/>
          <w:color w:val="auto"/>
        </w:rPr>
        <w:t>*</w:t>
      </w:r>
      <w:r>
        <w:rPr>
          <w:rFonts w:hint="eastAsia" w:ascii="仿宋" w:hAnsi="仿宋" w:eastAsia="仿宋" w:cs="仿宋"/>
          <w:color w:val="auto"/>
          <w:kern w:val="0"/>
        </w:rPr>
        <w:t>.SXSCF</w:t>
      </w:r>
      <w:r>
        <w:rPr>
          <w:rFonts w:hint="eastAsia" w:ascii="华文仿宋" w:hAnsi="华文仿宋" w:cs="华文仿宋"/>
          <w:color w:val="auto"/>
        </w:rPr>
        <w:t>），</w:t>
      </w:r>
      <w:r>
        <w:rPr>
          <w:rFonts w:hint="eastAsia" w:ascii="华文仿宋" w:hAnsi="华文仿宋" w:cs="华文仿宋"/>
          <w:b/>
          <w:bCs/>
          <w:color w:val="auto"/>
        </w:rPr>
        <w:t>使用旧版电子招标文件制作的电子投标文件，系统将拒绝接收。</w:t>
      </w:r>
    </w:p>
    <w:p w14:paraId="02119B28">
      <w:pPr>
        <w:numPr>
          <w:ilvl w:val="0"/>
          <w:numId w:val="0"/>
        </w:num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2.</w:t>
      </w:r>
      <w:r>
        <w:rPr>
          <w:rFonts w:hint="eastAsia" w:ascii="华文仿宋" w:hAnsi="华文仿宋" w:cs="华文仿宋"/>
          <w:color w:val="auto"/>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56BC157D">
      <w:pPr>
        <w:numPr>
          <w:ilvl w:val="0"/>
          <w:numId w:val="0"/>
        </w:numPr>
        <w:spacing w:line="500" w:lineRule="exact"/>
        <w:ind w:firstLine="566" w:firstLineChars="200"/>
        <w:rPr>
          <w:rFonts w:hint="eastAsia" w:ascii="仿宋" w:hAnsi="仿宋" w:eastAsia="仿宋" w:cs="仿宋"/>
          <w:b/>
          <w:bCs/>
          <w:color w:val="auto"/>
        </w:rPr>
      </w:pPr>
      <w:r>
        <w:rPr>
          <w:rFonts w:hint="eastAsia" w:ascii="华文仿宋" w:hAnsi="华文仿宋" w:cs="华文仿宋"/>
          <w:color w:val="auto"/>
          <w:lang w:val="en-US" w:eastAsia="zh-CN"/>
        </w:rPr>
        <w:t>3.</w:t>
      </w:r>
      <w:r>
        <w:rPr>
          <w:rFonts w:hint="eastAsia" w:ascii="华文仿宋" w:hAnsi="华文仿宋" w:cs="华文仿宋"/>
          <w:color w:val="auto"/>
        </w:rPr>
        <w:t>制作电子投标文件。电子投标文件同样需要使用上述软件进行编制。在编制过程中，如有技术性问题，请先翻阅操作手册，或致电软件开发商。</w:t>
      </w:r>
      <w:r>
        <w:rPr>
          <w:rFonts w:hint="eastAsia" w:ascii="华文仿宋" w:hAnsi="华文仿宋" w:cs="华文仿宋"/>
          <w:b/>
          <w:bCs/>
          <w:color w:val="auto"/>
        </w:rPr>
        <w:t>技术支持热线：</w:t>
      </w:r>
      <w:r>
        <w:rPr>
          <w:rFonts w:hint="eastAsia" w:ascii="华文仿宋" w:hAnsi="华文仿宋" w:cs="华文仿宋"/>
          <w:b/>
          <w:bCs/>
          <w:color w:val="auto"/>
          <w:sz w:val="28"/>
          <w:szCs w:val="28"/>
        </w:rPr>
        <w:t>051258188039</w:t>
      </w:r>
      <w:r>
        <w:rPr>
          <w:rFonts w:hint="eastAsia" w:ascii="仿宋" w:hAnsi="仿宋" w:eastAsia="仿宋" w:cs="仿宋"/>
          <w:b/>
          <w:bCs/>
          <w:color w:val="auto"/>
        </w:rPr>
        <w:t>。</w:t>
      </w:r>
      <w:bookmarkStart w:id="315" w:name="_Toc8183"/>
      <w:bookmarkEnd w:id="315"/>
      <w:bookmarkStart w:id="316" w:name="_Toc18702"/>
      <w:bookmarkEnd w:id="316"/>
      <w:bookmarkStart w:id="317" w:name="_Toc14227"/>
      <w:bookmarkEnd w:id="317"/>
      <w:bookmarkStart w:id="318" w:name="_Toc10159"/>
      <w:bookmarkEnd w:id="318"/>
      <w:bookmarkStart w:id="319" w:name="_Toc12406"/>
      <w:bookmarkEnd w:id="319"/>
    </w:p>
    <w:p w14:paraId="586E7E89">
      <w:pPr>
        <w:numPr>
          <w:ilvl w:val="0"/>
          <w:numId w:val="0"/>
        </w:numPr>
        <w:spacing w:line="500" w:lineRule="exact"/>
        <w:ind w:firstLine="566" w:firstLineChars="200"/>
        <w:rPr>
          <w:rFonts w:ascii="华文仿宋" w:cs="Times New Roman"/>
          <w:b/>
          <w:bCs/>
          <w:color w:val="auto"/>
        </w:rPr>
      </w:pPr>
      <w:r>
        <w:rPr>
          <w:rFonts w:hint="eastAsia" w:ascii="华文仿宋" w:hAnsi="华文仿宋" w:cs="华文仿宋"/>
          <w:b/>
          <w:bCs/>
          <w:color w:val="auto"/>
        </w:rPr>
        <w:t>（二）投标文件语言及有效期</w:t>
      </w:r>
    </w:p>
    <w:p w14:paraId="41B47D2B">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投标活动的所有文件、资料、函电文均使用</w:t>
      </w:r>
      <w:r>
        <w:rPr>
          <w:rFonts w:hint="eastAsia" w:ascii="华文仿宋" w:hAnsi="华文仿宋" w:cs="华文仿宋"/>
          <w:b/>
          <w:bCs/>
          <w:color w:val="auto"/>
        </w:rPr>
        <w:t>简体中文</w:t>
      </w:r>
      <w:r>
        <w:rPr>
          <w:rFonts w:hint="eastAsia" w:ascii="华文仿宋" w:hAnsi="华文仿宋" w:cs="华文仿宋"/>
          <w:color w:val="auto"/>
        </w:rPr>
        <w:t>，确需提交其他语言形成的资料，必须翻译成简体中文，如有差异，以简体中文为准。</w:t>
      </w:r>
    </w:p>
    <w:p w14:paraId="44D5D4EB">
      <w:pPr>
        <w:spacing w:line="500" w:lineRule="exact"/>
        <w:ind w:firstLine="566" w:firstLineChars="200"/>
        <w:rPr>
          <w:rFonts w:ascii="华文仿宋" w:cs="Times New Roman"/>
          <w:color w:val="auto"/>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投标文件有效期为</w:t>
      </w:r>
      <w:r>
        <w:rPr>
          <w:rFonts w:hint="eastAsia" w:ascii="华文仿宋" w:hAnsi="华文仿宋" w:cs="华文仿宋"/>
          <w:b/>
          <w:bCs/>
          <w:color w:val="auto"/>
        </w:rPr>
        <w:t>自开标之日起</w:t>
      </w:r>
      <w:r>
        <w:rPr>
          <w:rFonts w:ascii="仿宋" w:hAnsi="仿宋" w:eastAsia="仿宋" w:cs="仿宋"/>
          <w:b/>
          <w:bCs/>
          <w:color w:val="auto"/>
          <w:lang w:val="zh-CN"/>
        </w:rPr>
        <w:t>90</w:t>
      </w:r>
      <w:r>
        <w:rPr>
          <w:rFonts w:hint="eastAsia" w:ascii="华文仿宋" w:hAnsi="华文仿宋" w:cs="华文仿宋"/>
          <w:b/>
          <w:bCs/>
          <w:color w:val="auto"/>
        </w:rPr>
        <w:t>个日历日</w:t>
      </w:r>
      <w:r>
        <w:rPr>
          <w:rFonts w:hint="eastAsia" w:ascii="华文仿宋" w:hAnsi="华文仿宋" w:cs="华文仿宋"/>
          <w:color w:val="auto"/>
        </w:rPr>
        <w:t>。如中标，延长至合同执行完毕时止。</w:t>
      </w:r>
    </w:p>
    <w:p w14:paraId="32D6AD3D">
      <w:pPr>
        <w:pStyle w:val="3"/>
        <w:spacing w:line="500" w:lineRule="exact"/>
        <w:ind w:firstLine="566" w:firstLineChars="200"/>
        <w:rPr>
          <w:rFonts w:ascii="华文仿宋" w:cs="Times New Roman"/>
          <w:color w:val="auto"/>
          <w:sz w:val="28"/>
          <w:szCs w:val="28"/>
        </w:rPr>
      </w:pPr>
      <w:bookmarkStart w:id="320" w:name="_Toc4122"/>
      <w:bookmarkEnd w:id="320"/>
      <w:bookmarkStart w:id="321" w:name="_Toc20317"/>
      <w:bookmarkEnd w:id="321"/>
      <w:bookmarkStart w:id="322" w:name="_Toc8949"/>
      <w:bookmarkEnd w:id="322"/>
      <w:bookmarkStart w:id="323" w:name="_Toc31539"/>
      <w:bookmarkEnd w:id="323"/>
      <w:bookmarkStart w:id="324" w:name="_Toc18432"/>
      <w:bookmarkEnd w:id="324"/>
      <w:bookmarkStart w:id="325" w:name="_Toc3365"/>
      <w:bookmarkEnd w:id="325"/>
      <w:bookmarkStart w:id="326" w:name="_Toc18773"/>
      <w:bookmarkEnd w:id="326"/>
      <w:bookmarkStart w:id="327" w:name="_Toc18589"/>
      <w:bookmarkEnd w:id="327"/>
      <w:bookmarkStart w:id="328" w:name="_Toc8262"/>
      <w:bookmarkEnd w:id="328"/>
      <w:bookmarkStart w:id="329" w:name="_Toc2152"/>
      <w:bookmarkEnd w:id="329"/>
      <w:bookmarkStart w:id="330" w:name="_Toc1934"/>
      <w:bookmarkEnd w:id="330"/>
      <w:bookmarkStart w:id="331" w:name="_Toc23737"/>
      <w:bookmarkEnd w:id="331"/>
      <w:bookmarkStart w:id="332" w:name="_Toc24247"/>
      <w:bookmarkEnd w:id="332"/>
      <w:r>
        <w:rPr>
          <w:rFonts w:hint="eastAsia" w:ascii="华文仿宋" w:hAnsi="华文仿宋" w:cs="华文仿宋"/>
          <w:color w:val="auto"/>
          <w:sz w:val="28"/>
          <w:szCs w:val="28"/>
        </w:rPr>
        <w:t>（三）投标文件的提交</w:t>
      </w:r>
    </w:p>
    <w:p w14:paraId="3E96EC1D">
      <w:pPr>
        <w:spacing w:line="500" w:lineRule="exact"/>
        <w:ind w:firstLine="566" w:firstLineChars="200"/>
        <w:rPr>
          <w:rFonts w:ascii="华文仿宋" w:cs="Times New Roman"/>
          <w:color w:val="auto"/>
        </w:rPr>
      </w:pPr>
      <w:bookmarkStart w:id="333" w:name="_Toc21730"/>
      <w:bookmarkStart w:id="334" w:name="_Toc31979"/>
      <w:bookmarkStart w:id="335" w:name="_Toc27375"/>
      <w:bookmarkStart w:id="336" w:name="_Toc32689"/>
      <w:bookmarkStart w:id="337" w:name="_Toc7616"/>
      <w:bookmarkStart w:id="338" w:name="_Toc24995"/>
      <w:bookmarkStart w:id="339" w:name="_Toc17559"/>
      <w:bookmarkStart w:id="340" w:name="_Toc7271"/>
      <w:bookmarkStart w:id="341" w:name="_Toc17615"/>
      <w:r>
        <w:rPr>
          <w:rFonts w:hint="eastAsia" w:ascii="华文仿宋" w:hAnsi="华文仿宋" w:cs="华文仿宋"/>
          <w:color w:val="auto"/>
        </w:rPr>
        <w:t>电子投标文件可于提交投标文件截止时间前任意时段登录全国公共资源交易平台（陕西省·延安市）网站“电子交易平台</w:t>
      </w:r>
      <w:r>
        <w:rPr>
          <w:rFonts w:ascii="华文仿宋" w:hAnsi="华文仿宋" w:cs="华文仿宋"/>
          <w:color w:val="auto"/>
        </w:rPr>
        <w:t>&gt;</w:t>
      </w:r>
      <w:r>
        <w:rPr>
          <w:rFonts w:hint="eastAsia" w:ascii="华文仿宋" w:hAnsi="华文仿宋" w:cs="华文仿宋"/>
          <w:color w:val="auto"/>
          <w:lang w:val="en-US" w:eastAsia="zh-CN"/>
        </w:rPr>
        <w:t>政府采购交易系统</w:t>
      </w:r>
      <w:r>
        <w:rPr>
          <w:rFonts w:ascii="华文仿宋" w:hAnsi="华文仿宋" w:cs="华文仿宋"/>
          <w:color w:val="auto"/>
        </w:rPr>
        <w:t>&gt;</w:t>
      </w:r>
      <w:r>
        <w:rPr>
          <w:rFonts w:hint="eastAsia" w:ascii="华文仿宋" w:hAnsi="华文仿宋" w:cs="华文仿宋"/>
          <w:color w:val="auto"/>
        </w:rPr>
        <w:t>企业端”进行提交，逾期系统将拒绝接收。提交时，投标人应登录全国公共资源交易中心平台（陕西省·延安市），选择“首页</w:t>
      </w:r>
      <w:r>
        <w:rPr>
          <w:rFonts w:ascii="华文仿宋" w:hAnsi="华文仿宋" w:cs="华文仿宋"/>
          <w:color w:val="auto"/>
        </w:rPr>
        <w:t>&gt;</w:t>
      </w:r>
      <w:r>
        <w:rPr>
          <w:rFonts w:hint="eastAsia" w:ascii="华文仿宋" w:hAnsi="华文仿宋" w:cs="华文仿宋"/>
          <w:color w:val="auto"/>
        </w:rPr>
        <w:t>电子交易平台</w:t>
      </w:r>
      <w:r>
        <w:rPr>
          <w:rFonts w:ascii="华文仿宋" w:hAnsi="华文仿宋" w:cs="华文仿宋"/>
          <w:color w:val="auto"/>
        </w:rPr>
        <w:t>&gt;</w:t>
      </w:r>
      <w:r>
        <w:rPr>
          <w:rFonts w:hint="eastAsia" w:ascii="华文仿宋" w:hAnsi="华文仿宋" w:cs="华文仿宋"/>
          <w:color w:val="auto"/>
          <w:lang w:val="en-US" w:eastAsia="zh-CN"/>
        </w:rPr>
        <w:t>政府采购交易系统</w:t>
      </w:r>
      <w:r>
        <w:rPr>
          <w:rFonts w:ascii="华文仿宋" w:hAnsi="华文仿宋" w:cs="华文仿宋"/>
          <w:color w:val="auto"/>
        </w:rPr>
        <w:t>&gt;</w:t>
      </w:r>
      <w:r>
        <w:rPr>
          <w:rFonts w:hint="eastAsia" w:ascii="华文仿宋" w:hAnsi="华文仿宋" w:cs="华文仿宋"/>
          <w:color w:val="auto"/>
        </w:rPr>
        <w:t>企业端</w:t>
      </w:r>
      <w:r>
        <w:rPr>
          <w:rFonts w:ascii="华文仿宋" w:hAnsi="华文仿宋" w:cs="华文仿宋"/>
          <w:color w:val="auto"/>
        </w:rPr>
        <w:t>&gt;</w:t>
      </w:r>
      <w:r>
        <w:rPr>
          <w:rFonts w:hint="eastAsia" w:ascii="华文仿宋" w:hAnsi="华文仿宋" w:cs="华文仿宋"/>
          <w:color w:val="auto"/>
        </w:rPr>
        <w:t>我的项目”，点击“项目流程”，在打开的“项目管理”对话框中选择“上传投标文件”，上传加密的电子投标文件（</w:t>
      </w:r>
      <w:r>
        <w:rPr>
          <w:color w:val="auto"/>
        </w:rPr>
        <w:t>*</w:t>
      </w:r>
      <w:r>
        <w:rPr>
          <w:rFonts w:hint="eastAsia" w:ascii="仿宋" w:hAnsi="仿宋" w:eastAsia="仿宋" w:cs="仿宋"/>
          <w:color w:val="auto"/>
        </w:rPr>
        <w:t>.SXSTF</w:t>
      </w:r>
      <w:r>
        <w:rPr>
          <w:rFonts w:hint="eastAsia" w:ascii="华文仿宋" w:hAnsi="华文仿宋" w:cs="华文仿宋"/>
          <w:color w:val="auto"/>
        </w:rPr>
        <w:t>）。上传成功后，电子化平台将予以记录。</w:t>
      </w:r>
    </w:p>
    <w:bookmarkEnd w:id="333"/>
    <w:bookmarkEnd w:id="334"/>
    <w:bookmarkEnd w:id="335"/>
    <w:bookmarkEnd w:id="336"/>
    <w:bookmarkEnd w:id="337"/>
    <w:bookmarkEnd w:id="338"/>
    <w:bookmarkEnd w:id="339"/>
    <w:bookmarkEnd w:id="340"/>
    <w:bookmarkEnd w:id="341"/>
    <w:p w14:paraId="0670E0FC">
      <w:pPr>
        <w:pStyle w:val="3"/>
        <w:spacing w:line="500" w:lineRule="exact"/>
        <w:ind w:firstLine="566" w:firstLineChars="200"/>
        <w:rPr>
          <w:rFonts w:ascii="华文仿宋" w:cs="Times New Roman"/>
          <w:color w:val="auto"/>
          <w:sz w:val="28"/>
          <w:szCs w:val="28"/>
        </w:rPr>
      </w:pPr>
      <w:bookmarkStart w:id="342" w:name="_Toc15097"/>
      <w:bookmarkEnd w:id="342"/>
      <w:bookmarkStart w:id="343" w:name="_Toc29672"/>
      <w:bookmarkEnd w:id="343"/>
      <w:bookmarkStart w:id="344" w:name="_Toc9556"/>
      <w:bookmarkEnd w:id="344"/>
      <w:bookmarkStart w:id="345" w:name="_Toc27882"/>
      <w:bookmarkEnd w:id="345"/>
      <w:r>
        <w:rPr>
          <w:rFonts w:hint="eastAsia" w:ascii="华文仿宋" w:hAnsi="华文仿宋" w:cs="华文仿宋"/>
          <w:color w:val="auto"/>
          <w:sz w:val="28"/>
          <w:szCs w:val="28"/>
        </w:rPr>
        <w:t>（四）投标文件的补充、修改和撤回</w:t>
      </w:r>
    </w:p>
    <w:p w14:paraId="422984F8">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投标人在递交投标文件后，且在提交投标文件截止时间前，可以对所提交的投标文件进行补充、修改或撤回。</w:t>
      </w:r>
    </w:p>
    <w:p w14:paraId="3A1D252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对电子投标文件进行补充、修改的，应先从电子交易平台上撤回旧版，再重新提交新版。</w:t>
      </w:r>
    </w:p>
    <w:p w14:paraId="11867B2F">
      <w:pPr>
        <w:spacing w:line="500" w:lineRule="exact"/>
        <w:ind w:firstLine="566" w:firstLineChars="200"/>
        <w:rPr>
          <w:rFonts w:ascii="华文仿宋" w:hAnsi="华文仿宋" w:cs="华文仿宋"/>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投标文件提交截止时间后，投标人不得对其投标文件做任何修改。</w:t>
      </w:r>
    </w:p>
    <w:p w14:paraId="0FA55380">
      <w:pPr>
        <w:pStyle w:val="3"/>
        <w:spacing w:line="500" w:lineRule="exact"/>
        <w:ind w:firstLine="566" w:firstLineChars="200"/>
        <w:rPr>
          <w:rFonts w:ascii="华文仿宋" w:cs="Times New Roman"/>
          <w:color w:val="auto"/>
          <w:sz w:val="28"/>
          <w:szCs w:val="28"/>
        </w:rPr>
      </w:pPr>
      <w:bookmarkStart w:id="346" w:name="_Toc28287"/>
      <w:bookmarkEnd w:id="346"/>
      <w:bookmarkStart w:id="347" w:name="_Toc13291"/>
      <w:bookmarkEnd w:id="347"/>
      <w:bookmarkStart w:id="348" w:name="_Toc3075"/>
      <w:bookmarkEnd w:id="348"/>
      <w:bookmarkStart w:id="349" w:name="_Toc649"/>
      <w:bookmarkEnd w:id="349"/>
      <w:bookmarkStart w:id="350" w:name="_Toc23599"/>
      <w:bookmarkEnd w:id="350"/>
      <w:bookmarkStart w:id="351" w:name="_Toc20024"/>
      <w:bookmarkEnd w:id="351"/>
      <w:bookmarkStart w:id="352" w:name="_Toc14492"/>
      <w:bookmarkEnd w:id="352"/>
      <w:bookmarkStart w:id="353" w:name="_Toc11066"/>
      <w:bookmarkEnd w:id="353"/>
      <w:bookmarkStart w:id="354" w:name="_Toc16214"/>
      <w:bookmarkEnd w:id="354"/>
      <w:bookmarkStart w:id="355" w:name="_Toc17573"/>
      <w:bookmarkEnd w:id="355"/>
      <w:bookmarkStart w:id="356" w:name="_Toc27898"/>
      <w:bookmarkEnd w:id="356"/>
      <w:bookmarkStart w:id="357" w:name="_Toc15674"/>
      <w:bookmarkEnd w:id="357"/>
      <w:bookmarkStart w:id="358" w:name="_Toc29417"/>
      <w:bookmarkEnd w:id="358"/>
      <w:r>
        <w:rPr>
          <w:rFonts w:hint="eastAsia" w:ascii="华文仿宋" w:hAnsi="华文仿宋" w:cs="华文仿宋"/>
          <w:color w:val="auto"/>
          <w:sz w:val="28"/>
          <w:szCs w:val="28"/>
        </w:rPr>
        <w:t>（五）投标人提交投标文件时，出现下列情况之一的，其投标文件将被拒绝接收：</w:t>
      </w:r>
    </w:p>
    <w:p w14:paraId="242C95F3">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逾期提交投标文件；</w:t>
      </w:r>
    </w:p>
    <w:p w14:paraId="2963D98F">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提交的投标文件与本项目不相符的。</w:t>
      </w:r>
    </w:p>
    <w:p w14:paraId="362E7A2E">
      <w:pPr>
        <w:pStyle w:val="3"/>
        <w:spacing w:line="500" w:lineRule="exact"/>
        <w:ind w:firstLine="566" w:firstLineChars="200"/>
        <w:rPr>
          <w:rFonts w:ascii="华文仿宋" w:cs="Times New Roman"/>
          <w:color w:val="auto"/>
          <w:sz w:val="28"/>
          <w:szCs w:val="28"/>
        </w:rPr>
      </w:pPr>
      <w:bookmarkStart w:id="359" w:name="_Toc20777"/>
      <w:bookmarkEnd w:id="359"/>
      <w:bookmarkStart w:id="360" w:name="_Toc22417"/>
      <w:bookmarkEnd w:id="360"/>
      <w:bookmarkStart w:id="361" w:name="_Toc24495"/>
      <w:bookmarkEnd w:id="361"/>
      <w:bookmarkStart w:id="362" w:name="_Toc23167"/>
      <w:bookmarkEnd w:id="362"/>
      <w:bookmarkStart w:id="363" w:name="_Toc9457"/>
      <w:bookmarkEnd w:id="363"/>
      <w:bookmarkStart w:id="364" w:name="_Toc19182"/>
      <w:bookmarkEnd w:id="364"/>
      <w:bookmarkStart w:id="365" w:name="_Toc7926"/>
      <w:bookmarkEnd w:id="365"/>
      <w:bookmarkStart w:id="366" w:name="_Toc16898"/>
      <w:bookmarkEnd w:id="366"/>
      <w:r>
        <w:rPr>
          <w:rFonts w:hint="eastAsia" w:ascii="华文仿宋" w:hAnsi="华文仿宋" w:cs="华文仿宋"/>
          <w:color w:val="auto"/>
          <w:sz w:val="28"/>
          <w:szCs w:val="28"/>
        </w:rPr>
        <w:t>六、组织开标</w:t>
      </w:r>
    </w:p>
    <w:p w14:paraId="2F8078BB">
      <w:pPr>
        <w:spacing w:line="500" w:lineRule="exact"/>
        <w:ind w:firstLine="566" w:firstLineChars="200"/>
        <w:rPr>
          <w:rFonts w:cs="Times New Roman"/>
          <w:color w:val="auto"/>
        </w:rPr>
      </w:pPr>
      <w:r>
        <w:rPr>
          <w:rFonts w:hint="eastAsia" w:cs="华文仿宋"/>
          <w:color w:val="auto"/>
        </w:rPr>
        <w:t>（一）</w:t>
      </w:r>
      <w:r>
        <w:rPr>
          <w:rFonts w:hint="eastAsia" w:cs="华文仿宋"/>
          <w:color w:val="auto"/>
          <w:lang w:eastAsia="zh-CN"/>
        </w:rPr>
        <w:t>中心</w:t>
      </w:r>
      <w:r>
        <w:rPr>
          <w:rFonts w:hint="eastAsia" w:cs="华文仿宋"/>
          <w:color w:val="auto"/>
        </w:rPr>
        <w:t>组织开标、评审工作，整个过程受政府采购监管机构的监督、管理。</w:t>
      </w:r>
    </w:p>
    <w:p w14:paraId="0D047E8F">
      <w:pPr>
        <w:spacing w:line="500" w:lineRule="exact"/>
        <w:ind w:firstLine="566" w:firstLineChars="200"/>
        <w:rPr>
          <w:rFonts w:hint="eastAsia" w:ascii="华文仿宋" w:hAnsi="华文仿宋" w:cs="华文仿宋"/>
          <w:b/>
          <w:bCs/>
          <w:color w:val="auto"/>
        </w:rPr>
      </w:pPr>
      <w:r>
        <w:rPr>
          <w:rFonts w:hint="eastAsia" w:ascii="华文仿宋" w:hAnsi="华文仿宋" w:cs="华文仿宋"/>
          <w:b/>
          <w:bCs/>
          <w:color w:val="auto"/>
        </w:rPr>
        <w:t>（二）本项目采用不见面开标方式。投标人需在开标前最少一个小时登录全国公共资源交易平台（陕西省·延安市）首页选择“不见面开标-</w:t>
      </w:r>
      <w:r>
        <w:rPr>
          <w:rFonts w:hint="eastAsia" w:ascii="华文仿宋" w:hAnsi="华文仿宋" w:cs="华文仿宋"/>
          <w:b/>
          <w:bCs/>
          <w:color w:val="auto"/>
          <w:lang w:val="en-US" w:eastAsia="zh-CN"/>
        </w:rPr>
        <w:t>采购项目不见面开标大厅</w:t>
      </w:r>
      <w:r>
        <w:rPr>
          <w:rFonts w:hint="eastAsia" w:ascii="华文仿宋" w:hAnsi="华文仿宋" w:cs="华文仿宋"/>
          <w:b/>
          <w:bCs/>
          <w:color w:val="auto"/>
        </w:rPr>
        <w:t>”自行调试，并按照工作人员要求进行投标文件解密，远程观看开标直播。如遇困难，请拨打系统平台技术支持电话：</w:t>
      </w:r>
      <w:r>
        <w:rPr>
          <w:rFonts w:hint="eastAsia" w:ascii="华文仿宋" w:hAnsi="华文仿宋" w:cs="华文仿宋"/>
          <w:b/>
          <w:bCs/>
          <w:color w:val="auto"/>
          <w:sz w:val="28"/>
          <w:szCs w:val="28"/>
        </w:rPr>
        <w:t>051258188039</w:t>
      </w:r>
      <w:r>
        <w:rPr>
          <w:rFonts w:hint="eastAsia" w:ascii="华文仿宋" w:hAnsi="华文仿宋" w:cs="华文仿宋"/>
          <w:b/>
          <w:bCs/>
          <w:color w:val="auto"/>
        </w:rPr>
        <w:t>。</w:t>
      </w:r>
    </w:p>
    <w:p w14:paraId="6F28406B">
      <w:pPr>
        <w:spacing w:line="500" w:lineRule="exact"/>
        <w:ind w:firstLine="566" w:firstLineChars="200"/>
        <w:rPr>
          <w:rFonts w:cs="华文仿宋"/>
          <w:color w:val="auto"/>
        </w:rPr>
      </w:pPr>
      <w:r>
        <w:rPr>
          <w:rFonts w:hint="eastAsia" w:cs="华文仿宋"/>
          <w:color w:val="auto"/>
        </w:rPr>
        <w:t>参加投标的投标人不足</w:t>
      </w:r>
      <w:r>
        <w:rPr>
          <w:rFonts w:hint="eastAsia" w:ascii="仿宋" w:hAnsi="仿宋" w:eastAsia="仿宋" w:cs="仿宋"/>
          <w:color w:val="auto"/>
        </w:rPr>
        <w:t>3</w:t>
      </w:r>
      <w:r>
        <w:rPr>
          <w:rFonts w:hint="eastAsia" w:cs="华文仿宋"/>
          <w:color w:val="auto"/>
        </w:rPr>
        <w:t>家的，不得开标。</w:t>
      </w:r>
    </w:p>
    <w:p w14:paraId="6168B40D">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评标委员会</w:t>
      </w:r>
      <w:r>
        <w:rPr>
          <w:rFonts w:hint="eastAsia"/>
          <w:color w:val="auto"/>
        </w:rPr>
        <w:t>视为</w:t>
      </w:r>
      <w:r>
        <w:rPr>
          <w:rFonts w:hint="eastAsia" w:cs="仿宋"/>
          <w:color w:val="auto"/>
          <w:highlight w:val="none"/>
        </w:rPr>
        <w:t>响应</w:t>
      </w:r>
      <w:r>
        <w:rPr>
          <w:rFonts w:hint="eastAsia"/>
          <w:color w:val="auto"/>
        </w:rPr>
        <w:t>无效。</w:t>
      </w:r>
    </w:p>
    <w:p w14:paraId="5708D996">
      <w:pPr>
        <w:spacing w:line="500" w:lineRule="exact"/>
        <w:ind w:firstLine="566" w:firstLineChars="200"/>
        <w:rPr>
          <w:rFonts w:ascii="华文仿宋" w:hAnsi="华文仿宋" w:cs="华文仿宋"/>
          <w:color w:val="auto"/>
        </w:rPr>
      </w:pPr>
      <w:r>
        <w:rPr>
          <w:rFonts w:hint="eastAsia" w:cs="华文仿宋"/>
          <w:color w:val="auto"/>
        </w:rPr>
        <w:t>（四）</w:t>
      </w:r>
      <w:r>
        <w:rPr>
          <w:rFonts w:hint="eastAsia" w:ascii="华文仿宋" w:hAnsi="华文仿宋" w:cs="华文仿宋"/>
          <w:color w:val="auto"/>
        </w:rPr>
        <w:t>投标</w:t>
      </w:r>
      <w:r>
        <w:rPr>
          <w:rFonts w:hint="eastAsia" w:ascii="华文仿宋" w:hAnsi="华文仿宋" w:cs="华文仿宋"/>
          <w:color w:val="auto"/>
          <w:lang w:eastAsia="zh-CN"/>
        </w:rPr>
        <w:t>人</w:t>
      </w:r>
      <w:r>
        <w:rPr>
          <w:rFonts w:hint="eastAsia" w:ascii="华文仿宋" w:hAnsi="华文仿宋" w:cs="华文仿宋"/>
          <w:color w:val="auto"/>
        </w:rPr>
        <w:t>对开标过程有疑义，以及认为采购人、</w:t>
      </w:r>
      <w:r>
        <w:rPr>
          <w:rFonts w:hint="eastAsia" w:ascii="华文仿宋" w:hAnsi="华文仿宋" w:cs="华文仿宋"/>
          <w:color w:val="auto"/>
          <w:lang w:eastAsia="zh-CN"/>
        </w:rPr>
        <w:t>中心</w:t>
      </w:r>
      <w:r>
        <w:rPr>
          <w:rFonts w:hint="eastAsia" w:ascii="华文仿宋" w:hAnsi="华文仿宋" w:cs="华文仿宋"/>
          <w:color w:val="auto"/>
        </w:rPr>
        <w:t>相关工作人员有需要回避情形的，</w:t>
      </w:r>
      <w:r>
        <w:rPr>
          <w:rFonts w:hint="eastAsia" w:ascii="华文仿宋" w:hAnsi="华文仿宋" w:cs="华文仿宋"/>
          <w:color w:val="auto"/>
          <w:lang w:eastAsia="zh-CN"/>
        </w:rPr>
        <w:t>应在网络开标大厅</w:t>
      </w:r>
      <w:r>
        <w:rPr>
          <w:rFonts w:hint="eastAsia" w:ascii="华文仿宋" w:hAnsi="华文仿宋" w:cs="华文仿宋"/>
          <w:color w:val="auto"/>
        </w:rPr>
        <w:t>提出询问或回避申请，采购人、</w:t>
      </w:r>
      <w:r>
        <w:rPr>
          <w:rFonts w:hint="eastAsia" w:ascii="华文仿宋" w:hAnsi="华文仿宋" w:cs="华文仿宋"/>
          <w:color w:val="auto"/>
          <w:lang w:eastAsia="zh-CN"/>
        </w:rPr>
        <w:t>中心</w:t>
      </w:r>
      <w:r>
        <w:rPr>
          <w:rFonts w:hint="eastAsia" w:ascii="华文仿宋" w:hAnsi="华文仿宋" w:cs="华文仿宋"/>
          <w:color w:val="auto"/>
        </w:rPr>
        <w:t>应当及时处理。</w:t>
      </w:r>
    </w:p>
    <w:p w14:paraId="7F3867F8">
      <w:pPr>
        <w:spacing w:line="500" w:lineRule="exact"/>
        <w:ind w:firstLine="566" w:firstLineChars="200"/>
        <w:rPr>
          <w:rFonts w:ascii="华文仿宋" w:cs="Times New Roman"/>
          <w:color w:val="auto"/>
        </w:rPr>
      </w:pPr>
      <w:r>
        <w:rPr>
          <w:rFonts w:hint="eastAsia" w:cs="华文仿宋"/>
          <w:color w:val="auto"/>
        </w:rPr>
        <w:t>（五）投标人未参加开标的，视同认可开标结果。</w:t>
      </w:r>
    </w:p>
    <w:p w14:paraId="1DA1A969">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（六）在开标环节出现下列情况之一的，其投标文件视为无效文件：</w:t>
      </w:r>
    </w:p>
    <w:p w14:paraId="6F487D5E">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投标人拒绝对电子投标文件进行解密的；</w:t>
      </w:r>
    </w:p>
    <w:p w14:paraId="632F59C6">
      <w:pPr>
        <w:widowControl w:val="0"/>
        <w:spacing w:line="500" w:lineRule="exact"/>
        <w:ind w:firstLine="566" w:firstLineChars="200"/>
        <w:rPr>
          <w:rFonts w:hint="eastAsia" w:ascii="华文仿宋" w:hAnsi="华文仿宋" w:eastAsia="华文仿宋" w:cs="华文仿宋"/>
          <w:color w:val="auto"/>
          <w:lang w:val="en-US" w:eastAsia="zh-CN"/>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因投标人自身原因（如解密时使用的</w:t>
      </w:r>
      <w:r>
        <w:rPr>
          <w:rFonts w:hint="eastAsia" w:ascii="仿宋" w:hAnsi="仿宋" w:eastAsia="仿宋" w:cs="仿宋"/>
          <w:color w:val="auto"/>
        </w:rPr>
        <w:t>CA</w:t>
      </w:r>
      <w:r>
        <w:rPr>
          <w:rFonts w:hint="eastAsia" w:ascii="华文仿宋" w:hAnsi="华文仿宋" w:cs="华文仿宋"/>
          <w:color w:val="auto"/>
        </w:rPr>
        <w:t>锁与制作电子投标文件使用的</w:t>
      </w:r>
      <w:r>
        <w:rPr>
          <w:rFonts w:hint="eastAsia" w:ascii="仿宋" w:hAnsi="仿宋" w:eastAsia="仿宋" w:cs="仿宋"/>
          <w:color w:val="auto"/>
        </w:rPr>
        <w:t>CA</w:t>
      </w:r>
      <w:r>
        <w:rPr>
          <w:rFonts w:hint="eastAsia" w:ascii="华文仿宋" w:hAnsi="华文仿宋" w:cs="华文仿宋"/>
          <w:color w:val="auto"/>
        </w:rPr>
        <w:t>锁不一致或沿用旧版招标文件编制投标文件等情形），导致在规定时间内无法解密投标文件的；</w:t>
      </w:r>
    </w:p>
    <w:p w14:paraId="10B80AD0">
      <w:pPr>
        <w:spacing w:line="500" w:lineRule="exact"/>
        <w:ind w:firstLine="566" w:firstLineChars="200"/>
        <w:rPr>
          <w:rFonts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上传的电子投标文件无法打开的；</w:t>
      </w:r>
    </w:p>
    <w:p w14:paraId="065301F9">
      <w:pPr>
        <w:spacing w:line="500" w:lineRule="exact"/>
        <w:ind w:firstLine="566" w:firstLineChars="200"/>
        <w:rPr>
          <w:rFonts w:ascii="华文仿宋" w:hAnsi="华文仿宋" w:cs="华文仿宋"/>
          <w:color w:val="auto"/>
        </w:rPr>
      </w:pPr>
      <w:r>
        <w:rPr>
          <w:rFonts w:hint="eastAsia"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政府采购法律法规规定的其他无效情形。</w:t>
      </w:r>
    </w:p>
    <w:p w14:paraId="57A38F6D">
      <w:pPr>
        <w:spacing w:line="500" w:lineRule="exact"/>
        <w:ind w:firstLine="566" w:firstLineChars="200"/>
        <w:rPr>
          <w:rFonts w:ascii="仿宋" w:hAnsi="仿宋" w:eastAsia="仿宋" w:cs="Times New Roman"/>
          <w:b/>
          <w:bCs/>
          <w:color w:val="auto"/>
        </w:rPr>
      </w:pPr>
      <w:r>
        <w:rPr>
          <w:rFonts w:hint="eastAsia" w:ascii="仿宋" w:hAnsi="仿宋" w:eastAsia="仿宋" w:cs="仿宋"/>
          <w:b/>
          <w:bCs/>
          <w:color w:val="auto"/>
        </w:rPr>
        <w:t>（七）特殊情形下的应急处置</w:t>
      </w:r>
    </w:p>
    <w:p w14:paraId="2F65FF1F">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在开标、评审过程中，如因停电、断网、电子化系统故障等特殊原因导致电子化开、评审无法正常进行时，将视电子投标文件解密情况特殊处理。</w:t>
      </w:r>
    </w:p>
    <w:p w14:paraId="4EC0799F">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开标时电子投标文件未解密的，将另行确定时间继续完成开标程序；</w:t>
      </w:r>
    </w:p>
    <w:p w14:paraId="1BA103A6">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开启后电子响应文件已解密但评审结论未形成的：</w:t>
      </w:r>
    </w:p>
    <w:p w14:paraId="0819CD19">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1</w:t>
      </w:r>
      <w:r>
        <w:rPr>
          <w:rFonts w:hint="eastAsia" w:ascii="华文仿宋" w:hAnsi="华文仿宋" w:cs="华文仿宋"/>
          <w:color w:val="auto"/>
          <w:lang w:eastAsia="zh-CN"/>
        </w:rPr>
        <w:t>）</w:t>
      </w:r>
      <w:r>
        <w:rPr>
          <w:rFonts w:hint="eastAsia" w:ascii="华文仿宋" w:hAnsi="华文仿宋" w:cs="华文仿宋"/>
          <w:color w:val="auto"/>
        </w:rPr>
        <w:t>上午开标的项目，在上午下班前仍未解决的，将发布废标公告，重新组织采购活动；</w:t>
      </w:r>
    </w:p>
    <w:p w14:paraId="14C69488">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lang w:eastAsia="zh-CN"/>
        </w:rPr>
        <w:t>（</w:t>
      </w:r>
      <w:r>
        <w:rPr>
          <w:rFonts w:hint="eastAsia" w:ascii="华文仿宋" w:hAnsi="华文仿宋" w:cs="华文仿宋"/>
          <w:color w:val="auto"/>
          <w:lang w:val="en-US" w:eastAsia="zh-CN"/>
        </w:rPr>
        <w:t>2</w:t>
      </w:r>
      <w:r>
        <w:rPr>
          <w:rFonts w:hint="eastAsia" w:ascii="华文仿宋" w:hAnsi="华文仿宋" w:cs="华文仿宋"/>
          <w:color w:val="auto"/>
          <w:lang w:eastAsia="zh-CN"/>
        </w:rPr>
        <w:t>）</w:t>
      </w:r>
      <w:r>
        <w:rPr>
          <w:rFonts w:hint="eastAsia" w:ascii="华文仿宋" w:hAnsi="华文仿宋" w:cs="华文仿宋"/>
          <w:color w:val="auto"/>
        </w:rPr>
        <w:t>下午开标的项目，在下午下班前仍未解决的，将发布废标公告，重新组织采购活动。</w:t>
      </w:r>
    </w:p>
    <w:p w14:paraId="42C9B7F2">
      <w:pPr>
        <w:spacing w:line="500" w:lineRule="exact"/>
        <w:ind w:firstLine="566" w:firstLineChars="200"/>
        <w:rPr>
          <w:rFonts w:hint="eastAsia" w:ascii="华文仿宋" w:hAnsi="华文仿宋" w:cs="华文仿宋"/>
          <w:color w:val="auto"/>
        </w:rPr>
      </w:pPr>
      <w:r>
        <w:rPr>
          <w:rFonts w:hint="eastAsia"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开标后电子投标文件已解密且评审结论已形成的，待特殊情况排除后，继续完成评审活动。</w:t>
      </w:r>
    </w:p>
    <w:p w14:paraId="519F398A">
      <w:pPr>
        <w:pStyle w:val="3"/>
        <w:spacing w:line="500" w:lineRule="exact"/>
        <w:ind w:firstLine="566" w:firstLineChars="200"/>
        <w:rPr>
          <w:rFonts w:ascii="华文仿宋" w:cs="Times New Roman"/>
          <w:color w:val="auto"/>
          <w:sz w:val="28"/>
          <w:szCs w:val="28"/>
        </w:rPr>
      </w:pPr>
      <w:bookmarkStart w:id="367" w:name="_Toc13241"/>
      <w:bookmarkEnd w:id="367"/>
      <w:bookmarkStart w:id="368" w:name="_Toc25858"/>
      <w:bookmarkEnd w:id="368"/>
      <w:bookmarkStart w:id="369" w:name="_Toc24074"/>
      <w:bookmarkEnd w:id="369"/>
      <w:bookmarkStart w:id="370" w:name="_Toc16618"/>
      <w:bookmarkEnd w:id="370"/>
      <w:bookmarkStart w:id="371" w:name="_Toc9634"/>
      <w:bookmarkEnd w:id="371"/>
      <w:r>
        <w:rPr>
          <w:rFonts w:hint="eastAsia" w:ascii="华文仿宋" w:hAnsi="华文仿宋" w:cs="华文仿宋"/>
          <w:color w:val="auto"/>
          <w:sz w:val="28"/>
          <w:szCs w:val="28"/>
        </w:rPr>
        <w:t>七、资格审查</w:t>
      </w:r>
    </w:p>
    <w:p w14:paraId="74E502BB">
      <w:pPr>
        <w:spacing w:line="500" w:lineRule="exact"/>
        <w:ind w:firstLine="566" w:firstLineChars="200"/>
        <w:rPr>
          <w:rFonts w:ascii="华文仿宋" w:cs="Times New Roman"/>
          <w:color w:val="auto"/>
        </w:rPr>
      </w:pPr>
      <w:r>
        <w:rPr>
          <w:rFonts w:hint="eastAsia" w:ascii="华文仿宋" w:hAnsi="华文仿宋" w:cs="华文仿宋"/>
          <w:color w:val="auto"/>
        </w:rPr>
        <w:t>（一）开标结束后，由采购人按照《政府采购货物和服务招标投标管理办法》（财政部第</w:t>
      </w:r>
      <w:r>
        <w:rPr>
          <w:rFonts w:ascii="仿宋" w:hAnsi="仿宋" w:eastAsia="仿宋" w:cs="仿宋"/>
          <w:color w:val="auto"/>
        </w:rPr>
        <w:t>87</w:t>
      </w:r>
      <w:r>
        <w:rPr>
          <w:rFonts w:hint="eastAsia" w:ascii="华文仿宋" w:hAnsi="华文仿宋" w:cs="华文仿宋"/>
          <w:color w:val="auto"/>
        </w:rPr>
        <w:t>号令）有关规定，对投标文件中的投标人资格证明文件进行审查。</w:t>
      </w:r>
    </w:p>
    <w:p w14:paraId="6418802D">
      <w:pPr>
        <w:spacing w:line="500" w:lineRule="exact"/>
        <w:ind w:firstLine="566" w:firstLineChars="200"/>
        <w:rPr>
          <w:rFonts w:ascii="华文仿宋" w:cs="Times New Roman"/>
          <w:b/>
          <w:bCs/>
          <w:color w:val="auto"/>
        </w:rPr>
      </w:pPr>
      <w:r>
        <w:rPr>
          <w:rFonts w:hint="eastAsia" w:ascii="华文仿宋" w:hAnsi="华文仿宋" w:cs="华文仿宋"/>
          <w:b/>
          <w:bCs/>
          <w:color w:val="auto"/>
        </w:rPr>
        <w:t>（二）出现下列情形的，投标文件将被视为无效：</w:t>
      </w:r>
    </w:p>
    <w:p w14:paraId="616DA792">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1.</w:t>
      </w:r>
      <w:r>
        <w:rPr>
          <w:rFonts w:hint="eastAsia" w:ascii="华文仿宋" w:hAnsi="华文仿宋" w:cs="华文仿宋"/>
          <w:color w:val="auto"/>
        </w:rPr>
        <w:t>不具备招标文件中规定的资格要求的；</w:t>
      </w:r>
    </w:p>
    <w:p w14:paraId="4B063619">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2.</w:t>
      </w:r>
      <w:r>
        <w:rPr>
          <w:rFonts w:hint="eastAsia" w:ascii="华文仿宋" w:hAnsi="华文仿宋" w:cs="华文仿宋"/>
          <w:color w:val="auto"/>
        </w:rPr>
        <w:t>未按招标文件要求提供资格证明文件，或未按招标文件要求加盖公章的；</w:t>
      </w:r>
    </w:p>
    <w:p w14:paraId="0FE1EC77">
      <w:pPr>
        <w:spacing w:line="500" w:lineRule="exact"/>
        <w:ind w:firstLine="566" w:firstLineChars="200"/>
        <w:rPr>
          <w:rFonts w:ascii="华文仿宋" w:cs="Times New Roman"/>
          <w:color w:val="auto"/>
        </w:rPr>
      </w:pPr>
      <w:r>
        <w:rPr>
          <w:rFonts w:hint="eastAsia" w:ascii="华文仿宋" w:hAnsi="华文仿宋" w:cs="华文仿宋"/>
          <w:color w:val="auto"/>
          <w:lang w:val="en-US" w:eastAsia="zh-CN"/>
        </w:rPr>
        <w:t>3.</w:t>
      </w:r>
      <w:r>
        <w:rPr>
          <w:rFonts w:hint="eastAsia" w:ascii="华文仿宋" w:hAnsi="华文仿宋" w:cs="华文仿宋"/>
          <w:color w:val="auto"/>
        </w:rPr>
        <w:t>资格审查小组认为投标人的资格证明文件存在疑点，要求投标人通过公共资源电子交易平台（以下简称“平台”）或电子邮件（在平台无法支持的情况下）等形式提供更清晰有效的证明文件，投标人不能在规定时限内提供符合招标文件要求的证明文件的。</w:t>
      </w:r>
    </w:p>
    <w:p w14:paraId="7F2D4EE3">
      <w:pPr>
        <w:spacing w:line="500" w:lineRule="exact"/>
        <w:ind w:firstLine="566" w:firstLineChars="200"/>
        <w:rPr>
          <w:rFonts w:ascii="华文仿宋" w:cs="Times New Roman"/>
          <w:color w:val="auto"/>
        </w:rPr>
      </w:pPr>
      <w:r>
        <w:rPr>
          <w:rFonts w:hint="eastAsia" w:ascii="华文仿宋" w:hAnsi="华文仿宋" w:cs="华文仿宋"/>
          <w:color w:val="auto"/>
        </w:rPr>
        <w:t>（三）资格审查结束后，资格审查小组成员应当对审查结果进行签字确认，并告知无效投标人资格审查未通过的原因。</w:t>
      </w:r>
    </w:p>
    <w:p w14:paraId="7D493770">
      <w:pPr>
        <w:spacing w:line="500" w:lineRule="exact"/>
        <w:ind w:firstLine="566" w:firstLineChars="200"/>
        <w:rPr>
          <w:rFonts w:ascii="华文仿宋" w:cs="Times New Roman"/>
          <w:color w:val="auto"/>
        </w:rPr>
      </w:pPr>
      <w:r>
        <w:rPr>
          <w:rFonts w:hint="eastAsia" w:ascii="华文仿宋" w:hAnsi="华文仿宋" w:cs="华文仿宋"/>
          <w:color w:val="auto"/>
        </w:rPr>
        <w:t>（四）合格投标人不足</w:t>
      </w:r>
      <w:r>
        <w:rPr>
          <w:rFonts w:ascii="仿宋" w:hAnsi="仿宋" w:eastAsia="仿宋" w:cs="仿宋"/>
          <w:color w:val="auto"/>
        </w:rPr>
        <w:t>3</w:t>
      </w:r>
      <w:r>
        <w:rPr>
          <w:rFonts w:hint="eastAsia" w:ascii="华文仿宋" w:hAnsi="华文仿宋" w:cs="华文仿宋"/>
          <w:color w:val="auto"/>
        </w:rPr>
        <w:t>家的，不得评标，应予以废标。</w:t>
      </w:r>
    </w:p>
    <w:p w14:paraId="5076C155">
      <w:pPr>
        <w:pStyle w:val="3"/>
        <w:spacing w:line="500" w:lineRule="exact"/>
        <w:ind w:firstLine="566" w:firstLineChars="200"/>
        <w:rPr>
          <w:rFonts w:ascii="华文仿宋" w:cs="Times New Roman"/>
          <w:color w:val="auto"/>
          <w:sz w:val="28"/>
          <w:szCs w:val="28"/>
        </w:rPr>
      </w:pPr>
      <w:bookmarkStart w:id="372" w:name="_Toc5987"/>
      <w:bookmarkEnd w:id="372"/>
      <w:bookmarkStart w:id="373" w:name="_Toc5711"/>
      <w:bookmarkEnd w:id="373"/>
      <w:bookmarkStart w:id="374" w:name="_Toc23119"/>
      <w:bookmarkEnd w:id="374"/>
      <w:bookmarkStart w:id="375" w:name="_Toc25619"/>
      <w:bookmarkEnd w:id="375"/>
      <w:bookmarkStart w:id="376" w:name="_Toc5422"/>
      <w:bookmarkEnd w:id="376"/>
      <w:r>
        <w:rPr>
          <w:rFonts w:hint="eastAsia" w:ascii="华文仿宋" w:hAnsi="华文仿宋" w:cs="华文仿宋"/>
          <w:color w:val="auto"/>
          <w:sz w:val="28"/>
          <w:szCs w:val="28"/>
        </w:rPr>
        <w:t>八、组织评标</w:t>
      </w:r>
    </w:p>
    <w:p w14:paraId="72941E80">
      <w:pPr>
        <w:pStyle w:val="3"/>
        <w:spacing w:line="500" w:lineRule="exact"/>
        <w:ind w:firstLine="566" w:firstLineChars="200"/>
        <w:rPr>
          <w:rFonts w:ascii="华文仿宋" w:cs="Times New Roman"/>
          <w:color w:val="auto"/>
          <w:sz w:val="28"/>
          <w:szCs w:val="28"/>
        </w:rPr>
      </w:pPr>
      <w:bookmarkStart w:id="377" w:name="_Toc17284"/>
      <w:bookmarkEnd w:id="377"/>
      <w:bookmarkStart w:id="378" w:name="_Toc32509"/>
      <w:bookmarkEnd w:id="378"/>
      <w:bookmarkStart w:id="379" w:name="_Toc11391"/>
      <w:bookmarkEnd w:id="379"/>
      <w:bookmarkStart w:id="380" w:name="_Toc22084"/>
      <w:bookmarkEnd w:id="380"/>
      <w:bookmarkStart w:id="381" w:name="_Toc31430"/>
      <w:bookmarkEnd w:id="381"/>
      <w:bookmarkStart w:id="382" w:name="_Toc16555"/>
      <w:bookmarkEnd w:id="382"/>
      <w:bookmarkStart w:id="383" w:name="_Toc5675"/>
      <w:bookmarkEnd w:id="383"/>
      <w:bookmarkStart w:id="384" w:name="_Toc13209"/>
      <w:bookmarkEnd w:id="384"/>
      <w:bookmarkStart w:id="385" w:name="_Toc17770"/>
      <w:bookmarkEnd w:id="385"/>
      <w:r>
        <w:rPr>
          <w:rFonts w:hint="eastAsia" w:ascii="华文仿宋" w:hAnsi="华文仿宋" w:cs="华文仿宋"/>
          <w:color w:val="auto"/>
          <w:sz w:val="28"/>
          <w:szCs w:val="28"/>
        </w:rPr>
        <w:t>（一）采购代理机构负责组织评标工作，并履行下列职责：</w:t>
      </w:r>
    </w:p>
    <w:p w14:paraId="49C61FEB">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1</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核对评审专家身份和采购人代表授权函，对评审专家在政府采购活动中的职责履行情况予以记录，并及时将有关违法违规行为向财政部门报告</w:t>
      </w:r>
      <w:r>
        <w:rPr>
          <w:rFonts w:ascii="华文仿宋" w:hAnsi="华文仿宋" w:cs="华文仿宋"/>
          <w:color w:val="auto"/>
          <w:sz w:val="28"/>
          <w:szCs w:val="28"/>
          <w:shd w:val="clear" w:color="auto" w:fill="FFFFFF"/>
        </w:rPr>
        <w:t>;</w:t>
      </w:r>
    </w:p>
    <w:p w14:paraId="59EC468D">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2</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宣布评标纪律</w:t>
      </w:r>
      <w:r>
        <w:rPr>
          <w:rFonts w:ascii="华文仿宋" w:hAnsi="华文仿宋" w:cs="华文仿宋"/>
          <w:color w:val="auto"/>
          <w:sz w:val="28"/>
          <w:szCs w:val="28"/>
          <w:shd w:val="clear" w:color="auto" w:fill="FFFFFF"/>
        </w:rPr>
        <w:t>;</w:t>
      </w:r>
    </w:p>
    <w:p w14:paraId="36404A1D">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3</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公布投标人名单，告知评审专家应当回避的情形</w:t>
      </w:r>
      <w:r>
        <w:rPr>
          <w:rFonts w:ascii="华文仿宋" w:hAnsi="华文仿宋" w:cs="华文仿宋"/>
          <w:color w:val="auto"/>
          <w:sz w:val="28"/>
          <w:szCs w:val="28"/>
          <w:shd w:val="clear" w:color="auto" w:fill="FFFFFF"/>
        </w:rPr>
        <w:t>;</w:t>
      </w:r>
    </w:p>
    <w:p w14:paraId="17A2A74F">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4</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组织评标委员会推选评标组长，采购人代表不得担任组长</w:t>
      </w:r>
      <w:r>
        <w:rPr>
          <w:rFonts w:ascii="华文仿宋" w:hAnsi="华文仿宋" w:cs="华文仿宋"/>
          <w:color w:val="auto"/>
          <w:sz w:val="28"/>
          <w:szCs w:val="28"/>
          <w:shd w:val="clear" w:color="auto" w:fill="FFFFFF"/>
        </w:rPr>
        <w:t>;</w:t>
      </w:r>
    </w:p>
    <w:p w14:paraId="6EC42E0F">
      <w:pPr>
        <w:spacing w:line="500" w:lineRule="exact"/>
        <w:ind w:firstLine="566" w:firstLineChars="200"/>
        <w:jc w:val="left"/>
        <w:rPr>
          <w:rFonts w:ascii="仿宋" w:hAnsi="仿宋" w:eastAsia="仿宋" w:cs="仿宋"/>
          <w:color w:val="auto"/>
        </w:rPr>
      </w:pPr>
      <w:r>
        <w:rPr>
          <w:rFonts w:ascii="仿宋" w:hAnsi="仿宋" w:eastAsia="仿宋" w:cs="仿宋"/>
          <w:color w:val="auto"/>
        </w:rPr>
        <w:t>5</w:t>
      </w:r>
      <w:r>
        <w:rPr>
          <w:rFonts w:hint="eastAsia" w:ascii="仿宋" w:hAnsi="仿宋" w:eastAsia="仿宋" w:cs="仿宋"/>
          <w:color w:val="auto"/>
          <w:lang w:val="en-US" w:eastAsia="zh-CN"/>
        </w:rPr>
        <w:t>.</w:t>
      </w:r>
      <w:r>
        <w:rPr>
          <w:rFonts w:hint="eastAsia" w:ascii="仿宋" w:hAnsi="仿宋" w:eastAsia="仿宋" w:cs="仿宋"/>
          <w:color w:val="auto"/>
        </w:rPr>
        <w:t>在评审期间采取必要的通讯管理措施，保证评审活动不受外界干扰</w:t>
      </w:r>
      <w:r>
        <w:rPr>
          <w:rFonts w:ascii="仿宋" w:hAnsi="仿宋" w:eastAsia="仿宋" w:cs="仿宋"/>
          <w:color w:val="auto"/>
        </w:rPr>
        <w:t>;</w:t>
      </w:r>
    </w:p>
    <w:p w14:paraId="0FCF72AD">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6</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根据评标委员会的要求介绍政府采购相关政策法规、招标文件</w:t>
      </w:r>
      <w:r>
        <w:rPr>
          <w:rFonts w:ascii="华文仿宋" w:hAnsi="华文仿宋" w:cs="华文仿宋"/>
          <w:color w:val="auto"/>
          <w:sz w:val="28"/>
          <w:szCs w:val="28"/>
          <w:shd w:val="clear" w:color="auto" w:fill="FFFFFF"/>
        </w:rPr>
        <w:t>;</w:t>
      </w:r>
    </w:p>
    <w:p w14:paraId="7F5096E9">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7</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维护评标秩序，监督评标委员会依照招标文件规定的评标程序、方法和标准进行独立评审，及时制止和纠正采购人代表、评审专家的倾向性言论或者违法违规行为</w:t>
      </w:r>
      <w:r>
        <w:rPr>
          <w:rFonts w:ascii="华文仿宋" w:hAnsi="华文仿宋" w:cs="华文仿宋"/>
          <w:color w:val="auto"/>
          <w:sz w:val="28"/>
          <w:szCs w:val="28"/>
          <w:shd w:val="clear" w:color="auto" w:fill="FFFFFF"/>
        </w:rPr>
        <w:t>;</w:t>
      </w:r>
    </w:p>
    <w:p w14:paraId="4ECF5788">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8</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核对评标结果</w:t>
      </w:r>
      <w:r>
        <w:rPr>
          <w:rFonts w:ascii="华文仿宋" w:hAnsi="华文仿宋" w:cs="华文仿宋"/>
          <w:color w:val="auto"/>
          <w:sz w:val="28"/>
          <w:szCs w:val="28"/>
          <w:shd w:val="clear" w:color="auto" w:fill="FFFFFF"/>
        </w:rPr>
        <w:t>;</w:t>
      </w:r>
    </w:p>
    <w:p w14:paraId="25393AC5">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9</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评审工作完成后，按照规定向评审专家支付劳务报酬和异地评审差旅费，不得向评审专家以外的其他人员支付评审劳务报酬</w:t>
      </w:r>
      <w:r>
        <w:rPr>
          <w:rFonts w:ascii="华文仿宋" w:hAnsi="华文仿宋" w:cs="华文仿宋"/>
          <w:color w:val="auto"/>
          <w:sz w:val="28"/>
          <w:szCs w:val="28"/>
          <w:shd w:val="clear" w:color="auto" w:fill="FFFFFF"/>
        </w:rPr>
        <w:t>;</w:t>
      </w:r>
    </w:p>
    <w:p w14:paraId="3C5A3C8F">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10</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处理与评标有关的其他事项。</w:t>
      </w:r>
    </w:p>
    <w:p w14:paraId="7D8A26C4">
      <w:pPr>
        <w:pStyle w:val="25"/>
        <w:spacing w:beforeAutospacing="0" w:afterAutospacing="0" w:line="500" w:lineRule="exact"/>
        <w:ind w:firstLine="566" w:firstLineChars="200"/>
        <w:rPr>
          <w:rFonts w:ascii="华文仿宋" w:cs="Times New Roman"/>
          <w:color w:val="auto"/>
          <w:sz w:val="28"/>
          <w:szCs w:val="28"/>
        </w:rPr>
      </w:pPr>
      <w:r>
        <w:rPr>
          <w:rFonts w:hint="eastAsia" w:ascii="华文仿宋" w:hAnsi="华文仿宋" w:cs="华文仿宋"/>
          <w:color w:val="auto"/>
          <w:sz w:val="28"/>
          <w:szCs w:val="28"/>
          <w:shd w:val="clear" w:color="auto" w:fill="FFFFFF"/>
        </w:rPr>
        <w:t>采购人可以在评标前说明项目背景和采购需求，说明内容不得含有歧视性、倾向性意见，不得超出招标文件所述范围。说明应当提交书面材料，并随招标文件一并存档。</w:t>
      </w:r>
    </w:p>
    <w:p w14:paraId="7D25778D">
      <w:pPr>
        <w:pStyle w:val="3"/>
        <w:spacing w:line="500" w:lineRule="exact"/>
        <w:ind w:firstLine="566" w:firstLineChars="200"/>
        <w:rPr>
          <w:rFonts w:ascii="华文仿宋" w:cs="Times New Roman"/>
          <w:color w:val="auto"/>
          <w:sz w:val="28"/>
          <w:szCs w:val="28"/>
        </w:rPr>
      </w:pPr>
      <w:bookmarkStart w:id="386" w:name="_Toc10171"/>
      <w:bookmarkEnd w:id="386"/>
      <w:bookmarkStart w:id="387" w:name="_Toc3164"/>
      <w:bookmarkEnd w:id="387"/>
      <w:bookmarkStart w:id="388" w:name="_Toc12813"/>
      <w:bookmarkEnd w:id="388"/>
      <w:bookmarkStart w:id="389" w:name="_Toc29543"/>
      <w:bookmarkEnd w:id="389"/>
      <w:bookmarkStart w:id="390" w:name="_Toc12271"/>
      <w:bookmarkEnd w:id="390"/>
      <w:bookmarkStart w:id="391" w:name="_Toc1094"/>
      <w:bookmarkEnd w:id="391"/>
      <w:bookmarkStart w:id="392" w:name="_Toc11858"/>
      <w:bookmarkEnd w:id="392"/>
      <w:bookmarkStart w:id="393" w:name="_Toc10566"/>
      <w:bookmarkEnd w:id="393"/>
      <w:bookmarkStart w:id="394" w:name="_Toc13091"/>
      <w:bookmarkEnd w:id="394"/>
      <w:r>
        <w:rPr>
          <w:rFonts w:hint="eastAsia" w:ascii="华文仿宋" w:hAnsi="华文仿宋" w:cs="华文仿宋"/>
          <w:color w:val="auto"/>
          <w:sz w:val="28"/>
          <w:szCs w:val="28"/>
        </w:rPr>
        <w:t>（二）评标委员会负责具体评标事务，并独立履行下列职责：</w:t>
      </w:r>
    </w:p>
    <w:p w14:paraId="46F4F2BD">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1</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严格遵守评审工作纪律，按照客观、公正、审慎的原则，根据招标文件规定的评审程序、评审方法和评审标准进行独立评审；</w:t>
      </w:r>
    </w:p>
    <w:p w14:paraId="0DF266DD">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2</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招标文件内容违反国家有关强制性规定或者招标文件存在歧义、重大缺陷导致评审工作无法进行时，应当停止评审并向采购人或者采购代理机构书面说明情况；</w:t>
      </w:r>
    </w:p>
    <w:p w14:paraId="5F4EFF99">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3</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审查、评价投标文件是否符合招标文件的商务、技术等实质性要求；</w:t>
      </w:r>
    </w:p>
    <w:p w14:paraId="57DEA7E8">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4</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要求投标人对投标文件有关事项作出澄清或者说明；</w:t>
      </w:r>
    </w:p>
    <w:p w14:paraId="0F8EA1A9">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5</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对投标文件进行比较和评价；</w:t>
      </w:r>
    </w:p>
    <w:p w14:paraId="657CD251">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6</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确定中标候选人名单，以及根据采购人委托直接确定中标人；</w:t>
      </w:r>
    </w:p>
    <w:p w14:paraId="79CBBB5F">
      <w:pPr>
        <w:pStyle w:val="25"/>
        <w:spacing w:beforeAutospacing="0" w:afterAutospacing="0" w:line="500" w:lineRule="exact"/>
        <w:ind w:firstLine="566" w:firstLineChars="200"/>
        <w:rPr>
          <w:rFonts w:ascii="华文仿宋" w:cs="Times New Roman"/>
          <w:color w:val="auto"/>
          <w:sz w:val="28"/>
          <w:szCs w:val="28"/>
          <w:shd w:val="clear" w:color="auto" w:fill="FFFFFF"/>
        </w:rPr>
      </w:pPr>
      <w:r>
        <w:rPr>
          <w:rFonts w:ascii="华文仿宋" w:hAnsi="华文仿宋" w:cs="华文仿宋"/>
          <w:color w:val="auto"/>
          <w:sz w:val="28"/>
          <w:szCs w:val="28"/>
          <w:shd w:val="clear" w:color="auto" w:fill="FFFFFF"/>
        </w:rPr>
        <w:t>7</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配合答复投标人的询问、质疑和投诉等事项</w:t>
      </w:r>
      <w:r>
        <w:rPr>
          <w:rFonts w:ascii="华文仿宋" w:cs="华文仿宋"/>
          <w:color w:val="auto"/>
          <w:sz w:val="28"/>
          <w:szCs w:val="28"/>
          <w:shd w:val="clear" w:color="auto" w:fill="FFFFFF"/>
        </w:rPr>
        <w:t>,</w:t>
      </w:r>
      <w:r>
        <w:rPr>
          <w:rFonts w:hint="eastAsia" w:ascii="华文仿宋" w:hAnsi="华文仿宋" w:cs="华文仿宋"/>
          <w:color w:val="auto"/>
          <w:sz w:val="28"/>
          <w:szCs w:val="28"/>
          <w:shd w:val="clear" w:color="auto" w:fill="FFFFFF"/>
        </w:rPr>
        <w:t>不得泄露评审文件、评审情况和在评审过程中获悉的商业秘密；</w:t>
      </w:r>
    </w:p>
    <w:p w14:paraId="20ED0755">
      <w:pPr>
        <w:pStyle w:val="25"/>
        <w:spacing w:beforeAutospacing="0" w:afterAutospacing="0" w:line="500" w:lineRule="exact"/>
        <w:ind w:firstLine="566" w:firstLineChars="200"/>
        <w:rPr>
          <w:rFonts w:ascii="华文仿宋" w:cs="Times New Roman"/>
          <w:color w:val="auto"/>
          <w:sz w:val="28"/>
          <w:szCs w:val="28"/>
        </w:rPr>
      </w:pPr>
      <w:r>
        <w:rPr>
          <w:rFonts w:ascii="华文仿宋" w:hAnsi="华文仿宋" w:cs="华文仿宋"/>
          <w:color w:val="auto"/>
          <w:sz w:val="28"/>
          <w:szCs w:val="28"/>
          <w:shd w:val="clear" w:color="auto" w:fill="FFFFFF"/>
        </w:rPr>
        <w:t>8</w:t>
      </w:r>
      <w:r>
        <w:rPr>
          <w:rFonts w:hint="eastAsia" w:ascii="华文仿宋" w:hAnsi="华文仿宋" w:cs="华文仿宋"/>
          <w:color w:val="auto"/>
          <w:sz w:val="28"/>
          <w:szCs w:val="28"/>
          <w:shd w:val="clear" w:color="auto" w:fill="FFFFFF"/>
          <w:lang w:val="en-US" w:eastAsia="zh-CN"/>
        </w:rPr>
        <w:t>.</w:t>
      </w:r>
      <w:r>
        <w:rPr>
          <w:rFonts w:hint="eastAsia" w:ascii="华文仿宋" w:hAnsi="华文仿宋" w:cs="华文仿宋"/>
          <w:color w:val="auto"/>
          <w:sz w:val="28"/>
          <w:szCs w:val="28"/>
          <w:shd w:val="clear" w:color="auto" w:fill="FFFFFF"/>
        </w:rPr>
        <w:t>向采购人、</w:t>
      </w:r>
      <w:r>
        <w:rPr>
          <w:rFonts w:hint="eastAsia" w:ascii="华文仿宋" w:hAnsi="华文仿宋" w:cs="华文仿宋"/>
          <w:color w:val="auto"/>
          <w:sz w:val="28"/>
          <w:szCs w:val="28"/>
          <w:shd w:val="clear" w:color="auto" w:fill="FFFFFF"/>
          <w:lang w:val="zh-CN"/>
        </w:rPr>
        <w:t>中心</w:t>
      </w:r>
      <w:r>
        <w:rPr>
          <w:rFonts w:hint="eastAsia" w:ascii="华文仿宋" w:hAnsi="华文仿宋" w:cs="华文仿宋"/>
          <w:color w:val="auto"/>
          <w:sz w:val="28"/>
          <w:szCs w:val="28"/>
          <w:shd w:val="clear" w:color="auto" w:fill="FFFFFF"/>
        </w:rPr>
        <w:t>或者有关部门报告评标中发现的违法行为。</w:t>
      </w:r>
    </w:p>
    <w:p w14:paraId="37670F86">
      <w:pPr>
        <w:pStyle w:val="3"/>
        <w:spacing w:line="500" w:lineRule="exact"/>
        <w:ind w:firstLine="566" w:firstLineChars="200"/>
        <w:rPr>
          <w:rFonts w:ascii="华文仿宋" w:cs="Times New Roman"/>
          <w:color w:val="auto"/>
          <w:sz w:val="28"/>
          <w:szCs w:val="28"/>
        </w:rPr>
      </w:pPr>
      <w:bookmarkStart w:id="395" w:name="_Toc14825"/>
      <w:bookmarkEnd w:id="395"/>
      <w:bookmarkStart w:id="396" w:name="_Toc31640"/>
      <w:bookmarkEnd w:id="396"/>
      <w:bookmarkStart w:id="397" w:name="_Toc28395"/>
      <w:bookmarkEnd w:id="397"/>
      <w:bookmarkStart w:id="398" w:name="_Toc17965"/>
      <w:bookmarkEnd w:id="398"/>
      <w:bookmarkStart w:id="399" w:name="_Toc1922"/>
      <w:bookmarkEnd w:id="399"/>
      <w:bookmarkStart w:id="400" w:name="_Toc31666"/>
      <w:bookmarkEnd w:id="400"/>
      <w:bookmarkStart w:id="401" w:name="_Toc25447"/>
      <w:bookmarkEnd w:id="401"/>
      <w:bookmarkStart w:id="402" w:name="_Toc18693"/>
      <w:bookmarkEnd w:id="402"/>
      <w:bookmarkStart w:id="403" w:name="_Toc5809"/>
      <w:bookmarkEnd w:id="403"/>
      <w:r>
        <w:rPr>
          <w:rFonts w:hint="eastAsia" w:ascii="华文仿宋" w:hAnsi="华文仿宋" w:cs="华文仿宋"/>
          <w:color w:val="auto"/>
          <w:sz w:val="28"/>
          <w:szCs w:val="28"/>
        </w:rPr>
        <w:t>（三）组建评标委员会</w:t>
      </w:r>
    </w:p>
    <w:p w14:paraId="0DA30F61">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为了确保评标工作的公平、公正，依据政府采购法和政府采购相关法规、规章，成立评标委员会。评标委员会由采购人代表和有关技术、经济等方面的专家组成，成员人数为</w:t>
      </w:r>
      <w:r>
        <w:rPr>
          <w:rFonts w:ascii="仿宋" w:hAnsi="仿宋" w:eastAsia="仿宋" w:cs="仿宋"/>
          <w:color w:val="auto"/>
        </w:rPr>
        <w:t>5</w:t>
      </w:r>
      <w:r>
        <w:rPr>
          <w:rFonts w:hint="eastAsia" w:ascii="华文仿宋" w:hAnsi="华文仿宋" w:cs="华文仿宋"/>
          <w:color w:val="auto"/>
        </w:rPr>
        <w:t>人以上单数。其中，评审专家不少于成员总数的三分之二。</w:t>
      </w:r>
    </w:p>
    <w:p w14:paraId="44F9885C">
      <w:pPr>
        <w:spacing w:line="500" w:lineRule="exact"/>
        <w:ind w:firstLine="566" w:firstLineChars="200"/>
        <w:rPr>
          <w:rFonts w:ascii="华文仿宋" w:cs="Times New Roman"/>
          <w:color w:val="auto"/>
        </w:rPr>
      </w:pPr>
      <w:r>
        <w:rPr>
          <w:rFonts w:hint="eastAsia" w:ascii="华文仿宋" w:hAnsi="华文仿宋" w:cs="华文仿宋"/>
          <w:color w:val="auto"/>
        </w:rPr>
        <w:t>采购项目符合下列情形之一的，评标委员会成员人数应当为</w:t>
      </w:r>
      <w:r>
        <w:rPr>
          <w:rFonts w:ascii="仿宋" w:hAnsi="仿宋" w:eastAsia="仿宋" w:cs="仿宋"/>
          <w:color w:val="auto"/>
        </w:rPr>
        <w:t>7</w:t>
      </w:r>
      <w:r>
        <w:rPr>
          <w:rFonts w:hint="eastAsia" w:ascii="华文仿宋" w:hAnsi="华文仿宋" w:cs="华文仿宋"/>
          <w:color w:val="auto"/>
        </w:rPr>
        <w:t>人以上单数：</w:t>
      </w:r>
    </w:p>
    <w:p w14:paraId="62393ECD">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）采购预算金额在</w:t>
      </w:r>
      <w:r>
        <w:rPr>
          <w:rFonts w:ascii="仿宋" w:hAnsi="仿宋" w:eastAsia="仿宋" w:cs="仿宋"/>
          <w:color w:val="auto"/>
        </w:rPr>
        <w:t>1000</w:t>
      </w:r>
      <w:r>
        <w:rPr>
          <w:rFonts w:hint="eastAsia" w:ascii="华文仿宋" w:hAnsi="华文仿宋" w:cs="华文仿宋"/>
          <w:color w:val="auto"/>
        </w:rPr>
        <w:t>万元以上；</w:t>
      </w:r>
    </w:p>
    <w:p w14:paraId="217200D1">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）技术复杂；</w:t>
      </w:r>
    </w:p>
    <w:p w14:paraId="2576F86E">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）社会影响较大。</w:t>
      </w:r>
    </w:p>
    <w:p w14:paraId="5F10EAAB">
      <w:pPr>
        <w:spacing w:line="500" w:lineRule="exact"/>
        <w:ind w:firstLine="566" w:firstLineChars="200"/>
        <w:rPr>
          <w:rFonts w:ascii="华文仿宋" w:cs="Times New Roman"/>
          <w:color w:val="auto"/>
        </w:rPr>
      </w:pPr>
      <w:r>
        <w:rPr>
          <w:rFonts w:hint="eastAsia" w:ascii="华文仿宋" w:hAnsi="华文仿宋" w:cs="华文仿宋"/>
          <w:color w:val="auto"/>
        </w:rPr>
        <w:t>评审专家对本单位的采购项目只能作为采购人代表参与评标。</w:t>
      </w:r>
      <w:r>
        <w:rPr>
          <w:rFonts w:hint="eastAsia" w:ascii="华文仿宋" w:hAnsi="华文仿宋" w:cs="华文仿宋"/>
          <w:color w:val="auto"/>
          <w:lang w:val="zh-CN"/>
        </w:rPr>
        <w:t>中心</w:t>
      </w:r>
      <w:r>
        <w:rPr>
          <w:rFonts w:hint="eastAsia" w:ascii="华文仿宋" w:hAnsi="华文仿宋" w:cs="华文仿宋"/>
          <w:color w:val="auto"/>
        </w:rPr>
        <w:t>工作人员不得参加由本机构代理的政府采购项目的评标。</w:t>
      </w:r>
    </w:p>
    <w:p w14:paraId="238C96A3">
      <w:pPr>
        <w:spacing w:line="500" w:lineRule="exact"/>
        <w:ind w:firstLine="566" w:firstLineChars="200"/>
        <w:rPr>
          <w:rFonts w:ascii="华文仿宋" w:cs="Times New Roman"/>
          <w:color w:val="auto"/>
        </w:rPr>
      </w:pPr>
      <w:r>
        <w:rPr>
          <w:rFonts w:hint="eastAsia" w:ascii="华文仿宋" w:hAnsi="华文仿宋" w:cs="华文仿宋"/>
          <w:color w:val="auto"/>
        </w:rPr>
        <w:t>评标委员会成员名单在评标结果公告前应当保密。</w:t>
      </w:r>
    </w:p>
    <w:p w14:paraId="0B3AACD5">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评标专家从政府采购评审专家库内相关专业的专家名单中随机抽取。对技术复杂、专业性强的采购项目，通过随机方式难以确定合适评审专家的，经主管预算单位同意，采购人可以自行选定相应专业领域的评审专家。自行选定评审专家的，应当优先选择本单位以外的评审专家。</w:t>
      </w:r>
    </w:p>
    <w:p w14:paraId="563EC0E1">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评标中因评标委员会成员缺席、回避或者健康等特殊原因导致评标委员会组成不符合规定的，</w:t>
      </w:r>
      <w:r>
        <w:rPr>
          <w:rFonts w:hint="eastAsia" w:ascii="华文仿宋" w:hAnsi="华文仿宋" w:cs="华文仿宋"/>
          <w:color w:val="auto"/>
          <w:lang w:eastAsia="zh-CN"/>
        </w:rPr>
        <w:t>中心</w:t>
      </w:r>
      <w:r>
        <w:rPr>
          <w:rFonts w:hint="eastAsia" w:ascii="华文仿宋" w:hAnsi="华文仿宋" w:cs="华文仿宋"/>
          <w:color w:val="auto"/>
        </w:rPr>
        <w:t>应当依法补足后继续评标</w:t>
      </w:r>
      <w:r>
        <w:rPr>
          <w:rFonts w:hint="eastAsia" w:ascii="华文仿宋" w:hAnsi="华文仿宋" w:cs="华文仿宋"/>
          <w:color w:val="auto"/>
          <w:lang w:eastAsia="zh-CN"/>
        </w:rPr>
        <w:t>，</w:t>
      </w:r>
      <w:r>
        <w:rPr>
          <w:rFonts w:hint="eastAsia" w:ascii="华文仿宋" w:hAnsi="华文仿宋" w:cs="华文仿宋"/>
          <w:color w:val="auto"/>
        </w:rPr>
        <w:t>被更换的评标委员会成员所作出的评标意见无效。无法及时补足评标委员会成员的，</w:t>
      </w:r>
      <w:r>
        <w:rPr>
          <w:rFonts w:hint="eastAsia" w:ascii="华文仿宋" w:hAnsi="华文仿宋" w:cs="华文仿宋"/>
          <w:color w:val="auto"/>
          <w:lang w:eastAsia="zh-CN"/>
        </w:rPr>
        <w:t>中心</w:t>
      </w:r>
      <w:r>
        <w:rPr>
          <w:rFonts w:hint="eastAsia" w:ascii="华文仿宋" w:hAnsi="华文仿宋" w:cs="华文仿宋"/>
          <w:color w:val="auto"/>
        </w:rPr>
        <w:t>应当停止评标活动，封存所有投标文件和开标、评标资料，依法重新组建评标委员会进行评标。原评标委员会所作出的评标意见无效。</w:t>
      </w:r>
    </w:p>
    <w:p w14:paraId="59A0E07F">
      <w:pPr>
        <w:spacing w:line="500" w:lineRule="exact"/>
        <w:ind w:firstLine="566" w:firstLineChars="200"/>
        <w:rPr>
          <w:rFonts w:ascii="华文仿宋" w:cs="Times New Roman"/>
          <w:color w:val="auto"/>
        </w:rPr>
      </w:pPr>
      <w:r>
        <w:rPr>
          <w:rFonts w:hint="eastAsia" w:ascii="华文仿宋" w:hAnsi="华文仿宋" w:cs="华文仿宋"/>
          <w:color w:val="auto"/>
          <w:lang w:eastAsia="zh-CN"/>
        </w:rPr>
        <w:t>中心</w:t>
      </w:r>
      <w:r>
        <w:rPr>
          <w:rFonts w:hint="eastAsia" w:ascii="华文仿宋" w:hAnsi="华文仿宋" w:cs="华文仿宋"/>
          <w:color w:val="auto"/>
        </w:rPr>
        <w:t>应当将变更、重新组建评标委员会的情况予以记录，并随招标文件一并存档。</w:t>
      </w:r>
    </w:p>
    <w:p w14:paraId="2070A24D">
      <w:pPr>
        <w:pStyle w:val="3"/>
        <w:spacing w:line="500" w:lineRule="exact"/>
        <w:ind w:firstLine="566" w:firstLineChars="200"/>
        <w:rPr>
          <w:rFonts w:ascii="华文仿宋" w:cs="Times New Roman"/>
          <w:color w:val="auto"/>
          <w:sz w:val="28"/>
          <w:szCs w:val="28"/>
        </w:rPr>
      </w:pPr>
      <w:bookmarkStart w:id="404" w:name="_Toc8922"/>
      <w:bookmarkEnd w:id="404"/>
      <w:bookmarkStart w:id="405" w:name="_Toc26164"/>
      <w:bookmarkEnd w:id="405"/>
      <w:bookmarkStart w:id="406" w:name="_Toc8363"/>
      <w:bookmarkEnd w:id="406"/>
      <w:bookmarkStart w:id="407" w:name="_Toc23311"/>
      <w:bookmarkEnd w:id="407"/>
      <w:bookmarkStart w:id="408" w:name="_Toc30089"/>
      <w:bookmarkEnd w:id="408"/>
      <w:bookmarkStart w:id="409" w:name="_Toc11990"/>
      <w:bookmarkEnd w:id="409"/>
      <w:bookmarkStart w:id="410" w:name="_Toc2684"/>
      <w:bookmarkEnd w:id="410"/>
      <w:bookmarkStart w:id="411" w:name="_Toc16172"/>
      <w:bookmarkEnd w:id="411"/>
      <w:bookmarkStart w:id="412" w:name="_Toc11222"/>
      <w:bookmarkEnd w:id="412"/>
      <w:r>
        <w:rPr>
          <w:rFonts w:hint="eastAsia" w:ascii="华文仿宋" w:hAnsi="华文仿宋" w:cs="华文仿宋"/>
          <w:color w:val="auto"/>
          <w:sz w:val="28"/>
          <w:szCs w:val="28"/>
        </w:rPr>
        <w:t>（四）评标方法：本次评审采用综合评分法</w:t>
      </w:r>
    </w:p>
    <w:p w14:paraId="51A5FBE9">
      <w:pPr>
        <w:spacing w:line="500" w:lineRule="exact"/>
        <w:ind w:firstLine="566" w:firstLineChars="200"/>
        <w:rPr>
          <w:rFonts w:ascii="华文仿宋" w:cs="Times New Roman"/>
          <w:color w:val="auto"/>
        </w:rPr>
      </w:pPr>
      <w:r>
        <w:rPr>
          <w:rFonts w:hint="eastAsia" w:ascii="华文仿宋" w:hAnsi="华文仿宋" w:cs="华文仿宋"/>
          <w:color w:val="auto"/>
        </w:rPr>
        <w:t>评标方法分为最低评标价法和综合评分法。</w:t>
      </w:r>
    </w:p>
    <w:p w14:paraId="0671C267">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最低评标价法，是指投标文件满足招标文件全部实质性要求，且投标报价最低的投标人为中标候选人的评标方法。</w:t>
      </w:r>
    </w:p>
    <w:p w14:paraId="76A93F11">
      <w:pPr>
        <w:spacing w:line="500" w:lineRule="exact"/>
        <w:ind w:firstLine="566" w:firstLineChars="200"/>
        <w:jc w:val="left"/>
        <w:rPr>
          <w:rFonts w:cs="Times New Roman"/>
          <w:b/>
          <w:bCs/>
          <w:color w:val="auto"/>
        </w:rPr>
      </w:pPr>
      <w:r>
        <w:rPr>
          <w:rFonts w:hint="eastAsia" w:cs="华文仿宋"/>
          <w:color w:val="auto"/>
        </w:rPr>
        <w:t>技术、服务等标准统一的货物服务项目，应当采用最低评标价法。</w:t>
      </w:r>
    </w:p>
    <w:p w14:paraId="197D0F5F">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采用最低评标价法评标时，除了算术修正和落实政府采购政策需进行的价格扣除外，不能对投标人的投标价格进行任何调整。</w:t>
      </w:r>
    </w:p>
    <w:p w14:paraId="67607F92">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综合评分法，是指投标文件满足招标文件全部实质性要求，且按照评审因素的量化指标评审得分最高的投标人为中标候选人的评标方法。</w:t>
      </w:r>
    </w:p>
    <w:p w14:paraId="5E9760E1">
      <w:pPr>
        <w:pStyle w:val="3"/>
        <w:spacing w:line="500" w:lineRule="exact"/>
        <w:ind w:firstLine="566" w:firstLineChars="200"/>
        <w:rPr>
          <w:rFonts w:ascii="华文仿宋" w:cs="Times New Roman"/>
          <w:color w:val="auto"/>
          <w:sz w:val="28"/>
          <w:szCs w:val="28"/>
        </w:rPr>
      </w:pPr>
      <w:bookmarkStart w:id="413" w:name="_Toc27750"/>
      <w:bookmarkEnd w:id="413"/>
      <w:bookmarkStart w:id="414" w:name="_Toc3594"/>
      <w:bookmarkEnd w:id="414"/>
      <w:bookmarkStart w:id="415" w:name="_Toc7039"/>
      <w:bookmarkEnd w:id="415"/>
      <w:bookmarkStart w:id="416" w:name="_Toc21371"/>
      <w:bookmarkEnd w:id="416"/>
      <w:bookmarkStart w:id="417" w:name="_Toc17893"/>
      <w:bookmarkEnd w:id="417"/>
      <w:bookmarkStart w:id="418" w:name="_Toc23094"/>
      <w:bookmarkEnd w:id="418"/>
      <w:bookmarkStart w:id="419" w:name="_Toc32053"/>
      <w:bookmarkEnd w:id="419"/>
      <w:bookmarkStart w:id="420" w:name="_Toc20016"/>
      <w:bookmarkEnd w:id="420"/>
      <w:bookmarkStart w:id="421" w:name="_Toc12899"/>
      <w:bookmarkEnd w:id="421"/>
      <w:r>
        <w:rPr>
          <w:rFonts w:hint="eastAsia" w:ascii="华文仿宋" w:hAnsi="华文仿宋" w:cs="华文仿宋"/>
          <w:color w:val="auto"/>
          <w:sz w:val="28"/>
          <w:szCs w:val="28"/>
        </w:rPr>
        <w:t>（五）评标程序</w:t>
      </w:r>
    </w:p>
    <w:p w14:paraId="4C493414">
      <w:pPr>
        <w:spacing w:line="500" w:lineRule="exact"/>
        <w:ind w:firstLine="566" w:firstLineChars="200"/>
        <w:rPr>
          <w:rFonts w:ascii="华文仿宋" w:cs="Times New Roman"/>
          <w:color w:val="auto"/>
        </w:rPr>
      </w:pPr>
      <w:r>
        <w:rPr>
          <w:rFonts w:hint="eastAsia" w:ascii="华文仿宋" w:hAnsi="华文仿宋" w:cs="华文仿宋"/>
          <w:color w:val="auto"/>
        </w:rPr>
        <w:t>分步评审，每一步评审不符合招标文件要求者，不得进入下一步评审，全部评审合格的投标人，进入最后的打分，最后按得分由高到低排序，推荐中标候选人。</w:t>
      </w:r>
    </w:p>
    <w:p w14:paraId="3D3FD8CA">
      <w:pPr>
        <w:spacing w:line="500" w:lineRule="exact"/>
        <w:ind w:firstLine="566" w:firstLineChars="200"/>
        <w:rPr>
          <w:rFonts w:ascii="华文仿宋" w:cs="Times New Roman"/>
          <w:b/>
          <w:bCs/>
          <w:color w:val="auto"/>
        </w:rPr>
      </w:pPr>
      <w:r>
        <w:rPr>
          <w:rFonts w:ascii="华文仿宋" w:hAnsi="华文仿宋" w:cs="华文仿宋"/>
          <w:b/>
          <w:bCs/>
          <w:color w:val="auto"/>
        </w:rPr>
        <w:t>1</w:t>
      </w:r>
      <w:r>
        <w:rPr>
          <w:rFonts w:hint="eastAsia" w:ascii="华文仿宋" w:hAnsi="华文仿宋" w:cs="华文仿宋"/>
          <w:b/>
          <w:bCs/>
          <w:color w:val="auto"/>
          <w:lang w:val="en-US" w:eastAsia="zh-CN"/>
        </w:rPr>
        <w:t>.</w:t>
      </w:r>
      <w:r>
        <w:rPr>
          <w:rFonts w:hint="eastAsia" w:ascii="华文仿宋" w:hAnsi="华文仿宋" w:cs="华文仿宋"/>
          <w:b/>
          <w:bCs/>
          <w:color w:val="auto"/>
        </w:rPr>
        <w:t>投标文件的符合性审查</w:t>
      </w:r>
    </w:p>
    <w:p w14:paraId="7D3432E4">
      <w:pPr>
        <w:spacing w:line="500" w:lineRule="exact"/>
        <w:ind w:firstLine="566" w:firstLineChars="200"/>
        <w:rPr>
          <w:rFonts w:ascii="华文仿宋" w:cs="Times New Roman"/>
          <w:color w:val="auto"/>
        </w:rPr>
      </w:pPr>
      <w:r>
        <w:rPr>
          <w:rFonts w:hint="eastAsia" w:ascii="华文仿宋" w:hAnsi="华文仿宋" w:cs="华文仿宋"/>
          <w:color w:val="auto"/>
        </w:rPr>
        <w:t>评标委员会依据招标文件的规定，对投标文件的有效性、完整性和对招标文件的响应程度进行审查，以确定是否对招标文件的全部实质性要求作出响应。</w:t>
      </w:r>
    </w:p>
    <w:p w14:paraId="4F889D2E">
      <w:pPr>
        <w:spacing w:line="500" w:lineRule="exact"/>
        <w:ind w:firstLine="566" w:firstLineChars="200"/>
        <w:rPr>
          <w:rFonts w:ascii="华文仿宋" w:cs="Times New Roman"/>
          <w:color w:val="auto"/>
        </w:rPr>
      </w:pPr>
      <w:r>
        <w:rPr>
          <w:rFonts w:hint="eastAsia" w:ascii="华文仿宋" w:hAnsi="华文仿宋" w:cs="华文仿宋"/>
          <w:color w:val="auto"/>
        </w:rPr>
        <w:t>评标委员会要审查每份投标文件是否实质上响应了招标文件的要求。实质上没有响应招标文件要求的投标作无效投标处理，评标委员会应告知有关投标人未通过审查的原因，投标人不得通过修正或撤销不符之处而使其成为实质上响应。</w:t>
      </w:r>
    </w:p>
    <w:p w14:paraId="4CE99400">
      <w:pPr>
        <w:spacing w:line="500" w:lineRule="exact"/>
        <w:ind w:firstLine="566" w:firstLineChars="200"/>
        <w:rPr>
          <w:rFonts w:ascii="华文仿宋" w:cs="Times New Roman"/>
          <w:b/>
          <w:bCs/>
          <w:color w:val="auto"/>
        </w:rPr>
      </w:pPr>
      <w:r>
        <w:rPr>
          <w:rFonts w:ascii="华文仿宋" w:hAnsi="华文仿宋" w:cs="华文仿宋"/>
          <w:b/>
          <w:bCs/>
          <w:color w:val="auto"/>
        </w:rPr>
        <w:t>2</w:t>
      </w:r>
      <w:r>
        <w:rPr>
          <w:rFonts w:hint="eastAsia" w:ascii="华文仿宋" w:hAnsi="华文仿宋" w:cs="华文仿宋"/>
          <w:b/>
          <w:bCs/>
          <w:color w:val="auto"/>
          <w:lang w:val="en-US" w:eastAsia="zh-CN"/>
        </w:rPr>
        <w:t>.</w:t>
      </w:r>
      <w:r>
        <w:rPr>
          <w:rFonts w:hint="eastAsia" w:ascii="华文仿宋" w:hAnsi="华文仿宋" w:cs="华文仿宋"/>
          <w:b/>
          <w:bCs/>
          <w:color w:val="auto"/>
        </w:rPr>
        <w:t>投标文件的澄清</w:t>
      </w:r>
    </w:p>
    <w:p w14:paraId="7E9B3DD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）评标委员会在对投标文件的有效性、完整性和响应程度进行审查时，可以要求投标人对投标文件中含义不明确、同类问题表述不一致或者有明显文字和计算错误的内容等做出必要的澄清、说明或者补正。</w:t>
      </w:r>
    </w:p>
    <w:p w14:paraId="2A827C27">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）依照《中华人民共和国民法典》的过失责任原则，澄清、说明或补正前评标委员会将按最不利于投标人的原则对投标文件做出评判。</w:t>
      </w:r>
    </w:p>
    <w:p w14:paraId="3A07D5CE">
      <w:pPr>
        <w:spacing w:line="500" w:lineRule="exact"/>
        <w:rPr>
          <w:rFonts w:ascii="华文仿宋" w:cs="Times New Roman"/>
          <w:color w:val="auto"/>
        </w:rPr>
      </w:pPr>
      <w:r>
        <w:rPr>
          <w:rFonts w:hint="eastAsia" w:ascii="华文仿宋" w:hAnsi="华文仿宋" w:cs="华文仿宋"/>
          <w:color w:val="auto"/>
        </w:rPr>
        <w:t xml:space="preserve">    （</w:t>
      </w:r>
      <w:r>
        <w:rPr>
          <w:rFonts w:ascii="华文仿宋" w:hAnsi="华文仿宋" w:cs="华文仿宋"/>
          <w:color w:val="auto"/>
        </w:rPr>
        <w:t>3</w:t>
      </w:r>
      <w:r>
        <w:rPr>
          <w:rFonts w:hint="eastAsia" w:ascii="华文仿宋" w:hAnsi="华文仿宋" w:cs="华文仿宋"/>
          <w:color w:val="auto"/>
        </w:rPr>
        <w:t>）评标委员会要求投标人澄清、说明或者补正投标文件应通过书面形式做出。投标人应当在规定的澄清时限内按评标委员会要求的方式，通过书面形式提交，投标人的澄清、说明或者补正应当由法定代表人或其授权代表签字或者加盖公章。</w:t>
      </w:r>
    </w:p>
    <w:p w14:paraId="6BF1A143">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）投标人的澄清、说明或者补正不得超出投标文件的范围或者改变投标文件的实质性内容。澄清、说明或者补正的内容将作为</w:t>
      </w:r>
      <w:r>
        <w:rPr>
          <w:rFonts w:hint="eastAsia" w:ascii="华文仿宋" w:hAnsi="华文仿宋" w:cs="华文仿宋"/>
          <w:color w:val="auto"/>
          <w:kern w:val="0"/>
        </w:rPr>
        <w:t>合同</w:t>
      </w:r>
      <w:r>
        <w:rPr>
          <w:rFonts w:hint="eastAsia" w:ascii="华文仿宋" w:hAnsi="华文仿宋" w:cs="华文仿宋"/>
          <w:color w:val="auto"/>
        </w:rPr>
        <w:t>履行的重要依据。</w:t>
      </w:r>
    </w:p>
    <w:p w14:paraId="36877FBC">
      <w:pPr>
        <w:spacing w:line="500" w:lineRule="exact"/>
        <w:ind w:firstLine="566" w:firstLineChars="200"/>
        <w:rPr>
          <w:rFonts w:ascii="华文仿宋" w:cs="Times New Roman"/>
          <w:b/>
          <w:bCs/>
          <w:color w:val="auto"/>
        </w:rPr>
      </w:pPr>
      <w:r>
        <w:rPr>
          <w:rFonts w:ascii="华文仿宋" w:hAnsi="华文仿宋" w:cs="华文仿宋"/>
          <w:b/>
          <w:bCs/>
          <w:color w:val="auto"/>
        </w:rPr>
        <w:t>3</w:t>
      </w:r>
      <w:r>
        <w:rPr>
          <w:rFonts w:hint="eastAsia" w:ascii="华文仿宋" w:hAnsi="华文仿宋" w:cs="华文仿宋"/>
          <w:b/>
          <w:bCs/>
          <w:color w:val="auto"/>
          <w:lang w:val="en-US" w:eastAsia="zh-CN"/>
        </w:rPr>
        <w:t>.</w:t>
      </w:r>
      <w:r>
        <w:rPr>
          <w:rFonts w:hint="eastAsia" w:ascii="华文仿宋" w:hAnsi="华文仿宋" w:cs="华文仿宋"/>
          <w:b/>
          <w:bCs/>
          <w:color w:val="auto"/>
        </w:rPr>
        <w:t>综合比较与评价</w:t>
      </w:r>
    </w:p>
    <w:p w14:paraId="2A0FDB75">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采用最低评标价法的，评标委员会对通过符合性审查的投标文件的投标报价由低到高顺序排列。</w:t>
      </w:r>
    </w:p>
    <w:p w14:paraId="24E6C035">
      <w:pPr>
        <w:spacing w:line="500" w:lineRule="exact"/>
        <w:ind w:firstLine="566" w:firstLineChars="200"/>
        <w:rPr>
          <w:rFonts w:ascii="华文仿宋" w:cs="Times New Roman"/>
          <w:color w:val="auto"/>
        </w:rPr>
      </w:pPr>
      <w:r>
        <w:rPr>
          <w:rFonts w:hint="eastAsia" w:ascii="华文仿宋" w:hAnsi="华文仿宋" w:cs="华文仿宋"/>
          <w:color w:val="auto"/>
        </w:rPr>
        <w:t>采用综合评分法的，评标委员会按“评审要素及分值一览表”中规定的评标标准，对通过符合性审查的投标文件进行商务和技术评估，综合比较与评价。</w:t>
      </w:r>
    </w:p>
    <w:p w14:paraId="37DF6ED2">
      <w:pPr>
        <w:spacing w:line="500" w:lineRule="exact"/>
        <w:ind w:firstLine="566" w:firstLineChars="200"/>
        <w:rPr>
          <w:rFonts w:ascii="华文仿宋" w:cs="Times New Roman"/>
          <w:b/>
          <w:bCs/>
          <w:color w:val="auto"/>
        </w:rPr>
      </w:pPr>
      <w:r>
        <w:rPr>
          <w:rFonts w:hint="eastAsia" w:ascii="华文仿宋" w:hAnsi="华文仿宋" w:cs="华文仿宋"/>
          <w:b/>
          <w:bCs/>
          <w:color w:val="auto"/>
        </w:rPr>
        <w:t>出现下列情形的，投标人投标无效：</w:t>
      </w:r>
    </w:p>
    <w:p w14:paraId="3EF09084">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）投标文件报价出现本章“五、投标报价”所列需要修正情形，但投标人对修正后的报价不予确认的；</w:t>
      </w:r>
    </w:p>
    <w:p w14:paraId="237CFD1E">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评标委员会认为投标人的报价明显低于其他通过符合性审查投标人的报价，有可能影响产品质量或者不能诚信履约的，要求投标人通过电子交易平台或电子邮件等书面形式做出说明（必要时提交相关证明材料），投标人不能证明其报价合理性的。</w:t>
      </w:r>
    </w:p>
    <w:p w14:paraId="46AFCC4D">
      <w:pPr>
        <w:spacing w:line="500" w:lineRule="exact"/>
        <w:ind w:firstLine="566" w:firstLineChars="200"/>
        <w:rPr>
          <w:rFonts w:ascii="华文仿宋" w:cs="Times New Roman"/>
          <w:b/>
          <w:bCs/>
          <w:color w:val="auto"/>
        </w:rPr>
      </w:pPr>
      <w:r>
        <w:rPr>
          <w:rFonts w:ascii="华文仿宋" w:hAnsi="华文仿宋" w:cs="华文仿宋"/>
          <w:b/>
          <w:bCs/>
          <w:color w:val="auto"/>
        </w:rPr>
        <w:t>4</w:t>
      </w:r>
      <w:r>
        <w:rPr>
          <w:rFonts w:hint="eastAsia" w:ascii="华文仿宋" w:hAnsi="华文仿宋" w:cs="华文仿宋"/>
          <w:b/>
          <w:bCs/>
          <w:color w:val="auto"/>
          <w:lang w:val="en-US" w:eastAsia="zh-CN"/>
        </w:rPr>
        <w:t>.</w:t>
      </w:r>
      <w:r>
        <w:rPr>
          <w:rFonts w:hint="eastAsia" w:ascii="华文仿宋" w:hAnsi="华文仿宋" w:cs="华文仿宋"/>
          <w:b/>
          <w:bCs/>
          <w:color w:val="auto"/>
        </w:rPr>
        <w:t>推荐中标候选人</w:t>
      </w:r>
    </w:p>
    <w:p w14:paraId="66E31F39">
      <w:pPr>
        <w:spacing w:line="500" w:lineRule="exact"/>
        <w:ind w:firstLine="566" w:firstLineChars="200"/>
        <w:rPr>
          <w:rFonts w:ascii="华文仿宋" w:cs="Times New Roman"/>
          <w:color w:val="auto"/>
        </w:rPr>
      </w:pPr>
      <w:r>
        <w:rPr>
          <w:rFonts w:hint="eastAsia" w:ascii="华文仿宋" w:hAnsi="华文仿宋" w:cs="华文仿宋"/>
          <w:color w:val="auto"/>
        </w:rPr>
        <w:t>采用最低评标价法的，评标结果按投标报价由低到高顺序排列。投标报价相同的，投标文件满足招标文件全部实质性要求且投标报价最低的投标人为排名第一的中标候选人。</w:t>
      </w:r>
    </w:p>
    <w:p w14:paraId="13C6A04E">
      <w:pPr>
        <w:spacing w:line="500" w:lineRule="exact"/>
        <w:ind w:firstLine="566" w:firstLineChars="200"/>
        <w:rPr>
          <w:rFonts w:ascii="华文仿宋" w:cs="Times New Roman"/>
          <w:color w:val="auto"/>
        </w:rPr>
      </w:pPr>
      <w:r>
        <w:rPr>
          <w:rFonts w:hint="eastAsia" w:ascii="华文仿宋" w:hAnsi="华文仿宋" w:cs="华文仿宋"/>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759CA4D">
      <w:pPr>
        <w:spacing w:line="500" w:lineRule="exact"/>
        <w:ind w:firstLine="566" w:firstLineChars="200"/>
        <w:rPr>
          <w:color w:val="auto"/>
        </w:rPr>
      </w:pPr>
      <w:r>
        <w:rPr>
          <w:rFonts w:hint="eastAsia" w:ascii="华文仿宋" w:hAnsi="华文仿宋" w:cs="华文仿宋"/>
          <w:b/>
          <w:bCs/>
          <w:color w:val="auto"/>
        </w:rPr>
        <w:t>5</w:t>
      </w:r>
      <w:r>
        <w:rPr>
          <w:rFonts w:hint="eastAsia" w:ascii="华文仿宋" w:hAnsi="华文仿宋" w:cs="华文仿宋"/>
          <w:b/>
          <w:bCs/>
          <w:color w:val="auto"/>
          <w:lang w:val="en-US" w:eastAsia="zh-CN"/>
        </w:rPr>
        <w:t>.</w:t>
      </w:r>
      <w:r>
        <w:rPr>
          <w:rFonts w:hint="eastAsia" w:ascii="华文仿宋" w:hAnsi="华文仿宋" w:cs="华文仿宋"/>
          <w:b/>
          <w:bCs/>
          <w:color w:val="auto"/>
        </w:rPr>
        <w:t>编写评标报告</w:t>
      </w:r>
    </w:p>
    <w:p w14:paraId="48174E00">
      <w:pPr>
        <w:autoSpaceDE w:val="0"/>
        <w:autoSpaceDN w:val="0"/>
        <w:adjustRightInd w:val="0"/>
        <w:spacing w:line="520" w:lineRule="exact"/>
        <w:ind w:firstLine="566" w:firstLineChars="200"/>
        <w:rPr>
          <w:rFonts w:ascii="华文仿宋" w:hAnsi="华文仿宋" w:cs="华文仿宋"/>
          <w:color w:val="auto"/>
        </w:rPr>
      </w:pPr>
      <w:r>
        <w:rPr>
          <w:rFonts w:hint="eastAsia" w:ascii="华文仿宋" w:hAnsi="华文仿宋" w:cs="华文仿宋"/>
          <w:color w:val="auto"/>
        </w:rPr>
        <w:t>评标委员会根据评标情况编制评标报告，评标委员会成员对需要共同认定的事项存在争议的，应当按照少数服从多数的原则做出结论。持不同意见的评标委员会成员应当在评标报告上签署不同意见及理由，否则视为同意评标报告。对拒绝说明理由的，须报政府采购监管部门处理，并将其评审情况如实计入考核表。</w:t>
      </w:r>
    </w:p>
    <w:p w14:paraId="436F6371">
      <w:pPr>
        <w:pStyle w:val="7"/>
        <w:spacing w:line="520" w:lineRule="exact"/>
        <w:ind w:firstLine="566" w:firstLineChars="200"/>
        <w:rPr>
          <w:color w:val="auto"/>
        </w:rPr>
      </w:pPr>
      <w:r>
        <w:rPr>
          <w:rFonts w:hint="eastAsia"/>
          <w:color w:val="auto"/>
        </w:rPr>
        <w:t>采购人书面授权评标委员会直接确定中标人的，评标委员会应在评标报告中明确中标人及中标金额。</w:t>
      </w:r>
    </w:p>
    <w:p w14:paraId="46E8D7EE">
      <w:pPr>
        <w:autoSpaceDE w:val="0"/>
        <w:autoSpaceDN w:val="0"/>
        <w:adjustRightInd w:val="0"/>
        <w:spacing w:line="500" w:lineRule="exact"/>
        <w:ind w:firstLine="566" w:firstLineChars="200"/>
        <w:rPr>
          <w:rFonts w:ascii="华文仿宋" w:cs="Times New Roman"/>
          <w:color w:val="auto"/>
        </w:rPr>
      </w:pPr>
      <w:r>
        <w:rPr>
          <w:rFonts w:hint="eastAsia" w:ascii="华文仿宋" w:hAnsi="华文仿宋" w:cs="华文仿宋"/>
          <w:color w:val="auto"/>
        </w:rPr>
        <w:t>评标结果汇总完成后，除下列情形外，任何人不得修改评标结果：</w:t>
      </w:r>
    </w:p>
    <w:p w14:paraId="18A9BA78">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1</w:t>
      </w:r>
      <w:r>
        <w:rPr>
          <w:rFonts w:hint="eastAsia" w:ascii="华文仿宋" w:hAnsi="华文仿宋" w:cs="华文仿宋"/>
          <w:color w:val="auto"/>
        </w:rPr>
        <w:t>）分值汇总计算错误的；</w:t>
      </w:r>
    </w:p>
    <w:p w14:paraId="769B3E70">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2</w:t>
      </w:r>
      <w:r>
        <w:rPr>
          <w:rFonts w:hint="eastAsia" w:ascii="华文仿宋" w:hAnsi="华文仿宋" w:cs="华文仿宋"/>
          <w:color w:val="auto"/>
        </w:rPr>
        <w:t>）分项评分超出评分标准范围的；</w:t>
      </w:r>
    </w:p>
    <w:p w14:paraId="2FC7986F">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3</w:t>
      </w:r>
      <w:r>
        <w:rPr>
          <w:rFonts w:hint="eastAsia" w:ascii="华文仿宋" w:hAnsi="华文仿宋" w:cs="华文仿宋"/>
          <w:color w:val="auto"/>
        </w:rPr>
        <w:t>）评标委员会成员对客观评审因素评分不一致的；</w:t>
      </w:r>
    </w:p>
    <w:p w14:paraId="3A0EBB90">
      <w:pPr>
        <w:spacing w:line="500" w:lineRule="exact"/>
        <w:ind w:firstLine="566" w:firstLineChars="200"/>
        <w:rPr>
          <w:rFonts w:ascii="华文仿宋" w:cs="Times New Roman"/>
          <w:color w:val="auto"/>
        </w:rPr>
      </w:pPr>
      <w:r>
        <w:rPr>
          <w:rFonts w:hint="eastAsia" w:ascii="华文仿宋" w:hAnsi="华文仿宋" w:cs="华文仿宋"/>
          <w:color w:val="auto"/>
        </w:rPr>
        <w:t>（</w:t>
      </w:r>
      <w:r>
        <w:rPr>
          <w:rFonts w:ascii="华文仿宋" w:hAnsi="华文仿宋" w:cs="华文仿宋"/>
          <w:color w:val="auto"/>
        </w:rPr>
        <w:t>4</w:t>
      </w:r>
      <w:r>
        <w:rPr>
          <w:rFonts w:hint="eastAsia" w:ascii="华文仿宋" w:hAnsi="华文仿宋" w:cs="华文仿宋"/>
          <w:color w:val="auto"/>
        </w:rPr>
        <w:t>）经评标委员会认定评分畸高、畸低的。</w:t>
      </w:r>
    </w:p>
    <w:p w14:paraId="3275EB40">
      <w:pPr>
        <w:autoSpaceDE w:val="0"/>
        <w:autoSpaceDN w:val="0"/>
        <w:adjustRightInd w:val="0"/>
        <w:spacing w:line="500" w:lineRule="exact"/>
        <w:ind w:firstLine="566" w:firstLineChars="200"/>
        <w:rPr>
          <w:rFonts w:ascii="华文仿宋" w:cs="Times New Roman"/>
          <w:color w:val="auto"/>
        </w:rPr>
      </w:pPr>
      <w:r>
        <w:rPr>
          <w:rFonts w:hint="eastAsia" w:ascii="华文仿宋" w:hAnsi="华文仿宋" w:cs="华文仿宋"/>
          <w:color w:val="auto"/>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54CCCF68">
      <w:pPr>
        <w:pStyle w:val="3"/>
        <w:spacing w:line="500" w:lineRule="exact"/>
        <w:ind w:firstLine="566" w:firstLineChars="200"/>
        <w:rPr>
          <w:rFonts w:ascii="华文仿宋" w:cs="Times New Roman"/>
          <w:color w:val="auto"/>
          <w:sz w:val="28"/>
          <w:szCs w:val="28"/>
        </w:rPr>
      </w:pPr>
      <w:bookmarkStart w:id="422" w:name="_Toc919"/>
      <w:bookmarkEnd w:id="422"/>
      <w:bookmarkStart w:id="423" w:name="_Toc3364"/>
      <w:bookmarkEnd w:id="423"/>
      <w:bookmarkStart w:id="424" w:name="_Toc9225"/>
      <w:bookmarkEnd w:id="424"/>
      <w:bookmarkStart w:id="425" w:name="_Toc27786"/>
      <w:bookmarkEnd w:id="425"/>
      <w:bookmarkStart w:id="426" w:name="_Toc13609"/>
      <w:bookmarkEnd w:id="426"/>
      <w:bookmarkStart w:id="427" w:name="_Toc31904"/>
      <w:bookmarkEnd w:id="427"/>
      <w:bookmarkStart w:id="428" w:name="_Toc3221"/>
      <w:bookmarkEnd w:id="428"/>
      <w:bookmarkStart w:id="429" w:name="_Toc2101"/>
      <w:bookmarkEnd w:id="429"/>
      <w:bookmarkStart w:id="430" w:name="_Toc2851"/>
      <w:bookmarkEnd w:id="430"/>
      <w:r>
        <w:rPr>
          <w:rFonts w:hint="eastAsia" w:ascii="华文仿宋" w:hAnsi="华文仿宋" w:cs="华文仿宋"/>
          <w:color w:val="auto"/>
          <w:sz w:val="28"/>
          <w:szCs w:val="28"/>
        </w:rPr>
        <w:t>（六）有下列情形之一的，视为投标人串通投标，其投标无效：</w:t>
      </w:r>
    </w:p>
    <w:p w14:paraId="51E62F15">
      <w:pPr>
        <w:spacing w:line="50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不同投标人的投标文件由同一单位或者个人编制；</w:t>
      </w:r>
    </w:p>
    <w:p w14:paraId="3F5F3065">
      <w:pPr>
        <w:spacing w:line="50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不同投标人的投标文件由同一台电脑编制；</w:t>
      </w:r>
    </w:p>
    <w:p w14:paraId="5AE3E43D">
      <w:pPr>
        <w:spacing w:line="50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不同投标人委托同一单位或者个人办理投标事宜；</w:t>
      </w:r>
    </w:p>
    <w:p w14:paraId="293D42C3">
      <w:pPr>
        <w:spacing w:line="500" w:lineRule="exact"/>
        <w:ind w:firstLine="566" w:firstLineChars="200"/>
        <w:rPr>
          <w:rFonts w:ascii="华文仿宋" w:cs="Times New Roman"/>
          <w:color w:val="auto"/>
        </w:rPr>
      </w:pPr>
      <w:r>
        <w:rPr>
          <w:rFonts w:ascii="华文仿宋" w:hAnsi="华文仿宋" w:cs="华文仿宋"/>
          <w:color w:val="auto"/>
        </w:rPr>
        <w:t>4</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不同投标人的投标文件载明的项目管理成员或者联系人员为同一人；</w:t>
      </w:r>
    </w:p>
    <w:p w14:paraId="2647E6AE">
      <w:pPr>
        <w:spacing w:line="500" w:lineRule="exact"/>
        <w:ind w:firstLine="566" w:firstLineChars="200"/>
        <w:rPr>
          <w:rFonts w:ascii="华文仿宋" w:cs="Times New Roman"/>
          <w:color w:val="auto"/>
        </w:rPr>
      </w:pPr>
      <w:r>
        <w:rPr>
          <w:rFonts w:ascii="华文仿宋" w:hAnsi="华文仿宋" w:cs="华文仿宋"/>
          <w:color w:val="auto"/>
        </w:rPr>
        <w:t>5</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不同投标人的投标文件异常一致或者投标报价呈规律性差异；</w:t>
      </w:r>
    </w:p>
    <w:p w14:paraId="6DD86EF8">
      <w:pPr>
        <w:spacing w:line="500" w:lineRule="exact"/>
        <w:ind w:firstLine="566" w:firstLineChars="200"/>
        <w:rPr>
          <w:rFonts w:ascii="华文仿宋" w:cs="Times New Roman"/>
          <w:color w:val="auto"/>
        </w:rPr>
      </w:pPr>
      <w:r>
        <w:rPr>
          <w:rFonts w:ascii="华文仿宋" w:hAnsi="华文仿宋" w:cs="华文仿宋"/>
          <w:color w:val="auto"/>
        </w:rPr>
        <w:t>6</w:t>
      </w:r>
      <w:r>
        <w:rPr>
          <w:rFonts w:hint="eastAsia" w:ascii="华文仿宋" w:hAnsi="华文仿宋" w:cs="华文仿宋"/>
          <w:color w:val="auto"/>
          <w:lang w:val="en-US" w:eastAsia="zh-CN"/>
        </w:rPr>
        <w:t>.</w:t>
      </w:r>
      <w:r>
        <w:rPr>
          <w:rFonts w:hint="eastAsia" w:ascii="华文仿宋" w:hAnsi="华文仿宋" w:cs="华文仿宋"/>
          <w:color w:val="auto"/>
        </w:rPr>
        <w:t>不同投标人的投标文件相互混装；</w:t>
      </w:r>
    </w:p>
    <w:p w14:paraId="5F0C56CF">
      <w:pPr>
        <w:spacing w:line="500" w:lineRule="exact"/>
        <w:ind w:firstLine="566" w:firstLineChars="200"/>
        <w:rPr>
          <w:rFonts w:ascii="华文仿宋" w:cs="Times New Roman"/>
          <w:color w:val="auto"/>
        </w:rPr>
      </w:pPr>
      <w:r>
        <w:rPr>
          <w:rFonts w:ascii="华文仿宋" w:hAnsi="华文仿宋" w:cs="华文仿宋"/>
          <w:color w:val="auto"/>
        </w:rPr>
        <w:t>7</w:t>
      </w:r>
      <w:r>
        <w:rPr>
          <w:rFonts w:hint="eastAsia" w:ascii="华文仿宋" w:hAnsi="华文仿宋" w:cs="华文仿宋"/>
          <w:color w:val="auto"/>
          <w:lang w:val="en-US" w:eastAsia="zh-CN"/>
        </w:rPr>
        <w:t>.</w:t>
      </w:r>
      <w:r>
        <w:rPr>
          <w:rFonts w:hint="eastAsia" w:ascii="华文仿宋" w:hAnsi="华文仿宋" w:cs="华文仿宋"/>
          <w:color w:val="auto"/>
        </w:rPr>
        <w:t>政府采购法律法规及</w:t>
      </w:r>
      <w:r>
        <w:rPr>
          <w:rFonts w:hint="eastAsia" w:ascii="华文仿宋" w:hAnsi="华文仿宋" w:cs="华文仿宋"/>
          <w:color w:val="auto"/>
          <w:lang w:eastAsia="zh-CN"/>
        </w:rPr>
        <w:t>招标</w:t>
      </w:r>
      <w:r>
        <w:rPr>
          <w:rFonts w:hint="eastAsia" w:ascii="华文仿宋" w:hAnsi="华文仿宋" w:cs="华文仿宋"/>
          <w:color w:val="auto"/>
        </w:rPr>
        <w:t>文件规定的其他情形。</w:t>
      </w:r>
    </w:p>
    <w:p w14:paraId="20C00C99">
      <w:pPr>
        <w:pStyle w:val="3"/>
        <w:spacing w:line="500" w:lineRule="exact"/>
        <w:ind w:firstLine="566" w:firstLineChars="200"/>
        <w:rPr>
          <w:rFonts w:ascii="华文仿宋" w:cs="Times New Roman"/>
          <w:color w:val="auto"/>
          <w:sz w:val="28"/>
          <w:szCs w:val="28"/>
        </w:rPr>
      </w:pPr>
      <w:bookmarkStart w:id="431" w:name="_Toc16256"/>
      <w:bookmarkEnd w:id="431"/>
      <w:bookmarkStart w:id="432" w:name="_Toc8271"/>
      <w:bookmarkEnd w:id="432"/>
      <w:bookmarkStart w:id="433" w:name="_Toc13427"/>
      <w:bookmarkEnd w:id="433"/>
      <w:bookmarkStart w:id="434" w:name="_Toc7003"/>
      <w:bookmarkEnd w:id="434"/>
      <w:bookmarkStart w:id="435" w:name="_Toc7890"/>
      <w:bookmarkEnd w:id="435"/>
      <w:r>
        <w:rPr>
          <w:rFonts w:hint="eastAsia" w:ascii="华文仿宋" w:hAnsi="华文仿宋" w:cs="华文仿宋"/>
          <w:color w:val="auto"/>
          <w:sz w:val="28"/>
          <w:szCs w:val="28"/>
        </w:rPr>
        <w:t>九、中标</w:t>
      </w:r>
    </w:p>
    <w:p w14:paraId="228083C9">
      <w:pPr>
        <w:spacing w:line="500" w:lineRule="exact"/>
        <w:ind w:firstLine="566" w:firstLineChars="200"/>
        <w:rPr>
          <w:rFonts w:ascii="华文仿宋" w:cs="Times New Roman"/>
          <w:color w:val="auto"/>
        </w:rPr>
      </w:pPr>
      <w:r>
        <w:rPr>
          <w:rFonts w:hint="eastAsia" w:ascii="华文仿宋" w:hAnsi="华文仿宋" w:cs="华文仿宋"/>
          <w:color w:val="auto"/>
        </w:rPr>
        <w:t>（一）</w:t>
      </w:r>
      <w:r>
        <w:rPr>
          <w:rFonts w:hint="eastAsia" w:ascii="华文仿宋" w:hAnsi="华文仿宋" w:cs="华文仿宋"/>
          <w:color w:val="auto"/>
          <w:lang w:eastAsia="zh-CN"/>
        </w:rPr>
        <w:t>中心</w:t>
      </w:r>
      <w:r>
        <w:rPr>
          <w:rFonts w:hint="eastAsia" w:ascii="华文仿宋" w:hAnsi="华文仿宋" w:cs="华文仿宋"/>
          <w:color w:val="auto"/>
        </w:rPr>
        <w:t>在评标工作结束后</w:t>
      </w:r>
      <w:r>
        <w:rPr>
          <w:rFonts w:ascii="仿宋" w:hAnsi="仿宋" w:eastAsia="仿宋" w:cs="仿宋"/>
          <w:color w:val="auto"/>
        </w:rPr>
        <w:t>2</w:t>
      </w:r>
      <w:r>
        <w:rPr>
          <w:rFonts w:hint="eastAsia" w:ascii="华文仿宋" w:hAnsi="华文仿宋" w:cs="华文仿宋"/>
          <w:color w:val="auto"/>
        </w:rPr>
        <w:t>个工作日内将评标报告送采购人。</w:t>
      </w:r>
    </w:p>
    <w:p w14:paraId="55F34AF0">
      <w:pPr>
        <w:spacing w:line="500" w:lineRule="exact"/>
        <w:ind w:firstLine="566" w:firstLineChars="200"/>
        <w:rPr>
          <w:rFonts w:ascii="仿宋" w:hAnsi="仿宋" w:eastAsia="仿宋" w:cs="仿宋"/>
          <w:color w:val="auto"/>
        </w:rPr>
      </w:pPr>
      <w:r>
        <w:rPr>
          <w:rFonts w:hint="eastAsia" w:ascii="华文仿宋" w:hAnsi="华文仿宋" w:cs="华文仿宋"/>
          <w:color w:val="auto"/>
        </w:rPr>
        <w:t>（二）</w:t>
      </w:r>
      <w:r>
        <w:rPr>
          <w:rFonts w:hint="eastAsia" w:ascii="仿宋" w:hAnsi="仿宋" w:eastAsia="仿宋" w:cs="仿宋"/>
          <w:color w:val="auto"/>
        </w:rPr>
        <w:t>本项目采用第</w:t>
      </w:r>
      <w:r>
        <w:rPr>
          <w:rFonts w:hint="eastAsia" w:ascii="仿宋" w:hAnsi="仿宋" w:eastAsia="仿宋" w:cs="仿宋"/>
          <w:b/>
          <w:bCs/>
          <w:color w:val="auto"/>
          <w:u w:val="single"/>
          <w:lang w:val="en-US" w:eastAsia="zh-CN"/>
        </w:rPr>
        <w:t>1</w:t>
      </w:r>
      <w:r>
        <w:rPr>
          <w:rFonts w:hint="eastAsia" w:ascii="仿宋" w:hAnsi="仿宋" w:eastAsia="仿宋" w:cs="仿宋"/>
          <w:b/>
          <w:bCs/>
          <w:color w:val="auto"/>
          <w:u w:val="single"/>
        </w:rPr>
        <w:t xml:space="preserve"> </w:t>
      </w:r>
      <w:r>
        <w:rPr>
          <w:rFonts w:hint="eastAsia" w:ascii="仿宋" w:hAnsi="仿宋" w:eastAsia="仿宋" w:cs="仿宋"/>
          <w:color w:val="auto"/>
        </w:rPr>
        <w:t>种方式确定中标人。</w:t>
      </w:r>
    </w:p>
    <w:p w14:paraId="787C1AEF">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1.采购人授权</w:t>
      </w:r>
      <w:r>
        <w:rPr>
          <w:rFonts w:hint="eastAsia" w:ascii="华文仿宋" w:hAnsi="华文仿宋" w:cs="华文仿宋"/>
          <w:color w:val="auto"/>
        </w:rPr>
        <w:t>评标委员会</w:t>
      </w:r>
      <w:r>
        <w:rPr>
          <w:rFonts w:hint="eastAsia" w:ascii="仿宋" w:hAnsi="仿宋" w:eastAsia="仿宋" w:cs="仿宋"/>
          <w:color w:val="auto"/>
        </w:rPr>
        <w:t>直接确定</w:t>
      </w:r>
      <w:r>
        <w:rPr>
          <w:rFonts w:hint="eastAsia" w:ascii="仿宋" w:hAnsi="仿宋" w:eastAsia="仿宋" w:cs="仿宋"/>
          <w:color w:val="auto"/>
          <w:lang w:val="en-US" w:eastAsia="zh-CN"/>
        </w:rPr>
        <w:t>中标人</w:t>
      </w:r>
      <w:r>
        <w:rPr>
          <w:rFonts w:hint="eastAsia" w:ascii="仿宋" w:hAnsi="仿宋" w:eastAsia="仿宋" w:cs="仿宋"/>
          <w:color w:val="auto"/>
        </w:rPr>
        <w:t>。</w:t>
      </w:r>
    </w:p>
    <w:p w14:paraId="7445CCCC">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采购人在评审前提供《委托评审小组定标授权书》，评标委员会将根据采购人授权直接确定</w:t>
      </w:r>
      <w:r>
        <w:rPr>
          <w:rFonts w:hint="eastAsia" w:ascii="仿宋" w:hAnsi="仿宋" w:eastAsia="仿宋" w:cs="仿宋"/>
          <w:color w:val="auto"/>
          <w:lang w:val="en-US" w:eastAsia="zh-CN"/>
        </w:rPr>
        <w:t>中标人</w:t>
      </w:r>
      <w:r>
        <w:rPr>
          <w:rFonts w:hint="eastAsia" w:ascii="仿宋" w:hAnsi="仿宋" w:eastAsia="仿宋" w:cs="仿宋"/>
          <w:color w:val="auto"/>
        </w:rPr>
        <w:t>。</w:t>
      </w:r>
    </w:p>
    <w:p w14:paraId="222B9426">
      <w:pPr>
        <w:spacing w:line="500" w:lineRule="exact"/>
        <w:ind w:firstLine="566" w:firstLineChars="200"/>
        <w:rPr>
          <w:rFonts w:hint="eastAsia" w:ascii="仿宋" w:hAnsi="仿宋" w:eastAsia="仿宋" w:cs="仿宋"/>
          <w:color w:val="auto"/>
        </w:rPr>
      </w:pPr>
      <w:r>
        <w:rPr>
          <w:rFonts w:hint="eastAsia" w:ascii="仿宋" w:hAnsi="仿宋" w:eastAsia="仿宋" w:cs="仿宋"/>
          <w:color w:val="auto"/>
        </w:rPr>
        <w:t>2.采购人根据</w:t>
      </w:r>
      <w:r>
        <w:rPr>
          <w:rFonts w:hint="eastAsia" w:ascii="华文仿宋" w:hAnsi="华文仿宋" w:cs="华文仿宋"/>
          <w:color w:val="auto"/>
        </w:rPr>
        <w:t>评标委员会</w:t>
      </w:r>
      <w:r>
        <w:rPr>
          <w:rFonts w:hint="eastAsia" w:ascii="仿宋" w:hAnsi="仿宋" w:eastAsia="仿宋" w:cs="仿宋"/>
          <w:color w:val="auto"/>
        </w:rPr>
        <w:t>评审结果确认。</w:t>
      </w:r>
    </w:p>
    <w:p w14:paraId="5B637992">
      <w:pPr>
        <w:spacing w:line="500" w:lineRule="exact"/>
        <w:ind w:firstLine="566" w:firstLineChars="200"/>
        <w:rPr>
          <w:rFonts w:ascii="仿宋" w:hAnsi="仿宋" w:eastAsia="仿宋" w:cs="仿宋"/>
          <w:color w:val="auto"/>
        </w:rPr>
      </w:pPr>
      <w:r>
        <w:rPr>
          <w:rFonts w:hint="eastAsia" w:ascii="仿宋" w:hAnsi="仿宋" w:eastAsia="仿宋" w:cs="仿宋"/>
          <w:color w:val="auto"/>
        </w:rPr>
        <w:t>采购人在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w:t>
      </w:r>
      <w:r>
        <w:rPr>
          <w:rFonts w:hint="eastAsia" w:ascii="华文仿宋" w:hAnsi="华文仿宋" w:cs="华文仿宋"/>
          <w:color w:val="auto"/>
        </w:rPr>
        <w:t>排名第一的中标候选人为中标人。</w:t>
      </w:r>
    </w:p>
    <w:p w14:paraId="15F4D39F">
      <w:pPr>
        <w:spacing w:line="500" w:lineRule="exact"/>
        <w:ind w:firstLine="566" w:firstLineChars="200"/>
        <w:rPr>
          <w:rFonts w:ascii="仿宋" w:hAnsi="仿宋" w:eastAsia="仿宋" w:cs="仿宋"/>
          <w:color w:val="auto"/>
        </w:rPr>
      </w:pPr>
      <w:r>
        <w:rPr>
          <w:rFonts w:hint="eastAsia" w:ascii="仿宋" w:hAnsi="仿宋" w:eastAsia="仿宋" w:cs="仿宋"/>
          <w:color w:val="auto"/>
        </w:rPr>
        <w:t>注：按照《</w:t>
      </w:r>
      <w:r>
        <w:rPr>
          <w:rFonts w:hint="eastAsia" w:ascii="仿宋" w:hAnsi="仿宋" w:eastAsia="仿宋" w:cs="仿宋"/>
          <w:color w:val="auto"/>
          <w:lang w:eastAsia="zh-CN"/>
        </w:rPr>
        <w:t>中心</w:t>
      </w:r>
      <w:r>
        <w:rPr>
          <w:rFonts w:hint="eastAsia" w:ascii="仿宋" w:hAnsi="仿宋" w:eastAsia="仿宋" w:cs="仿宋"/>
          <w:color w:val="auto"/>
        </w:rPr>
        <w:t>采购项目委托代理协议书》中约定执行。</w:t>
      </w:r>
    </w:p>
    <w:p w14:paraId="6412FDCE">
      <w:pPr>
        <w:spacing w:line="500" w:lineRule="exact"/>
        <w:ind w:firstLine="566" w:firstLineChars="200"/>
        <w:rPr>
          <w:rFonts w:ascii="华文仿宋" w:cs="Times New Roman"/>
          <w:color w:val="auto"/>
        </w:rPr>
      </w:pPr>
      <w:r>
        <w:rPr>
          <w:rFonts w:hint="eastAsia" w:ascii="华文仿宋" w:hAnsi="华文仿宋" w:cs="华文仿宋"/>
          <w:color w:val="auto"/>
        </w:rPr>
        <w:t>（三）</w:t>
      </w:r>
      <w:r>
        <w:rPr>
          <w:rFonts w:hint="eastAsia" w:ascii="华文仿宋" w:hAnsi="华文仿宋" w:cs="华文仿宋"/>
          <w:color w:val="auto"/>
          <w:lang w:eastAsia="zh-CN"/>
        </w:rPr>
        <w:t>中心</w:t>
      </w:r>
      <w:r>
        <w:rPr>
          <w:rFonts w:hint="eastAsia" w:ascii="华文仿宋" w:hAnsi="华文仿宋" w:cs="华文仿宋"/>
          <w:color w:val="auto"/>
        </w:rPr>
        <w:t>将在中标人确定之日起</w:t>
      </w:r>
      <w:r>
        <w:rPr>
          <w:rFonts w:ascii="仿宋" w:hAnsi="仿宋" w:eastAsia="仿宋" w:cs="仿宋"/>
          <w:color w:val="auto"/>
        </w:rPr>
        <w:t>2</w:t>
      </w:r>
      <w:r>
        <w:rPr>
          <w:rFonts w:hint="eastAsia" w:ascii="华文仿宋" w:hAnsi="华文仿宋" w:cs="华文仿宋"/>
          <w:color w:val="auto"/>
        </w:rPr>
        <w:t>个工作日内，在【</w:t>
      </w:r>
      <w:r>
        <w:rPr>
          <w:color w:val="auto"/>
        </w:rPr>
        <w:fldChar w:fldCharType="begin"/>
      </w:r>
      <w:r>
        <w:rPr>
          <w:color w:val="auto"/>
        </w:rPr>
        <w:instrText xml:space="preserve"> HYPERLINK "http://www.ccgp-shaanxi.gov.cn" </w:instrText>
      </w:r>
      <w:r>
        <w:rPr>
          <w:color w:val="auto"/>
        </w:rPr>
        <w:fldChar w:fldCharType="separate"/>
      </w:r>
      <w:r>
        <w:rPr>
          <w:rStyle w:val="40"/>
          <w:rFonts w:hint="eastAsia" w:ascii="华文仿宋" w:hAnsi="华文仿宋" w:cs="华文仿宋"/>
          <w:color w:val="auto"/>
          <w:sz w:val="28"/>
          <w:szCs w:val="28"/>
        </w:rPr>
        <w:t>陕西省政府采购网</w:t>
      </w:r>
      <w:r>
        <w:rPr>
          <w:rStyle w:val="40"/>
          <w:rFonts w:hint="eastAsia" w:ascii="华文仿宋" w:hAnsi="华文仿宋" w:cs="华文仿宋"/>
          <w:color w:val="auto"/>
          <w:sz w:val="28"/>
          <w:szCs w:val="28"/>
        </w:rPr>
        <w:fldChar w:fldCharType="end"/>
      </w:r>
      <w:r>
        <w:rPr>
          <w:rFonts w:hint="eastAsia" w:ascii="华文仿宋" w:hAnsi="华文仿宋" w:cs="华文仿宋"/>
          <w:color w:val="auto"/>
        </w:rPr>
        <w:t>（</w:t>
      </w:r>
      <w:r>
        <w:rPr>
          <w:rFonts w:ascii="仿宋" w:hAnsi="仿宋" w:eastAsia="仿宋" w:cs="仿宋"/>
          <w:color w:val="auto"/>
        </w:rPr>
        <w:t>www.ccgp-shaanxi.gov.cn</w:t>
      </w:r>
      <w:r>
        <w:rPr>
          <w:rFonts w:hint="eastAsia" w:ascii="华文仿宋" w:hAnsi="华文仿宋" w:cs="华文仿宋"/>
          <w:color w:val="auto"/>
        </w:rPr>
        <w:t>）</w:t>
      </w:r>
      <w:r>
        <w:rPr>
          <w:rStyle w:val="40"/>
          <w:rFonts w:hint="eastAsia" w:ascii="华文仿宋" w:hAnsi="华文仿宋" w:cs="华文仿宋"/>
          <w:color w:val="auto"/>
          <w:sz w:val="28"/>
          <w:szCs w:val="28"/>
        </w:rPr>
        <w:t>】、</w:t>
      </w:r>
      <w:r>
        <w:rPr>
          <w:rFonts w:hint="eastAsia" w:ascii="华文仿宋" w:hAnsi="华文仿宋" w:cs="华文仿宋"/>
          <w:color w:val="auto"/>
        </w:rPr>
        <w:t>【全国公共资源交易平台（陕西省·延安市）  （http://ya.sxggzyjy.cn/</w:t>
      </w:r>
      <w:r>
        <w:rPr>
          <w:rFonts w:hint="eastAsia" w:ascii="华文仿宋" w:hAnsi="华文仿宋" w:cs="华文仿宋"/>
          <w:color w:val="auto"/>
          <w:lang w:val="en-US" w:eastAsia="zh-CN"/>
        </w:rPr>
        <w:t xml:space="preserve"> </w:t>
      </w:r>
      <w:r>
        <w:rPr>
          <w:rFonts w:hint="eastAsia" w:ascii="华文仿宋" w:hAnsi="华文仿宋" w:cs="华文仿宋"/>
          <w:color w:val="auto"/>
        </w:rPr>
        <w:t>）</w:t>
      </w:r>
      <w:r>
        <w:rPr>
          <w:rStyle w:val="40"/>
          <w:rFonts w:hint="eastAsia" w:ascii="华文仿宋" w:hAnsi="华文仿宋" w:cs="华文仿宋"/>
          <w:color w:val="auto"/>
          <w:sz w:val="28"/>
          <w:szCs w:val="28"/>
        </w:rPr>
        <w:t>】</w:t>
      </w:r>
      <w:r>
        <w:rPr>
          <w:rFonts w:hint="eastAsia" w:ascii="华文仿宋" w:hAnsi="华文仿宋" w:cs="华文仿宋"/>
          <w:color w:val="auto"/>
        </w:rPr>
        <w:t>上公告中标结果。</w:t>
      </w:r>
    </w:p>
    <w:p w14:paraId="1549C64B">
      <w:pPr>
        <w:spacing w:line="500" w:lineRule="exact"/>
        <w:ind w:firstLine="566" w:firstLineChars="200"/>
        <w:rPr>
          <w:rFonts w:ascii="华文仿宋" w:cs="Times New Roman"/>
          <w:color w:val="auto"/>
        </w:rPr>
      </w:pPr>
      <w:r>
        <w:rPr>
          <w:rFonts w:hint="eastAsia" w:ascii="华文仿宋" w:hAnsi="华文仿宋" w:cs="华文仿宋"/>
          <w:color w:val="auto"/>
        </w:rPr>
        <w:t>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14:paraId="6CEEBC48">
      <w:pPr>
        <w:spacing w:line="500" w:lineRule="exact"/>
        <w:ind w:firstLine="566" w:firstLineChars="200"/>
        <w:rPr>
          <w:rFonts w:ascii="华文仿宋" w:cs="Times New Roman"/>
          <w:color w:val="auto"/>
        </w:rPr>
      </w:pPr>
      <w:r>
        <w:rPr>
          <w:rFonts w:hint="eastAsia" w:ascii="华文仿宋" w:hAnsi="华文仿宋" w:cs="华文仿宋"/>
          <w:color w:val="auto"/>
        </w:rPr>
        <w:t>中标公告期限为</w:t>
      </w:r>
      <w:r>
        <w:rPr>
          <w:rFonts w:ascii="仿宋" w:hAnsi="仿宋" w:eastAsia="仿宋" w:cs="仿宋"/>
          <w:color w:val="auto"/>
        </w:rPr>
        <w:t>1</w:t>
      </w:r>
      <w:r>
        <w:rPr>
          <w:rFonts w:hint="eastAsia" w:ascii="华文仿宋" w:hAnsi="华文仿宋" w:cs="华文仿宋"/>
          <w:color w:val="auto"/>
        </w:rPr>
        <w:t>个工作日。</w:t>
      </w:r>
    </w:p>
    <w:p w14:paraId="5DE5A50C">
      <w:pPr>
        <w:wordWrap w:val="0"/>
        <w:spacing w:line="500" w:lineRule="exact"/>
        <w:ind w:firstLine="566" w:firstLineChars="200"/>
        <w:rPr>
          <w:rFonts w:ascii="华文仿宋" w:cs="Times New Roman"/>
          <w:color w:val="auto"/>
        </w:rPr>
      </w:pPr>
      <w:r>
        <w:rPr>
          <w:rFonts w:hint="eastAsia" w:ascii="华文仿宋" w:hAnsi="华文仿宋" w:cs="华文仿宋"/>
          <w:color w:val="auto"/>
        </w:rPr>
        <w:t>（四）在公告中标结果的同时，</w:t>
      </w:r>
      <w:r>
        <w:rPr>
          <w:rFonts w:hint="eastAsia" w:ascii="华文仿宋" w:hAnsi="华文仿宋" w:cs="华文仿宋"/>
          <w:color w:val="auto"/>
          <w:lang w:eastAsia="zh-CN"/>
        </w:rPr>
        <w:t>中心</w:t>
      </w:r>
      <w:r>
        <w:rPr>
          <w:rFonts w:hint="eastAsia" w:ascii="华文仿宋" w:hAnsi="华文仿宋" w:cs="华文仿宋"/>
          <w:color w:val="auto"/>
        </w:rPr>
        <w:t>向中标人发出中标通知书；采用综合评分法评审的，</w:t>
      </w:r>
      <w:r>
        <w:rPr>
          <w:rFonts w:hint="eastAsia" w:ascii="华文仿宋" w:hAnsi="华文仿宋" w:cs="华文仿宋"/>
          <w:color w:val="auto"/>
          <w:lang w:eastAsia="zh-CN"/>
        </w:rPr>
        <w:t>中心</w:t>
      </w:r>
      <w:r>
        <w:rPr>
          <w:rFonts w:hint="eastAsia" w:ascii="华文仿宋" w:hAnsi="华文仿宋" w:cs="华文仿宋"/>
          <w:color w:val="auto"/>
        </w:rPr>
        <w:t>将通过全国公共资源交易平台（陕西省·延安市）告知未中标人本人的评审最终得分与排序。</w:t>
      </w:r>
    </w:p>
    <w:p w14:paraId="0606A7A1">
      <w:pPr>
        <w:spacing w:line="500" w:lineRule="exact"/>
        <w:ind w:firstLine="566" w:firstLineChars="200"/>
        <w:rPr>
          <w:rFonts w:ascii="华文仿宋" w:cs="Times New Roman"/>
          <w:color w:val="auto"/>
        </w:rPr>
      </w:pPr>
      <w:r>
        <w:rPr>
          <w:rFonts w:hint="eastAsia" w:ascii="华文仿宋" w:hAnsi="华文仿宋" w:cs="华文仿宋"/>
          <w:color w:val="auto"/>
        </w:rPr>
        <w:t>（五）中标通知书发出后，采购人不得违法改变中标结果，中标人无正当理由不得放弃中标。</w:t>
      </w:r>
    </w:p>
    <w:p w14:paraId="2A3BCE88">
      <w:pPr>
        <w:pStyle w:val="3"/>
        <w:spacing w:line="500" w:lineRule="exact"/>
        <w:ind w:firstLine="566" w:firstLineChars="200"/>
        <w:rPr>
          <w:rFonts w:ascii="华文仿宋" w:cs="Times New Roman"/>
          <w:color w:val="auto"/>
          <w:sz w:val="28"/>
          <w:szCs w:val="28"/>
        </w:rPr>
      </w:pPr>
      <w:bookmarkStart w:id="436" w:name="_Toc19161"/>
      <w:bookmarkEnd w:id="436"/>
      <w:bookmarkStart w:id="437" w:name="_Toc13737"/>
      <w:bookmarkEnd w:id="437"/>
      <w:bookmarkStart w:id="438" w:name="_Toc16777"/>
      <w:bookmarkEnd w:id="438"/>
      <w:bookmarkStart w:id="439" w:name="_Toc10156"/>
      <w:bookmarkEnd w:id="439"/>
      <w:bookmarkStart w:id="440" w:name="_Toc27915"/>
      <w:bookmarkEnd w:id="440"/>
      <w:r>
        <w:rPr>
          <w:rFonts w:hint="eastAsia" w:ascii="华文仿宋" w:hAnsi="华文仿宋" w:cs="华文仿宋"/>
          <w:color w:val="auto"/>
          <w:sz w:val="28"/>
          <w:szCs w:val="28"/>
        </w:rPr>
        <w:t>十、签订政府采购合同</w:t>
      </w:r>
    </w:p>
    <w:p w14:paraId="770AFAB9">
      <w:pPr>
        <w:spacing w:line="500" w:lineRule="exact"/>
        <w:ind w:firstLine="566" w:firstLineChars="200"/>
        <w:rPr>
          <w:rFonts w:ascii="华文仿宋" w:cs="Times New Roman"/>
          <w:color w:val="auto"/>
          <w:kern w:val="0"/>
        </w:rPr>
      </w:pPr>
      <w:r>
        <w:rPr>
          <w:rFonts w:hint="eastAsia" w:ascii="华文仿宋" w:hAnsi="华文仿宋" w:cs="华文仿宋"/>
          <w:color w:val="auto"/>
        </w:rPr>
        <w:t>（一）自中标通知书发出之日起</w:t>
      </w:r>
      <w:r>
        <w:rPr>
          <w:rFonts w:hint="eastAsia"/>
          <w:lang w:val="en-US" w:eastAsia="zh-CN"/>
        </w:rPr>
        <w:t>一般不得</w:t>
      </w:r>
      <w:r>
        <w:rPr>
          <w:rFonts w:hint="eastAsia"/>
          <w:b w:val="0"/>
          <w:bCs w:val="0"/>
          <w:lang w:val="en-US" w:eastAsia="zh-CN"/>
        </w:rPr>
        <w:t>超出</w:t>
      </w:r>
      <w:r>
        <w:rPr>
          <w:rFonts w:hint="eastAsia" w:ascii="华文仿宋" w:hAnsi="Calibri" w:eastAsia="华文仿宋" w:cs="Times New Roman"/>
          <w:b w:val="0"/>
          <w:bCs w:val="0"/>
          <w:color w:val="auto"/>
          <w:kern w:val="2"/>
          <w:sz w:val="28"/>
          <w:szCs w:val="28"/>
          <w:lang w:val="en-US" w:eastAsia="zh-CN" w:bidi="ar-SA"/>
        </w:rPr>
        <w:t>15日</w:t>
      </w:r>
      <w:r>
        <w:rPr>
          <w:rFonts w:hint="eastAsia" w:ascii="华文仿宋" w:hAnsi="华文仿宋" w:cs="华文仿宋"/>
          <w:b w:val="0"/>
          <w:bCs w:val="0"/>
          <w:color w:val="auto"/>
        </w:rPr>
        <w:t>，</w:t>
      </w:r>
      <w:r>
        <w:rPr>
          <w:rFonts w:hint="eastAsia" w:ascii="华文仿宋" w:hAnsi="华文仿宋" w:cs="华文仿宋"/>
          <w:b w:val="0"/>
          <w:bCs w:val="0"/>
          <w:color w:val="auto"/>
          <w:kern w:val="0"/>
        </w:rPr>
        <w:t>采</w:t>
      </w:r>
      <w:r>
        <w:rPr>
          <w:rFonts w:hint="eastAsia" w:ascii="华文仿宋" w:hAnsi="华文仿宋" w:cs="华文仿宋"/>
          <w:color w:val="auto"/>
          <w:kern w:val="0"/>
        </w:rPr>
        <w:t>购人与中标人应按招标文件和中标人投标文件的规定，签订书面合同。所签订的政府采购合同不得对招标文件和中标人的投标文件内容作实质性修改。</w:t>
      </w:r>
    </w:p>
    <w:p w14:paraId="2180B7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采购人不得向中标人提出任何不合理的要求作为签订合同的条件。</w:t>
      </w:r>
    </w:p>
    <w:p w14:paraId="06D1CDA1">
      <w:pPr>
        <w:spacing w:line="500" w:lineRule="exact"/>
        <w:ind w:firstLine="566" w:firstLineChars="200"/>
        <w:rPr>
          <w:rFonts w:ascii="华文仿宋" w:cs="Times New Roman"/>
          <w:color w:val="auto"/>
        </w:rPr>
      </w:pPr>
      <w:r>
        <w:rPr>
          <w:rFonts w:hint="eastAsia" w:ascii="华文仿宋" w:hAnsi="华文仿宋" w:cs="华文仿宋"/>
          <w:color w:val="auto"/>
        </w:rPr>
        <w:t>（二）</w:t>
      </w:r>
      <w:r>
        <w:rPr>
          <w:rFonts w:hint="eastAsia" w:ascii="华文仿宋" w:hAnsi="华文仿宋" w:cs="华文仿宋"/>
          <w:color w:val="auto"/>
          <w:kern w:val="0"/>
        </w:rPr>
        <w:t>中标人拒绝与采购人签订合同的，采购人可以按照评标报告推荐的中标候选人名单排序，确定下一候选人为中标人，也可以重新开展政府采购活动。</w:t>
      </w:r>
    </w:p>
    <w:p w14:paraId="3BA7A73C">
      <w:pPr>
        <w:spacing w:line="500" w:lineRule="exact"/>
        <w:ind w:firstLine="566" w:firstLineChars="200"/>
        <w:rPr>
          <w:rFonts w:ascii="华文仿宋" w:cs="Times New Roman"/>
          <w:color w:val="auto"/>
          <w:kern w:val="0"/>
        </w:rPr>
      </w:pPr>
      <w:r>
        <w:rPr>
          <w:rFonts w:hint="eastAsia" w:ascii="华文仿宋" w:hAnsi="华文仿宋" w:cs="华文仿宋"/>
          <w:color w:val="auto"/>
        </w:rPr>
        <w:t>（三）招标文件、中标人的投标文件、《中标通知书》及其澄清、说明文件、承诺等，均为签订采购合同的依据，作为采购合同的组成部分。</w:t>
      </w:r>
    </w:p>
    <w:p w14:paraId="41AD386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（四）政府采购合同应当包括采购人与中标人的名称和住所、标的、数量、质量、价款或者报酬、履行期限及地点和方式、验收要求、违约责任、解决争议的方法等内容。</w:t>
      </w:r>
    </w:p>
    <w:p w14:paraId="16589393">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（五）采购人与中标人应当根据合同的约定依法履行合同义务。政府采购合同的履行、违约责任和解决争议的方法等适用</w:t>
      </w:r>
      <w:r>
        <w:rPr>
          <w:rFonts w:hint="eastAsia" w:ascii="华文仿宋" w:hAnsi="华文仿宋" w:cs="华文仿宋"/>
          <w:color w:val="auto"/>
        </w:rPr>
        <w:t>《中华人民共和国民法典》</w:t>
      </w:r>
      <w:r>
        <w:rPr>
          <w:rFonts w:hint="eastAsia" w:ascii="华文仿宋" w:hAnsi="华文仿宋" w:cs="华文仿宋"/>
          <w:color w:val="auto"/>
          <w:kern w:val="0"/>
        </w:rPr>
        <w:t>。</w:t>
      </w:r>
    </w:p>
    <w:p w14:paraId="4F6022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六）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00FA7E9F">
      <w:pPr>
        <w:spacing w:line="500" w:lineRule="exact"/>
        <w:ind w:firstLine="566" w:firstLineChars="200"/>
        <w:rPr>
          <w:rFonts w:ascii="华文仿宋" w:cs="Times New Roman"/>
          <w:color w:val="auto"/>
          <w:kern w:val="0"/>
        </w:rPr>
      </w:pPr>
      <w:r>
        <w:rPr>
          <w:rFonts w:hint="eastAsia" w:ascii="华文仿宋" w:hAnsi="华文仿宋" w:cs="华文仿宋"/>
          <w:color w:val="auto"/>
          <w:kern w:val="0"/>
        </w:rPr>
        <w:t>（七）采购人应当加强对中标人的履约管理，并按照采购合同约定，及时向中标人支付采购资金。对于中标人违反采购合同约定的行为，采购人应当及时处理，依法追究其违约责任。</w:t>
      </w:r>
    </w:p>
    <w:p w14:paraId="7CEBD7DC">
      <w:pPr>
        <w:pStyle w:val="3"/>
        <w:spacing w:line="480" w:lineRule="exact"/>
        <w:ind w:firstLine="566" w:firstLineChars="200"/>
        <w:rPr>
          <w:rFonts w:ascii="华文仿宋" w:cs="Times New Roman"/>
          <w:color w:val="auto"/>
          <w:sz w:val="28"/>
          <w:szCs w:val="28"/>
        </w:rPr>
      </w:pPr>
      <w:bookmarkStart w:id="441" w:name="_Toc9680"/>
      <w:bookmarkEnd w:id="441"/>
      <w:bookmarkStart w:id="442" w:name="_Toc19798"/>
      <w:bookmarkEnd w:id="442"/>
      <w:bookmarkStart w:id="443" w:name="_Toc12605"/>
      <w:bookmarkEnd w:id="443"/>
      <w:bookmarkStart w:id="444" w:name="_Toc23973"/>
      <w:bookmarkEnd w:id="444"/>
      <w:bookmarkStart w:id="445" w:name="_Toc15302"/>
      <w:bookmarkEnd w:id="445"/>
      <w:r>
        <w:rPr>
          <w:rFonts w:hint="eastAsia" w:ascii="华文仿宋" w:hAnsi="华文仿宋" w:cs="华文仿宋"/>
          <w:color w:val="auto"/>
          <w:sz w:val="28"/>
          <w:szCs w:val="28"/>
        </w:rPr>
        <w:t>十一、其他</w:t>
      </w:r>
    </w:p>
    <w:p w14:paraId="0846706C">
      <w:pPr>
        <w:spacing w:line="480" w:lineRule="exact"/>
        <w:ind w:firstLine="566" w:firstLineChars="200"/>
        <w:rPr>
          <w:rFonts w:ascii="华文仿宋" w:cs="Times New Roman"/>
          <w:color w:val="auto"/>
        </w:rPr>
      </w:pPr>
      <w:r>
        <w:rPr>
          <w:rFonts w:hint="eastAsia" w:ascii="华文仿宋" w:hAnsi="华文仿宋" w:cs="华文仿宋"/>
          <w:color w:val="auto"/>
        </w:rPr>
        <w:t>（一）评标委员会发现招标文件存在歧义、重大缺陷导致评标工作无法进行，或者招标文件内容违反国家有关强制性规定的，应当停止评标工作，与采购人或者</w:t>
      </w:r>
      <w:r>
        <w:rPr>
          <w:rFonts w:hint="eastAsia" w:ascii="华文仿宋" w:hAnsi="华文仿宋" w:cs="华文仿宋"/>
          <w:color w:val="auto"/>
          <w:lang w:eastAsia="zh-CN"/>
        </w:rPr>
        <w:t>中心</w:t>
      </w:r>
      <w:r>
        <w:rPr>
          <w:rFonts w:hint="eastAsia" w:ascii="华文仿宋" w:hAnsi="华文仿宋" w:cs="华文仿宋"/>
          <w:color w:val="auto"/>
        </w:rPr>
        <w:t>沟通并作书面记录。采购人或者</w:t>
      </w:r>
      <w:r>
        <w:rPr>
          <w:rFonts w:hint="eastAsia" w:ascii="华文仿宋" w:hAnsi="华文仿宋" w:cs="华文仿宋"/>
          <w:color w:val="auto"/>
          <w:lang w:eastAsia="zh-CN"/>
        </w:rPr>
        <w:t>中心</w:t>
      </w:r>
      <w:r>
        <w:rPr>
          <w:rFonts w:hint="eastAsia" w:ascii="华文仿宋" w:hAnsi="华文仿宋" w:cs="华文仿宋"/>
          <w:color w:val="auto"/>
        </w:rPr>
        <w:t>确认后，应当修改招标文件，重新组织采购活动。</w:t>
      </w:r>
    </w:p>
    <w:p w14:paraId="3D0841C3">
      <w:pPr>
        <w:spacing w:line="480" w:lineRule="exact"/>
        <w:ind w:firstLine="566" w:firstLineChars="200"/>
        <w:rPr>
          <w:rFonts w:ascii="华文仿宋" w:cs="Times New Roman"/>
          <w:color w:val="auto"/>
        </w:rPr>
      </w:pPr>
      <w:r>
        <w:rPr>
          <w:rFonts w:hint="eastAsia" w:ascii="华文仿宋" w:hAnsi="华文仿宋" w:cs="华文仿宋"/>
          <w:color w:val="auto"/>
        </w:rPr>
        <w:t>（二）根据《政府采购法》第三十六条规定，在招标采购中，出现下列情形之一的，本项目按废标处理：</w:t>
      </w:r>
    </w:p>
    <w:p w14:paraId="0A160287">
      <w:pPr>
        <w:spacing w:line="48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出现影响采购公正的违法、违规行为的；</w:t>
      </w:r>
    </w:p>
    <w:p w14:paraId="342E29F3">
      <w:pPr>
        <w:spacing w:line="48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投标人的报价均超过了采购预算，采购人不能支付的；</w:t>
      </w:r>
    </w:p>
    <w:p w14:paraId="29781DAB">
      <w:pPr>
        <w:spacing w:line="480" w:lineRule="exact"/>
        <w:ind w:firstLine="566" w:firstLineChars="200"/>
        <w:rPr>
          <w:rFonts w:ascii="华文仿宋" w:cs="Times New Roman"/>
          <w:color w:val="auto"/>
        </w:rPr>
      </w:pPr>
      <w:r>
        <w:rPr>
          <w:rFonts w:ascii="华文仿宋" w:hAnsi="华文仿宋" w:cs="华文仿宋"/>
          <w:color w:val="auto"/>
        </w:rPr>
        <w:t>3</w:t>
      </w:r>
      <w:r>
        <w:rPr>
          <w:rFonts w:hint="eastAsia" w:ascii="华文仿宋" w:hAnsi="华文仿宋" w:cs="华文仿宋"/>
          <w:color w:val="auto"/>
          <w:lang w:val="en-US" w:eastAsia="zh-CN"/>
        </w:rPr>
        <w:t>.</w:t>
      </w:r>
      <w:r>
        <w:rPr>
          <w:rFonts w:hint="eastAsia" w:ascii="华文仿宋" w:hAnsi="华文仿宋" w:cs="华文仿宋"/>
          <w:color w:val="auto"/>
        </w:rPr>
        <w:t>因重大变故，采购任务取消的。</w:t>
      </w:r>
    </w:p>
    <w:p w14:paraId="2818B438">
      <w:pPr>
        <w:spacing w:line="480" w:lineRule="exact"/>
        <w:ind w:firstLine="566" w:firstLineChars="200"/>
        <w:rPr>
          <w:rFonts w:ascii="华文仿宋" w:cs="Times New Roman"/>
          <w:color w:val="auto"/>
        </w:rPr>
      </w:pPr>
      <w:r>
        <w:rPr>
          <w:rFonts w:hint="eastAsia" w:ascii="华文仿宋" w:hAnsi="华文仿宋" w:cs="华文仿宋"/>
          <w:color w:val="auto"/>
        </w:rPr>
        <w:t>废标后，由</w:t>
      </w:r>
      <w:r>
        <w:rPr>
          <w:rFonts w:hint="eastAsia" w:ascii="华文仿宋" w:hAnsi="华文仿宋" w:cs="华文仿宋"/>
          <w:color w:val="auto"/>
          <w:lang w:eastAsia="zh-CN"/>
        </w:rPr>
        <w:t>中心</w:t>
      </w:r>
      <w:r>
        <w:rPr>
          <w:rFonts w:hint="eastAsia" w:ascii="华文仿宋" w:hAnsi="华文仿宋" w:cs="华文仿宋"/>
          <w:color w:val="auto"/>
        </w:rPr>
        <w:t>发布废标公告。除采购任务取消外，本项目将重新组织招标。</w:t>
      </w:r>
    </w:p>
    <w:p w14:paraId="0DB58610">
      <w:pPr>
        <w:spacing w:line="480" w:lineRule="exact"/>
        <w:ind w:firstLine="566" w:firstLineChars="200"/>
        <w:rPr>
          <w:rFonts w:ascii="华文仿宋" w:cs="Times New Roman"/>
          <w:color w:val="auto"/>
        </w:rPr>
      </w:pPr>
      <w:r>
        <w:rPr>
          <w:rFonts w:hint="eastAsia" w:ascii="华文仿宋" w:hAnsi="华文仿宋" w:cs="华文仿宋"/>
          <w:color w:val="auto"/>
        </w:rPr>
        <w:t>（三）在递交投标文件阶段、资格审查阶段、符合性审查阶段以及评标委员会评标阶段，当出现有效投标人不足</w:t>
      </w:r>
      <w:r>
        <w:rPr>
          <w:rFonts w:ascii="仿宋" w:hAnsi="仿宋" w:eastAsia="仿宋" w:cs="仿宋"/>
          <w:color w:val="auto"/>
        </w:rPr>
        <w:t>3</w:t>
      </w:r>
      <w:r>
        <w:rPr>
          <w:rFonts w:hint="eastAsia" w:ascii="华文仿宋" w:hAnsi="华文仿宋" w:cs="华文仿宋"/>
          <w:color w:val="auto"/>
        </w:rPr>
        <w:t>家时，除采购任务取消外，按照以下方式处理：</w:t>
      </w:r>
    </w:p>
    <w:p w14:paraId="279B54F5">
      <w:pPr>
        <w:spacing w:line="480" w:lineRule="exact"/>
        <w:ind w:firstLine="566" w:firstLineChars="200"/>
        <w:rPr>
          <w:rFonts w:ascii="华文仿宋" w:cs="Times New Roman"/>
          <w:color w:val="auto"/>
        </w:rPr>
      </w:pPr>
      <w:r>
        <w:rPr>
          <w:rFonts w:ascii="华文仿宋" w:hAnsi="华文仿宋" w:cs="华文仿宋"/>
          <w:color w:val="auto"/>
        </w:rPr>
        <w:t>1</w:t>
      </w:r>
      <w:r>
        <w:rPr>
          <w:rFonts w:hint="eastAsia" w:ascii="华文仿宋" w:hAnsi="华文仿宋" w:cs="华文仿宋"/>
          <w:color w:val="auto"/>
          <w:lang w:val="en-US" w:eastAsia="zh-CN"/>
        </w:rPr>
        <w:t>.</w:t>
      </w:r>
      <w:r>
        <w:rPr>
          <w:rFonts w:hint="eastAsia" w:ascii="华文仿宋" w:hAnsi="华文仿宋" w:cs="华文仿宋"/>
          <w:color w:val="auto"/>
        </w:rPr>
        <w:t>招标文件存在不合理条款或者招标程序不符合规定的，采购人、采购代理机构改正后依法重新招标；</w:t>
      </w:r>
    </w:p>
    <w:p w14:paraId="54BFA659">
      <w:pPr>
        <w:spacing w:line="480" w:lineRule="exact"/>
        <w:ind w:firstLine="566" w:firstLineChars="200"/>
        <w:rPr>
          <w:rFonts w:ascii="华文仿宋" w:cs="Times New Roman"/>
          <w:color w:val="auto"/>
        </w:rPr>
      </w:pPr>
      <w:r>
        <w:rPr>
          <w:rFonts w:ascii="华文仿宋" w:hAnsi="华文仿宋" w:cs="华文仿宋"/>
          <w:color w:val="auto"/>
        </w:rPr>
        <w:t>2</w:t>
      </w:r>
      <w:r>
        <w:rPr>
          <w:rFonts w:hint="eastAsia" w:ascii="华文仿宋" w:hAnsi="华文仿宋" w:cs="华文仿宋"/>
          <w:color w:val="auto"/>
          <w:lang w:val="en-US" w:eastAsia="zh-CN"/>
        </w:rPr>
        <w:t>.</w:t>
      </w:r>
      <w:r>
        <w:rPr>
          <w:rFonts w:hint="eastAsia" w:ascii="华文仿宋" w:hAnsi="华文仿宋" w:cs="华文仿宋"/>
          <w:color w:val="auto"/>
        </w:rPr>
        <w:t>招标文件没有不合理条款、招标程序符合规定，需要采用其他采购方式采购的，采购人应当依法报财政部门批准。</w:t>
      </w:r>
    </w:p>
    <w:p w14:paraId="49B1DBEC">
      <w:pPr>
        <w:spacing w:line="480" w:lineRule="exact"/>
        <w:ind w:firstLine="566" w:firstLineChars="200"/>
        <w:rPr>
          <w:rFonts w:ascii="华文仿宋" w:cs="Times New Roman"/>
          <w:color w:val="auto"/>
        </w:rPr>
      </w:pPr>
      <w:r>
        <w:rPr>
          <w:rFonts w:hint="eastAsia" w:ascii="华文仿宋" w:hAnsi="华文仿宋" w:cs="华文仿宋"/>
          <w:color w:val="auto"/>
        </w:rPr>
        <w:t>（四）采购代理机构应当采取必要措施，保证评标在严格保密的情况下进行。除采购人代表、评标现场组织人员外，采购人的其他工作人员以及与评标工作无关的人员不得进入评标现场。</w:t>
      </w:r>
    </w:p>
    <w:p w14:paraId="14FAFD8F">
      <w:pPr>
        <w:spacing w:line="480" w:lineRule="exact"/>
        <w:ind w:firstLine="566" w:firstLineChars="200"/>
        <w:rPr>
          <w:rFonts w:ascii="华文仿宋" w:cs="Times New Roman"/>
          <w:color w:val="auto"/>
        </w:rPr>
      </w:pPr>
      <w:r>
        <w:rPr>
          <w:rFonts w:hint="eastAsia" w:ascii="华文仿宋" w:hAnsi="华文仿宋" w:cs="华文仿宋"/>
          <w:color w:val="auto"/>
        </w:rPr>
        <w:t>有关人员对评标情况以及在评标过程中获悉的国家秘密、商业秘密负有保密责任。</w:t>
      </w:r>
    </w:p>
    <w:p w14:paraId="5E280E63">
      <w:pPr>
        <w:numPr>
          <w:ilvl w:val="0"/>
          <w:numId w:val="4"/>
        </w:numPr>
        <w:spacing w:line="480" w:lineRule="exact"/>
        <w:ind w:firstLine="566" w:firstLineChars="200"/>
        <w:rPr>
          <w:color w:val="auto"/>
        </w:rPr>
      </w:pPr>
      <w:r>
        <w:rPr>
          <w:rFonts w:hint="eastAsia" w:ascii="华文仿宋" w:hAnsi="华文仿宋" w:cs="华文仿宋"/>
          <w:color w:val="auto"/>
        </w:rPr>
        <w:t>招标文件未明确的其他事项，按《政府采购法》及其相关法律法规执行。</w:t>
      </w:r>
    </w:p>
    <w:p w14:paraId="648EF525">
      <w:pPr>
        <w:spacing w:line="500" w:lineRule="exact"/>
        <w:ind w:firstLine="566" w:firstLineChars="200"/>
        <w:rPr>
          <w:rFonts w:cs="Times New Roman"/>
          <w:color w:val="auto"/>
        </w:rPr>
      </w:pPr>
      <w:r>
        <w:rPr>
          <w:rFonts w:hint="eastAsia" w:ascii="华文仿宋" w:hAnsi="华文仿宋" w:cs="华文仿宋"/>
          <w:color w:val="auto"/>
          <w:kern w:val="0"/>
        </w:rPr>
        <w:t>（六）</w:t>
      </w:r>
      <w:r>
        <w:rPr>
          <w:rFonts w:hint="eastAsia" w:ascii="华文仿宋" w:hAnsi="华文仿宋" w:cs="华文仿宋"/>
          <w:color w:val="auto"/>
          <w:kern w:val="0"/>
          <w:lang w:eastAsia="zh-CN"/>
        </w:rPr>
        <w:t>中心</w:t>
      </w:r>
      <w:r>
        <w:rPr>
          <w:rFonts w:hint="eastAsia" w:ascii="华文仿宋" w:hAnsi="华文仿宋" w:cs="华文仿宋"/>
          <w:color w:val="auto"/>
          <w:kern w:val="0"/>
        </w:rPr>
        <w:t>应当建立真实完整的招标采购档案，妥善保存每项采购活动的采购文件。</w:t>
      </w:r>
    </w:p>
    <w:p w14:paraId="189BB7F3">
      <w:pPr>
        <w:spacing w:line="240" w:lineRule="auto"/>
        <w:jc w:val="center"/>
        <w:outlineLvl w:val="0"/>
        <w:rPr>
          <w:rFonts w:cs="Times New Roman"/>
          <w:color w:val="auto"/>
        </w:rPr>
      </w:pPr>
      <w:bookmarkStart w:id="446" w:name="_Toc29944"/>
      <w:bookmarkEnd w:id="446"/>
      <w:bookmarkStart w:id="447" w:name="_Toc21726"/>
      <w:bookmarkEnd w:id="447"/>
      <w:bookmarkStart w:id="448" w:name="_Toc14795"/>
      <w:bookmarkEnd w:id="448"/>
      <w:bookmarkStart w:id="449" w:name="_Toc28153"/>
      <w:bookmarkEnd w:id="449"/>
      <w:bookmarkStart w:id="450" w:name="_Toc6509"/>
      <w:bookmarkEnd w:id="450"/>
      <w:bookmarkStart w:id="451" w:name="_Toc16783"/>
      <w:bookmarkEnd w:id="451"/>
      <w:bookmarkStart w:id="452" w:name="_Toc24145"/>
      <w:bookmarkEnd w:id="452"/>
      <w:bookmarkStart w:id="453" w:name="_Toc21404"/>
      <w:bookmarkEnd w:id="453"/>
      <w:bookmarkStart w:id="454" w:name="_Toc8583"/>
      <w:bookmarkEnd w:id="454"/>
      <w:bookmarkStart w:id="455" w:name="_Toc22298"/>
      <w:bookmarkEnd w:id="455"/>
      <w:r>
        <w:rPr>
          <w:rFonts w:hint="eastAsia" w:ascii="黑体" w:hAnsi="黑体" w:eastAsia="黑体" w:cs="黑体"/>
          <w:color w:val="auto"/>
          <w:sz w:val="32"/>
          <w:szCs w:val="32"/>
        </w:rPr>
        <w:br w:type="page"/>
      </w:r>
      <w:r>
        <w:rPr>
          <w:rFonts w:hint="eastAsia" w:ascii="黑体" w:hAnsi="黑体" w:eastAsia="黑体" w:cs="黑体"/>
          <w:color w:val="auto"/>
          <w:sz w:val="32"/>
          <w:szCs w:val="32"/>
        </w:rPr>
        <w:t>第三章  评审办法及标准</w:t>
      </w:r>
    </w:p>
    <w:p w14:paraId="03332A62">
      <w:pPr>
        <w:pStyle w:val="3"/>
        <w:spacing w:line="500" w:lineRule="exact"/>
        <w:ind w:firstLine="566" w:firstLineChars="200"/>
        <w:rPr>
          <w:rFonts w:ascii="华文仿宋" w:cs="Times New Roman"/>
          <w:color w:val="auto"/>
          <w:sz w:val="28"/>
          <w:szCs w:val="28"/>
        </w:rPr>
      </w:pPr>
      <w:bookmarkStart w:id="456" w:name="_Toc30932"/>
      <w:bookmarkEnd w:id="456"/>
      <w:bookmarkStart w:id="457" w:name="_Toc11125"/>
      <w:bookmarkEnd w:id="457"/>
      <w:bookmarkStart w:id="458" w:name="_Toc9762"/>
      <w:bookmarkEnd w:id="458"/>
      <w:bookmarkStart w:id="459" w:name="_Toc729"/>
      <w:bookmarkEnd w:id="459"/>
      <w:bookmarkStart w:id="460" w:name="_Toc12713"/>
      <w:bookmarkEnd w:id="460"/>
      <w:bookmarkStart w:id="461" w:name="_Toc10885"/>
      <w:bookmarkEnd w:id="461"/>
      <w:bookmarkStart w:id="462" w:name="_Toc28980"/>
      <w:bookmarkEnd w:id="462"/>
      <w:bookmarkStart w:id="463" w:name="_Toc25074"/>
      <w:bookmarkEnd w:id="463"/>
      <w:bookmarkStart w:id="464" w:name="_Toc17130"/>
      <w:bookmarkEnd w:id="464"/>
      <w:bookmarkStart w:id="465" w:name="_Toc16719"/>
      <w:bookmarkEnd w:id="465"/>
      <w:bookmarkStart w:id="466" w:name="_Toc15268"/>
      <w:bookmarkEnd w:id="466"/>
      <w:bookmarkStart w:id="467" w:name="_Toc18001"/>
      <w:bookmarkEnd w:id="467"/>
      <w:bookmarkStart w:id="468" w:name="_Toc31308"/>
      <w:bookmarkEnd w:id="468"/>
      <w:bookmarkStart w:id="469" w:name="_Toc31867"/>
      <w:bookmarkEnd w:id="469"/>
      <w:bookmarkStart w:id="470" w:name="_Toc10081"/>
      <w:bookmarkEnd w:id="470"/>
      <w:r>
        <w:rPr>
          <w:rFonts w:hint="eastAsia" w:ascii="华文仿宋" w:hAnsi="华文仿宋" w:cs="华文仿宋"/>
          <w:color w:val="auto"/>
          <w:sz w:val="28"/>
          <w:szCs w:val="28"/>
        </w:rPr>
        <w:t>一、资格审查</w:t>
      </w:r>
    </w:p>
    <w:p w14:paraId="5333A024">
      <w:pPr>
        <w:spacing w:line="500" w:lineRule="exact"/>
        <w:jc w:val="center"/>
        <w:rPr>
          <w:rFonts w:ascii="华文仿宋" w:cs="Times New Roman"/>
          <w:b/>
          <w:bCs/>
          <w:color w:val="auto"/>
        </w:rPr>
      </w:pPr>
      <w:r>
        <w:rPr>
          <w:rFonts w:hint="eastAsia" w:ascii="华文仿宋" w:hAnsi="华文仿宋" w:cs="华文仿宋"/>
          <w:b/>
          <w:bCs/>
          <w:color w:val="auto"/>
        </w:rPr>
        <w:t>资格审查表</w:t>
      </w:r>
    </w:p>
    <w:tbl>
      <w:tblPr>
        <w:tblStyle w:val="29"/>
        <w:tblW w:w="8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748"/>
        <w:gridCol w:w="977"/>
      </w:tblGrid>
      <w:tr w14:paraId="49AF0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9A0C489">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序号</w:t>
            </w:r>
          </w:p>
        </w:tc>
        <w:tc>
          <w:tcPr>
            <w:tcW w:w="1866" w:type="dxa"/>
            <w:noWrap/>
            <w:vAlign w:val="center"/>
          </w:tcPr>
          <w:p w14:paraId="6CFE17C9">
            <w:pPr>
              <w:jc w:val="center"/>
              <w:rPr>
                <w:rFonts w:ascii="仿宋" w:hAnsi="仿宋" w:eastAsia="仿宋" w:cs="Times New Roman"/>
                <w:b/>
                <w:bCs/>
                <w:color w:val="auto"/>
                <w:kern w:val="28"/>
                <w:sz w:val="24"/>
                <w:szCs w:val="24"/>
              </w:rPr>
            </w:pPr>
            <w:r>
              <w:rPr>
                <w:rFonts w:hint="eastAsia" w:ascii="仿宋" w:hAnsi="仿宋" w:eastAsia="仿宋" w:cs="仿宋"/>
                <w:b/>
                <w:bCs/>
                <w:color w:val="auto"/>
                <w:kern w:val="28"/>
                <w:sz w:val="24"/>
                <w:szCs w:val="24"/>
              </w:rPr>
              <w:t>资格审查项</w:t>
            </w:r>
          </w:p>
        </w:tc>
        <w:tc>
          <w:tcPr>
            <w:tcW w:w="4583" w:type="dxa"/>
            <w:noWrap/>
            <w:vAlign w:val="center"/>
          </w:tcPr>
          <w:p w14:paraId="6FF3A6C6">
            <w:pPr>
              <w:jc w:val="center"/>
              <w:rPr>
                <w:rFonts w:ascii="仿宋" w:hAnsi="仿宋" w:eastAsia="仿宋" w:cs="Times New Roman"/>
                <w:b/>
                <w:bCs/>
                <w:color w:val="auto"/>
                <w:kern w:val="28"/>
                <w:sz w:val="24"/>
                <w:szCs w:val="24"/>
              </w:rPr>
            </w:pPr>
            <w:r>
              <w:rPr>
                <w:rFonts w:hint="eastAsia" w:ascii="仿宋" w:hAnsi="仿宋" w:eastAsia="仿宋" w:cs="仿宋"/>
                <w:b/>
                <w:bCs/>
                <w:color w:val="auto"/>
                <w:kern w:val="28"/>
                <w:sz w:val="24"/>
                <w:szCs w:val="24"/>
              </w:rPr>
              <w:t>通过条件</w:t>
            </w:r>
          </w:p>
        </w:tc>
        <w:tc>
          <w:tcPr>
            <w:tcW w:w="748" w:type="dxa"/>
            <w:noWrap/>
            <w:vAlign w:val="center"/>
          </w:tcPr>
          <w:p w14:paraId="319220E1">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结论</w:t>
            </w:r>
          </w:p>
        </w:tc>
        <w:tc>
          <w:tcPr>
            <w:tcW w:w="977" w:type="dxa"/>
            <w:noWrap/>
            <w:vAlign w:val="center"/>
          </w:tcPr>
          <w:p w14:paraId="2350FD30">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不通过原因</w:t>
            </w:r>
          </w:p>
        </w:tc>
      </w:tr>
      <w:tr w14:paraId="5067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53AABEA4">
            <w:pPr>
              <w:jc w:val="center"/>
              <w:rPr>
                <w:rFonts w:ascii="仿宋" w:hAnsi="仿宋" w:eastAsia="仿宋" w:cs="仿宋"/>
                <w:color w:val="auto"/>
                <w:sz w:val="24"/>
                <w:szCs w:val="24"/>
              </w:rPr>
            </w:pPr>
            <w:r>
              <w:rPr>
                <w:rFonts w:ascii="仿宋" w:hAnsi="仿宋" w:eastAsia="仿宋" w:cs="仿宋"/>
                <w:color w:val="auto"/>
                <w:sz w:val="24"/>
                <w:szCs w:val="24"/>
              </w:rPr>
              <w:t>1</w:t>
            </w:r>
          </w:p>
        </w:tc>
        <w:tc>
          <w:tcPr>
            <w:tcW w:w="1866" w:type="dxa"/>
            <w:noWrap/>
            <w:vAlign w:val="center"/>
          </w:tcPr>
          <w:p w14:paraId="7E5BF58B">
            <w:pPr>
              <w:jc w:val="cente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营业执照等主体资格证明文件</w:t>
            </w:r>
          </w:p>
        </w:tc>
        <w:tc>
          <w:tcPr>
            <w:tcW w:w="4583" w:type="dxa"/>
            <w:noWrap/>
            <w:vAlign w:val="center"/>
          </w:tcPr>
          <w:p w14:paraId="0500C4FA">
            <w:pP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提供有效存续的企业营业执照（副本）</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事业单位法人证书</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专业服务机构执业许可证</w:t>
            </w:r>
            <w:r>
              <w:rPr>
                <w:rFonts w:ascii="仿宋" w:hAnsi="仿宋" w:eastAsia="仿宋" w:cs="仿宋"/>
                <w:color w:val="auto"/>
                <w:kern w:val="28"/>
                <w:sz w:val="24"/>
                <w:szCs w:val="24"/>
              </w:rPr>
              <w:t>/</w:t>
            </w:r>
            <w:r>
              <w:rPr>
                <w:rFonts w:hint="eastAsia" w:ascii="仿宋" w:hAnsi="仿宋" w:eastAsia="仿宋" w:cs="仿宋"/>
                <w:color w:val="auto"/>
                <w:kern w:val="28"/>
                <w:sz w:val="24"/>
                <w:szCs w:val="24"/>
              </w:rPr>
              <w:t>民办非企业单位登记证书。</w:t>
            </w:r>
          </w:p>
        </w:tc>
        <w:tc>
          <w:tcPr>
            <w:tcW w:w="748" w:type="dxa"/>
            <w:noWrap/>
            <w:vAlign w:val="center"/>
          </w:tcPr>
          <w:p w14:paraId="428E25EB">
            <w:pPr>
              <w:rPr>
                <w:rFonts w:ascii="仿宋" w:hAnsi="仿宋" w:eastAsia="仿宋" w:cs="Times New Roman"/>
                <w:b/>
                <w:bCs/>
                <w:color w:val="auto"/>
                <w:sz w:val="24"/>
                <w:szCs w:val="24"/>
              </w:rPr>
            </w:pPr>
          </w:p>
        </w:tc>
        <w:tc>
          <w:tcPr>
            <w:tcW w:w="977" w:type="dxa"/>
            <w:noWrap/>
            <w:vAlign w:val="center"/>
          </w:tcPr>
          <w:p w14:paraId="50AE6FF1">
            <w:pPr>
              <w:rPr>
                <w:rFonts w:ascii="仿宋" w:hAnsi="仿宋" w:eastAsia="仿宋" w:cs="Times New Roman"/>
                <w:b/>
                <w:bCs/>
                <w:color w:val="auto"/>
                <w:sz w:val="24"/>
                <w:szCs w:val="24"/>
              </w:rPr>
            </w:pPr>
          </w:p>
        </w:tc>
      </w:tr>
      <w:tr w14:paraId="005B6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683B5D49">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p>
        </w:tc>
        <w:tc>
          <w:tcPr>
            <w:tcW w:w="1866" w:type="dxa"/>
            <w:noWrap/>
            <w:vAlign w:val="center"/>
          </w:tcPr>
          <w:p w14:paraId="0B14CB5E">
            <w:pPr>
              <w:jc w:val="cente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信用记录</w:t>
            </w:r>
          </w:p>
        </w:tc>
        <w:tc>
          <w:tcPr>
            <w:tcW w:w="4583" w:type="dxa"/>
            <w:noWrap/>
            <w:vAlign w:val="center"/>
          </w:tcPr>
          <w:p w14:paraId="6E8D00C7">
            <w:pPr>
              <w:rPr>
                <w:rFonts w:ascii="仿宋" w:hAnsi="仿宋" w:eastAsia="仿宋" w:cs="Times New Roman"/>
                <w:color w:val="auto"/>
                <w:kern w:val="28"/>
                <w:sz w:val="24"/>
                <w:szCs w:val="24"/>
              </w:rPr>
            </w:pPr>
            <w:r>
              <w:rPr>
                <w:rFonts w:hint="eastAsia" w:ascii="仿宋" w:hAnsi="仿宋" w:eastAsia="仿宋" w:cs="仿宋"/>
                <w:color w:val="auto"/>
                <w:kern w:val="28"/>
                <w:sz w:val="24"/>
                <w:szCs w:val="24"/>
              </w:rPr>
              <w:t>提供《供应商信用记录书面声明函》（按格式填写，提供原件）。经查，投标人未被列入“信用中国”网站记录的“失信被执行人”或“重大税收违法</w:t>
            </w:r>
            <w:r>
              <w:rPr>
                <w:rFonts w:hint="eastAsia" w:ascii="仿宋" w:hAnsi="仿宋" w:eastAsia="仿宋" w:cs="仿宋"/>
                <w:color w:val="auto"/>
                <w:kern w:val="28"/>
                <w:sz w:val="24"/>
                <w:szCs w:val="24"/>
                <w:lang w:val="en-US" w:eastAsia="zh-CN"/>
              </w:rPr>
              <w:t>失信主体</w:t>
            </w:r>
            <w:r>
              <w:rPr>
                <w:rFonts w:hint="eastAsia" w:ascii="仿宋" w:hAnsi="仿宋" w:eastAsia="仿宋" w:cs="仿宋"/>
                <w:color w:val="auto"/>
                <w:kern w:val="28"/>
                <w:sz w:val="24"/>
                <w:szCs w:val="24"/>
              </w:rPr>
              <w:t>”名单；不处于“中国政府采购网”记录的“政府采购严重违法失信行为记录名单”中的禁止参加政府采购活动期间。</w:t>
            </w:r>
          </w:p>
        </w:tc>
        <w:tc>
          <w:tcPr>
            <w:tcW w:w="748" w:type="dxa"/>
            <w:noWrap/>
            <w:vAlign w:val="center"/>
          </w:tcPr>
          <w:p w14:paraId="38C0DD44">
            <w:pPr>
              <w:rPr>
                <w:rFonts w:ascii="仿宋" w:hAnsi="仿宋" w:eastAsia="仿宋" w:cs="Times New Roman"/>
                <w:b/>
                <w:bCs/>
                <w:color w:val="auto"/>
                <w:sz w:val="24"/>
                <w:szCs w:val="24"/>
              </w:rPr>
            </w:pPr>
          </w:p>
        </w:tc>
        <w:tc>
          <w:tcPr>
            <w:tcW w:w="977" w:type="dxa"/>
            <w:noWrap/>
            <w:vAlign w:val="center"/>
          </w:tcPr>
          <w:p w14:paraId="361748C4">
            <w:pPr>
              <w:rPr>
                <w:rFonts w:ascii="仿宋" w:hAnsi="仿宋" w:eastAsia="仿宋" w:cs="Times New Roman"/>
                <w:b/>
                <w:bCs/>
                <w:color w:val="auto"/>
                <w:sz w:val="24"/>
                <w:szCs w:val="24"/>
              </w:rPr>
            </w:pPr>
          </w:p>
        </w:tc>
      </w:tr>
      <w:tr w14:paraId="4D6E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92BDE90">
            <w:pPr>
              <w:jc w:val="center"/>
              <w:rPr>
                <w:rFonts w:hint="eastAsia" w:ascii="仿宋" w:hAnsi="仿宋" w:eastAsia="仿宋" w:cs="仿宋"/>
                <w:bCs/>
                <w:color w:val="auto"/>
                <w:sz w:val="24"/>
                <w:szCs w:val="24"/>
                <w:lang w:eastAsia="zh-CN"/>
              </w:rPr>
            </w:pPr>
            <w:r>
              <w:rPr>
                <w:rFonts w:hint="eastAsia" w:ascii="仿宋" w:hAnsi="仿宋" w:eastAsia="仿宋" w:cs="仿宋"/>
                <w:color w:val="auto"/>
                <w:sz w:val="24"/>
                <w:szCs w:val="24"/>
                <w:lang w:val="en-US" w:eastAsia="zh-CN"/>
              </w:rPr>
              <w:t>3</w:t>
            </w:r>
          </w:p>
        </w:tc>
        <w:tc>
          <w:tcPr>
            <w:tcW w:w="1866" w:type="dxa"/>
            <w:noWrap/>
            <w:vAlign w:val="center"/>
          </w:tcPr>
          <w:p w14:paraId="26DA54E8">
            <w:pPr>
              <w:jc w:val="center"/>
              <w:rPr>
                <w:rFonts w:ascii="仿宋" w:hAnsi="仿宋" w:eastAsia="仿宋" w:cs="仿宋"/>
                <w:color w:val="auto"/>
                <w:kern w:val="28"/>
                <w:sz w:val="24"/>
                <w:szCs w:val="24"/>
              </w:rPr>
            </w:pPr>
            <w:r>
              <w:rPr>
                <w:rFonts w:hint="eastAsia" w:ascii="仿宋" w:hAnsi="仿宋" w:eastAsia="仿宋" w:cs="仿宋"/>
                <w:color w:val="auto"/>
                <w:kern w:val="28"/>
                <w:sz w:val="24"/>
                <w:szCs w:val="24"/>
              </w:rPr>
              <w:t>控股管理关系</w:t>
            </w:r>
          </w:p>
        </w:tc>
        <w:tc>
          <w:tcPr>
            <w:tcW w:w="4583" w:type="dxa"/>
            <w:noWrap/>
            <w:vAlign w:val="center"/>
          </w:tcPr>
          <w:p w14:paraId="1D1D2038">
            <w:pPr>
              <w:rPr>
                <w:rFonts w:ascii="仿宋" w:hAnsi="仿宋" w:eastAsia="仿宋" w:cs="仿宋"/>
                <w:color w:val="auto"/>
                <w:kern w:val="28"/>
                <w:sz w:val="24"/>
                <w:szCs w:val="24"/>
              </w:rPr>
            </w:pPr>
            <w:r>
              <w:rPr>
                <w:rFonts w:hint="eastAsia" w:ascii="仿宋" w:hAnsi="仿宋" w:eastAsia="仿宋" w:cs="仿宋"/>
                <w:color w:val="auto"/>
                <w:kern w:val="28"/>
                <w:sz w:val="24"/>
                <w:szCs w:val="24"/>
              </w:rPr>
              <w:t>提供直接控股和管理关系清单。若与其他</w:t>
            </w:r>
          </w:p>
          <w:p w14:paraId="255367C9">
            <w:pPr>
              <w:rPr>
                <w:rFonts w:ascii="仿宋" w:hAnsi="仿宋" w:eastAsia="仿宋" w:cs="仿宋"/>
                <w:color w:val="auto"/>
                <w:kern w:val="28"/>
                <w:sz w:val="24"/>
                <w:szCs w:val="24"/>
              </w:rPr>
            </w:pPr>
            <w:r>
              <w:rPr>
                <w:rFonts w:hint="eastAsia" w:ascii="仿宋" w:hAnsi="仿宋" w:eastAsia="仿宋" w:cs="仿宋"/>
                <w:color w:val="auto"/>
                <w:kern w:val="28"/>
                <w:sz w:val="24"/>
                <w:szCs w:val="24"/>
              </w:rPr>
              <w:t>投标人存在单位负责人为同一人或者存在直接控股、管理关系的，则投标无效。</w:t>
            </w:r>
          </w:p>
        </w:tc>
        <w:tc>
          <w:tcPr>
            <w:tcW w:w="748" w:type="dxa"/>
            <w:noWrap/>
            <w:vAlign w:val="center"/>
          </w:tcPr>
          <w:p w14:paraId="0217A8D2">
            <w:pPr>
              <w:rPr>
                <w:rFonts w:ascii="仿宋" w:hAnsi="仿宋" w:eastAsia="仿宋" w:cs="Times New Roman"/>
                <w:b/>
                <w:bCs/>
                <w:color w:val="auto"/>
                <w:sz w:val="24"/>
                <w:szCs w:val="24"/>
              </w:rPr>
            </w:pPr>
          </w:p>
        </w:tc>
        <w:tc>
          <w:tcPr>
            <w:tcW w:w="977" w:type="dxa"/>
            <w:noWrap/>
            <w:vAlign w:val="center"/>
          </w:tcPr>
          <w:p w14:paraId="622602A6">
            <w:pPr>
              <w:rPr>
                <w:rFonts w:ascii="仿宋" w:hAnsi="仿宋" w:eastAsia="仿宋" w:cs="Times New Roman"/>
                <w:b/>
                <w:bCs/>
                <w:color w:val="auto"/>
                <w:sz w:val="24"/>
                <w:szCs w:val="24"/>
              </w:rPr>
            </w:pPr>
          </w:p>
        </w:tc>
      </w:tr>
      <w:tr w14:paraId="0330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3F78799C">
            <w:pPr>
              <w:jc w:val="cente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4</w:t>
            </w:r>
          </w:p>
        </w:tc>
        <w:tc>
          <w:tcPr>
            <w:tcW w:w="1866" w:type="dxa"/>
            <w:noWrap/>
            <w:vAlign w:val="center"/>
          </w:tcPr>
          <w:p w14:paraId="5073CE8A">
            <w:pPr>
              <w:jc w:val="center"/>
              <w:rPr>
                <w:rFonts w:ascii="仿宋" w:hAnsi="仿宋" w:eastAsia="仿宋" w:cs="仿宋"/>
                <w:color w:val="auto"/>
                <w:kern w:val="28"/>
                <w:sz w:val="24"/>
                <w:szCs w:val="24"/>
              </w:rPr>
            </w:pPr>
            <w:r>
              <w:rPr>
                <w:rFonts w:hint="eastAsia" w:ascii="仿宋" w:hAnsi="仿宋" w:eastAsia="仿宋" w:cs="仿宋"/>
                <w:color w:val="auto"/>
                <w:kern w:val="28"/>
                <w:sz w:val="24"/>
                <w:szCs w:val="24"/>
              </w:rPr>
              <w:t>书面声明</w:t>
            </w:r>
          </w:p>
        </w:tc>
        <w:tc>
          <w:tcPr>
            <w:tcW w:w="4583" w:type="dxa"/>
            <w:noWrap/>
            <w:vAlign w:val="center"/>
          </w:tcPr>
          <w:p w14:paraId="4EB07D45">
            <w:pPr>
              <w:rPr>
                <w:rFonts w:ascii="仿宋" w:hAnsi="仿宋" w:eastAsia="仿宋" w:cs="仿宋"/>
                <w:color w:val="auto"/>
                <w:kern w:val="28"/>
                <w:sz w:val="24"/>
                <w:szCs w:val="24"/>
              </w:rPr>
            </w:pPr>
            <w:r>
              <w:rPr>
                <w:rFonts w:hint="eastAsia" w:ascii="仿宋" w:hAnsi="仿宋" w:eastAsia="仿宋" w:cs="仿宋"/>
                <w:color w:val="auto"/>
                <w:kern w:val="28"/>
                <w:sz w:val="24"/>
                <w:szCs w:val="24"/>
              </w:rPr>
              <w:t>提供书面声明，包括声明具有履行合同所必需的设备和专业技术能力；未为本项目提供整体设计、规范编制或者项目管理、监理、检测等服务。</w:t>
            </w:r>
          </w:p>
        </w:tc>
        <w:tc>
          <w:tcPr>
            <w:tcW w:w="748" w:type="dxa"/>
            <w:noWrap/>
            <w:vAlign w:val="center"/>
          </w:tcPr>
          <w:p w14:paraId="3136B7D8">
            <w:pPr>
              <w:rPr>
                <w:rFonts w:ascii="仿宋" w:hAnsi="仿宋" w:eastAsia="仿宋" w:cs="Times New Roman"/>
                <w:b/>
                <w:bCs/>
                <w:color w:val="auto"/>
                <w:sz w:val="24"/>
                <w:szCs w:val="24"/>
              </w:rPr>
            </w:pPr>
          </w:p>
        </w:tc>
        <w:tc>
          <w:tcPr>
            <w:tcW w:w="977" w:type="dxa"/>
            <w:noWrap/>
            <w:vAlign w:val="center"/>
          </w:tcPr>
          <w:p w14:paraId="3E4ECF58">
            <w:pPr>
              <w:rPr>
                <w:rFonts w:ascii="仿宋" w:hAnsi="仿宋" w:eastAsia="仿宋" w:cs="Times New Roman"/>
                <w:b/>
                <w:bCs/>
                <w:color w:val="auto"/>
                <w:sz w:val="24"/>
                <w:szCs w:val="24"/>
              </w:rPr>
            </w:pPr>
          </w:p>
        </w:tc>
      </w:tr>
      <w:tr w14:paraId="7AD5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DD1DFEB">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1866" w:type="dxa"/>
            <w:noWrap/>
            <w:vAlign w:val="center"/>
          </w:tcPr>
          <w:p w14:paraId="5927C049">
            <w:pPr>
              <w:jc w:val="center"/>
              <w:rPr>
                <w:rFonts w:ascii="仿宋" w:hAnsi="仿宋" w:eastAsia="仿宋" w:cs="Times New Roman"/>
                <w:color w:val="auto"/>
                <w:kern w:val="28"/>
                <w:sz w:val="24"/>
                <w:szCs w:val="24"/>
              </w:rPr>
            </w:pPr>
            <w:r>
              <w:rPr>
                <w:rFonts w:hint="eastAsia" w:ascii="华文仿宋" w:hAnsi="华文仿宋" w:eastAsia="华文仿宋" w:cs="华文仿宋"/>
                <w:color w:val="000000"/>
                <w:kern w:val="28"/>
                <w:sz w:val="24"/>
                <w:szCs w:val="24"/>
              </w:rPr>
              <w:t>法定代表人授权委托书及法定代表人证明书</w:t>
            </w:r>
          </w:p>
        </w:tc>
        <w:tc>
          <w:tcPr>
            <w:tcW w:w="4583" w:type="dxa"/>
            <w:noWrap/>
            <w:vAlign w:val="center"/>
          </w:tcPr>
          <w:p w14:paraId="7C867BCF">
            <w:pPr>
              <w:rPr>
                <w:rFonts w:hint="eastAsia" w:ascii="仿宋" w:hAnsi="仿宋" w:eastAsia="仿宋" w:cs="Times New Roman"/>
                <w:color w:val="auto"/>
                <w:kern w:val="28"/>
                <w:sz w:val="24"/>
                <w:szCs w:val="24"/>
              </w:rPr>
            </w:pPr>
            <w:r>
              <w:rPr>
                <w:rFonts w:hint="eastAsia" w:ascii="仿宋" w:hAnsi="仿宋" w:eastAsia="仿宋" w:cs="Times New Roman"/>
                <w:color w:val="auto"/>
                <w:kern w:val="28"/>
                <w:sz w:val="24"/>
                <w:szCs w:val="24"/>
              </w:rPr>
              <w:t>法定代表人参加投标的，须提供本人身份证</w:t>
            </w:r>
            <w:r>
              <w:rPr>
                <w:rFonts w:hint="eastAsia" w:ascii="仿宋" w:hAnsi="仿宋" w:eastAsia="仿宋" w:cs="Times New Roman"/>
                <w:color w:val="auto"/>
                <w:kern w:val="28"/>
                <w:sz w:val="24"/>
                <w:szCs w:val="24"/>
                <w:lang w:val="en-US" w:eastAsia="zh-CN"/>
              </w:rPr>
              <w:t>扫描</w:t>
            </w:r>
            <w:r>
              <w:rPr>
                <w:rFonts w:hint="eastAsia" w:ascii="仿宋" w:hAnsi="仿宋" w:eastAsia="仿宋" w:cs="Times New Roman"/>
                <w:color w:val="auto"/>
                <w:kern w:val="28"/>
                <w:sz w:val="24"/>
                <w:szCs w:val="24"/>
              </w:rPr>
              <w:t>件（附在资格证明文件中）；法定代表人授权他人参加投标的，须提供法定代表人授权委托书</w:t>
            </w:r>
            <w:r>
              <w:rPr>
                <w:rFonts w:hint="eastAsia" w:ascii="仿宋" w:hAnsi="仿宋" w:eastAsia="仿宋" w:cs="Times New Roman"/>
                <w:color w:val="auto"/>
                <w:kern w:val="28"/>
                <w:sz w:val="24"/>
                <w:szCs w:val="24"/>
                <w:lang w:eastAsia="zh-CN"/>
              </w:rPr>
              <w:t>（</w:t>
            </w:r>
            <w:r>
              <w:rPr>
                <w:rFonts w:hint="eastAsia" w:ascii="仿宋" w:hAnsi="仿宋" w:eastAsia="仿宋" w:cs="Times New Roman"/>
                <w:color w:val="auto"/>
                <w:kern w:val="28"/>
                <w:sz w:val="24"/>
                <w:szCs w:val="24"/>
              </w:rPr>
              <w:t>按格式填写，提供</w:t>
            </w:r>
            <w:r>
              <w:rPr>
                <w:rFonts w:hint="eastAsia" w:ascii="仿宋" w:hAnsi="仿宋" w:eastAsia="仿宋" w:cs="Times New Roman"/>
                <w:color w:val="auto"/>
                <w:kern w:val="28"/>
                <w:sz w:val="24"/>
                <w:szCs w:val="24"/>
                <w:lang w:eastAsia="zh-CN"/>
              </w:rPr>
              <w:t>原件的扫描件</w:t>
            </w:r>
            <w:r>
              <w:rPr>
                <w:rFonts w:hint="eastAsia" w:ascii="仿宋" w:hAnsi="仿宋" w:eastAsia="仿宋" w:cs="Times New Roman"/>
                <w:color w:val="auto"/>
                <w:kern w:val="28"/>
                <w:sz w:val="24"/>
                <w:szCs w:val="24"/>
              </w:rPr>
              <w:t>）。招标文件中凡是需要法定代表人盖章之处，非法人单位的负责人均参照执行。</w:t>
            </w:r>
          </w:p>
          <w:p w14:paraId="2E531CF1">
            <w:pPr>
              <w:rPr>
                <w:rFonts w:ascii="仿宋" w:hAnsi="仿宋" w:eastAsia="仿宋" w:cs="Times New Roman"/>
                <w:color w:val="auto"/>
                <w:kern w:val="28"/>
                <w:sz w:val="24"/>
                <w:szCs w:val="24"/>
              </w:rPr>
            </w:pPr>
            <w:r>
              <w:rPr>
                <w:rFonts w:hint="eastAsia" w:ascii="仿宋" w:hAnsi="仿宋" w:eastAsia="仿宋" w:cs="Times New Roman"/>
                <w:color w:val="auto"/>
                <w:kern w:val="28"/>
                <w:sz w:val="24"/>
                <w:szCs w:val="24"/>
                <w:lang w:eastAsia="zh-CN"/>
              </w:rPr>
              <w:t>法人的</w:t>
            </w:r>
            <w:r>
              <w:rPr>
                <w:rFonts w:hint="eastAsia" w:ascii="仿宋" w:hAnsi="仿宋" w:eastAsia="仿宋" w:cs="Times New Roman"/>
                <w:color w:val="auto"/>
                <w:kern w:val="28"/>
                <w:sz w:val="24"/>
                <w:szCs w:val="24"/>
              </w:rPr>
              <w:t>分支机构参与投标时，</w:t>
            </w:r>
            <w:r>
              <w:rPr>
                <w:rFonts w:hint="eastAsia" w:ascii="仿宋" w:hAnsi="仿宋" w:eastAsia="仿宋" w:cs="Times New Roman"/>
                <w:color w:val="auto"/>
                <w:kern w:val="28"/>
                <w:sz w:val="24"/>
                <w:szCs w:val="24"/>
                <w:lang w:eastAsia="zh-CN"/>
              </w:rPr>
              <w:t>除提供《</w:t>
            </w:r>
            <w:r>
              <w:rPr>
                <w:rFonts w:hint="eastAsia" w:ascii="仿宋" w:hAnsi="仿宋" w:eastAsia="仿宋" w:cs="Times New Roman"/>
                <w:color w:val="auto"/>
                <w:kern w:val="28"/>
                <w:sz w:val="24"/>
                <w:szCs w:val="24"/>
              </w:rPr>
              <w:t>法定代表人授权委托书</w:t>
            </w:r>
            <w:r>
              <w:rPr>
                <w:rFonts w:hint="eastAsia" w:ascii="仿宋" w:hAnsi="仿宋" w:eastAsia="仿宋" w:cs="Times New Roman"/>
                <w:color w:val="auto"/>
                <w:kern w:val="28"/>
                <w:sz w:val="24"/>
                <w:szCs w:val="24"/>
                <w:lang w:eastAsia="zh-CN"/>
              </w:rPr>
              <w:t>》外，还须同时提供总公司给分支机构</w:t>
            </w:r>
            <w:r>
              <w:rPr>
                <w:rFonts w:hint="eastAsia" w:ascii="仿宋" w:hAnsi="仿宋" w:eastAsia="仿宋" w:cs="Times New Roman"/>
                <w:color w:val="auto"/>
                <w:kern w:val="28"/>
                <w:sz w:val="24"/>
                <w:szCs w:val="24"/>
              </w:rPr>
              <w:t>出具的授权书。</w:t>
            </w:r>
          </w:p>
        </w:tc>
        <w:tc>
          <w:tcPr>
            <w:tcW w:w="748" w:type="dxa"/>
            <w:noWrap/>
            <w:vAlign w:val="center"/>
          </w:tcPr>
          <w:p w14:paraId="3147EE05">
            <w:pPr>
              <w:rPr>
                <w:rFonts w:ascii="仿宋" w:hAnsi="仿宋" w:eastAsia="仿宋" w:cs="Times New Roman"/>
                <w:b/>
                <w:bCs/>
                <w:color w:val="auto"/>
                <w:sz w:val="24"/>
                <w:szCs w:val="24"/>
              </w:rPr>
            </w:pPr>
          </w:p>
        </w:tc>
        <w:tc>
          <w:tcPr>
            <w:tcW w:w="977" w:type="dxa"/>
            <w:noWrap/>
            <w:vAlign w:val="center"/>
          </w:tcPr>
          <w:p w14:paraId="075DDBC9">
            <w:pPr>
              <w:rPr>
                <w:rFonts w:ascii="仿宋" w:hAnsi="仿宋" w:eastAsia="仿宋" w:cs="Times New Roman"/>
                <w:b/>
                <w:bCs/>
                <w:color w:val="auto"/>
                <w:sz w:val="24"/>
                <w:szCs w:val="24"/>
              </w:rPr>
            </w:pPr>
          </w:p>
        </w:tc>
      </w:tr>
      <w:tr w14:paraId="1036F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3164FFD">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p>
        </w:tc>
        <w:tc>
          <w:tcPr>
            <w:tcW w:w="1866" w:type="dxa"/>
            <w:noWrap/>
            <w:vAlign w:val="center"/>
          </w:tcPr>
          <w:p w14:paraId="661B969F">
            <w:pPr>
              <w:jc w:val="center"/>
              <w:rPr>
                <w:rFonts w:hint="eastAsia" w:ascii="仿宋" w:hAnsi="仿宋" w:eastAsia="仿宋" w:cs="仿宋"/>
                <w:color w:val="auto"/>
                <w:kern w:val="28"/>
                <w:sz w:val="24"/>
                <w:szCs w:val="24"/>
                <w:lang w:val="en-US" w:eastAsia="zh-CN"/>
              </w:rPr>
            </w:pPr>
            <w:r>
              <w:rPr>
                <w:rFonts w:hint="eastAsia" w:ascii="仿宋" w:hAnsi="仿宋" w:eastAsia="仿宋" w:cs="仿宋"/>
                <w:color w:val="auto"/>
                <w:kern w:val="28"/>
                <w:sz w:val="24"/>
                <w:szCs w:val="24"/>
                <w:lang w:val="en-US" w:eastAsia="zh-CN"/>
              </w:rPr>
              <w:t>承诺函</w:t>
            </w:r>
          </w:p>
        </w:tc>
        <w:tc>
          <w:tcPr>
            <w:tcW w:w="4583" w:type="dxa"/>
            <w:noWrap/>
            <w:vAlign w:val="center"/>
          </w:tcPr>
          <w:p w14:paraId="19FB0BF2">
            <w:pPr>
              <w:rPr>
                <w:rFonts w:hint="eastAsia" w:ascii="仿宋" w:hAnsi="仿宋" w:eastAsia="仿宋" w:cs="Times New Roman"/>
                <w:color w:val="auto"/>
                <w:kern w:val="28"/>
                <w:sz w:val="24"/>
                <w:szCs w:val="24"/>
                <w:lang w:eastAsia="zh-CN"/>
              </w:rPr>
            </w:pPr>
            <w:r>
              <w:rPr>
                <w:rFonts w:hint="eastAsia" w:ascii="仿宋" w:hAnsi="仿宋" w:eastAsia="仿宋" w:cs="Times New Roman"/>
                <w:color w:val="auto"/>
                <w:kern w:val="28"/>
                <w:sz w:val="24"/>
                <w:szCs w:val="24"/>
                <w:lang w:eastAsia="zh-CN"/>
              </w:rPr>
              <w:t>投标人需提供财务状况、缴纳税收和社会保障资金三项符合要求的承诺函（无需另行提供证明文件）。</w:t>
            </w:r>
          </w:p>
        </w:tc>
        <w:tc>
          <w:tcPr>
            <w:tcW w:w="748" w:type="dxa"/>
            <w:noWrap/>
            <w:vAlign w:val="center"/>
          </w:tcPr>
          <w:p w14:paraId="3BA2A105">
            <w:pPr>
              <w:rPr>
                <w:rFonts w:ascii="仿宋" w:hAnsi="仿宋" w:eastAsia="仿宋" w:cs="Times New Roman"/>
                <w:b/>
                <w:bCs/>
                <w:color w:val="auto"/>
                <w:sz w:val="24"/>
                <w:szCs w:val="24"/>
              </w:rPr>
            </w:pPr>
          </w:p>
        </w:tc>
        <w:tc>
          <w:tcPr>
            <w:tcW w:w="977" w:type="dxa"/>
            <w:noWrap/>
            <w:vAlign w:val="center"/>
          </w:tcPr>
          <w:p w14:paraId="19BA8676">
            <w:pPr>
              <w:rPr>
                <w:rFonts w:ascii="仿宋" w:hAnsi="仿宋" w:eastAsia="仿宋" w:cs="Times New Roman"/>
                <w:b/>
                <w:bCs/>
                <w:color w:val="auto"/>
                <w:sz w:val="24"/>
                <w:szCs w:val="24"/>
              </w:rPr>
            </w:pPr>
          </w:p>
        </w:tc>
      </w:tr>
      <w:tr w14:paraId="4413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732" w:type="dxa"/>
            <w:noWrap/>
            <w:vAlign w:val="center"/>
          </w:tcPr>
          <w:p w14:paraId="1AA88808">
            <w:pPr>
              <w:jc w:val="center"/>
              <w:rPr>
                <w:rFonts w:hint="default"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7</w:t>
            </w:r>
          </w:p>
        </w:tc>
        <w:tc>
          <w:tcPr>
            <w:tcW w:w="1866" w:type="dxa"/>
            <w:noWrap/>
            <w:vAlign w:val="center"/>
          </w:tcPr>
          <w:p w14:paraId="72DF2C4E">
            <w:pPr>
              <w:jc w:val="center"/>
              <w:rPr>
                <w:rFonts w:hint="eastAsia" w:ascii="仿宋" w:hAnsi="仿宋" w:eastAsia="仿宋" w:cs="Times New Roman"/>
                <w:color w:val="auto"/>
                <w:kern w:val="28"/>
                <w:sz w:val="24"/>
                <w:szCs w:val="24"/>
                <w:lang w:val="en-US" w:eastAsia="zh-CN" w:bidi="ar-SA"/>
              </w:rPr>
            </w:pPr>
            <w:r>
              <w:rPr>
                <w:rFonts w:hint="eastAsia" w:ascii="仿宋" w:hAnsi="仿宋" w:eastAsia="仿宋" w:cs="仿宋"/>
                <w:color w:val="auto"/>
                <w:kern w:val="28"/>
                <w:sz w:val="24"/>
                <w:szCs w:val="24"/>
              </w:rPr>
              <w:t>本项目不接受联合体投标，不允许分包</w:t>
            </w:r>
          </w:p>
        </w:tc>
        <w:tc>
          <w:tcPr>
            <w:tcW w:w="4583" w:type="dxa"/>
            <w:noWrap/>
            <w:vAlign w:val="center"/>
          </w:tcPr>
          <w:p w14:paraId="3AD04CA7">
            <w:pPr>
              <w:rPr>
                <w:rFonts w:hint="eastAsia" w:ascii="仿宋" w:hAnsi="仿宋" w:eastAsia="仿宋" w:cs="Times New Roman"/>
                <w:color w:val="auto"/>
                <w:kern w:val="28"/>
                <w:sz w:val="24"/>
                <w:szCs w:val="24"/>
                <w:lang w:val="en-US" w:eastAsia="zh-CN" w:bidi="ar-SA"/>
              </w:rPr>
            </w:pPr>
            <w:r>
              <w:rPr>
                <w:rFonts w:hint="eastAsia" w:ascii="仿宋" w:hAnsi="仿宋" w:eastAsia="仿宋" w:cs="仿宋"/>
                <w:color w:val="auto"/>
                <w:kern w:val="28"/>
                <w:sz w:val="24"/>
                <w:szCs w:val="24"/>
              </w:rPr>
              <w:t>投标人应提供《非联合体不分包投标声明》，视为独立投标，不分包。</w:t>
            </w:r>
          </w:p>
        </w:tc>
        <w:tc>
          <w:tcPr>
            <w:tcW w:w="748" w:type="dxa"/>
            <w:noWrap/>
            <w:vAlign w:val="center"/>
          </w:tcPr>
          <w:p w14:paraId="0989382C">
            <w:pPr>
              <w:rPr>
                <w:rFonts w:ascii="仿宋" w:hAnsi="仿宋" w:eastAsia="仿宋" w:cs="Times New Roman"/>
                <w:b/>
                <w:bCs/>
                <w:color w:val="auto"/>
                <w:sz w:val="24"/>
                <w:szCs w:val="24"/>
              </w:rPr>
            </w:pPr>
          </w:p>
        </w:tc>
        <w:tc>
          <w:tcPr>
            <w:tcW w:w="977" w:type="dxa"/>
            <w:noWrap/>
            <w:vAlign w:val="center"/>
          </w:tcPr>
          <w:p w14:paraId="0EDD07FC">
            <w:pPr>
              <w:rPr>
                <w:rFonts w:ascii="仿宋" w:hAnsi="仿宋" w:eastAsia="仿宋" w:cs="Times New Roman"/>
                <w:b/>
                <w:bCs/>
                <w:color w:val="auto"/>
                <w:sz w:val="24"/>
                <w:szCs w:val="24"/>
              </w:rPr>
            </w:pPr>
          </w:p>
        </w:tc>
      </w:tr>
      <w:tr w14:paraId="7F823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732" w:type="dxa"/>
            <w:noWrap/>
            <w:vAlign w:val="center"/>
          </w:tcPr>
          <w:p w14:paraId="359DE991">
            <w:pPr>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1866" w:type="dxa"/>
            <w:noWrap/>
            <w:vAlign w:val="center"/>
          </w:tcPr>
          <w:p w14:paraId="32C828F9">
            <w:pPr>
              <w:jc w:val="center"/>
              <w:rPr>
                <w:rFonts w:hint="default" w:ascii="仿宋" w:hAnsi="仿宋" w:eastAsia="仿宋" w:cs="仿宋"/>
                <w:color w:val="auto"/>
                <w:kern w:val="28"/>
                <w:sz w:val="24"/>
                <w:szCs w:val="24"/>
                <w:lang w:val="en-US" w:eastAsia="zh-CN"/>
              </w:rPr>
            </w:pPr>
            <w:r>
              <w:rPr>
                <w:rFonts w:hint="eastAsia" w:ascii="仿宋" w:hAnsi="仿宋" w:eastAsia="仿宋" w:cs="仿宋"/>
                <w:color w:val="auto"/>
                <w:kern w:val="28"/>
                <w:sz w:val="24"/>
                <w:szCs w:val="24"/>
                <w:lang w:val="en-US" w:eastAsia="zh-CN"/>
              </w:rPr>
              <w:t>特定资格要求</w:t>
            </w:r>
          </w:p>
        </w:tc>
        <w:tc>
          <w:tcPr>
            <w:tcW w:w="4583" w:type="dxa"/>
            <w:noWrap/>
            <w:vAlign w:val="center"/>
          </w:tcPr>
          <w:p w14:paraId="71045EA5">
            <w:pPr>
              <w:rPr>
                <w:rFonts w:hint="eastAsia" w:ascii="仿宋" w:hAnsi="仿宋" w:eastAsia="仿宋" w:cs="仿宋"/>
                <w:color w:val="auto"/>
                <w:kern w:val="28"/>
                <w:sz w:val="24"/>
                <w:szCs w:val="24"/>
              </w:rPr>
            </w:pPr>
            <w:r>
              <w:rPr>
                <w:rFonts w:hint="eastAsia" w:ascii="仿宋" w:hAnsi="仿宋" w:eastAsia="仿宋" w:cs="仿宋"/>
                <w:color w:val="auto"/>
                <w:kern w:val="28"/>
                <w:sz w:val="24"/>
                <w:szCs w:val="24"/>
                <w:lang w:val="en-US" w:eastAsia="zh-CN"/>
              </w:rPr>
              <w:t>需提供省级测绘地理信息局出具的乙级及以上测绘资质证书。</w:t>
            </w:r>
          </w:p>
        </w:tc>
        <w:tc>
          <w:tcPr>
            <w:tcW w:w="748" w:type="dxa"/>
            <w:noWrap/>
            <w:vAlign w:val="center"/>
          </w:tcPr>
          <w:p w14:paraId="569EDACB">
            <w:pPr>
              <w:rPr>
                <w:rFonts w:ascii="仿宋" w:hAnsi="仿宋" w:eastAsia="仿宋" w:cs="Times New Roman"/>
                <w:b/>
                <w:bCs/>
                <w:color w:val="auto"/>
                <w:sz w:val="24"/>
                <w:szCs w:val="24"/>
              </w:rPr>
            </w:pPr>
          </w:p>
        </w:tc>
        <w:tc>
          <w:tcPr>
            <w:tcW w:w="977" w:type="dxa"/>
            <w:noWrap/>
            <w:vAlign w:val="center"/>
          </w:tcPr>
          <w:p w14:paraId="7035EF9B">
            <w:pPr>
              <w:rPr>
                <w:rFonts w:ascii="仿宋" w:hAnsi="仿宋" w:eastAsia="仿宋" w:cs="Times New Roman"/>
                <w:b/>
                <w:bCs/>
                <w:color w:val="auto"/>
                <w:sz w:val="24"/>
                <w:szCs w:val="24"/>
              </w:rPr>
            </w:pPr>
          </w:p>
        </w:tc>
      </w:tr>
      <w:tr w14:paraId="719B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8906" w:type="dxa"/>
            <w:gridSpan w:val="5"/>
            <w:noWrap/>
            <w:vAlign w:val="center"/>
          </w:tcPr>
          <w:p w14:paraId="471330FE">
            <w:pP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资格审查小组成员：（签字或盖章）</w:t>
            </w:r>
          </w:p>
          <w:p w14:paraId="7F110019">
            <w:pPr>
              <w:rPr>
                <w:rFonts w:ascii="仿宋" w:hAnsi="仿宋" w:eastAsia="仿宋" w:cs="Times New Roman"/>
                <w:b/>
                <w:bCs/>
                <w:color w:val="auto"/>
                <w:sz w:val="24"/>
                <w:szCs w:val="24"/>
              </w:rPr>
            </w:pPr>
          </w:p>
        </w:tc>
      </w:tr>
    </w:tbl>
    <w:p w14:paraId="3FED6745">
      <w:pPr>
        <w:pStyle w:val="3"/>
        <w:spacing w:line="500" w:lineRule="exact"/>
        <w:rPr>
          <w:rFonts w:ascii="华文仿宋" w:cs="Times New Roman"/>
          <w:color w:val="auto"/>
          <w:sz w:val="28"/>
          <w:szCs w:val="28"/>
        </w:rPr>
      </w:pPr>
      <w:bookmarkStart w:id="471" w:name="_Toc28947"/>
      <w:bookmarkEnd w:id="471"/>
      <w:bookmarkStart w:id="472" w:name="_Toc22969"/>
      <w:bookmarkEnd w:id="472"/>
      <w:bookmarkStart w:id="473" w:name="_Toc5945"/>
      <w:bookmarkEnd w:id="473"/>
      <w:bookmarkStart w:id="474" w:name="_Toc27374"/>
      <w:bookmarkEnd w:id="474"/>
      <w:bookmarkStart w:id="475" w:name="_Toc22102"/>
      <w:bookmarkEnd w:id="475"/>
      <w:bookmarkStart w:id="476" w:name="_Toc1691"/>
      <w:bookmarkEnd w:id="476"/>
      <w:bookmarkStart w:id="477" w:name="_Toc3753"/>
      <w:bookmarkEnd w:id="477"/>
      <w:bookmarkStart w:id="478" w:name="_Toc2809"/>
      <w:bookmarkEnd w:id="478"/>
      <w:bookmarkStart w:id="479" w:name="_Toc3842"/>
      <w:bookmarkEnd w:id="479"/>
      <w:bookmarkStart w:id="480" w:name="_Toc2712"/>
      <w:bookmarkEnd w:id="480"/>
      <w:bookmarkStart w:id="481" w:name="_Toc18735"/>
      <w:bookmarkEnd w:id="481"/>
      <w:bookmarkStart w:id="482" w:name="_Toc25181"/>
      <w:bookmarkEnd w:id="482"/>
      <w:bookmarkStart w:id="483" w:name="_Toc25093"/>
      <w:bookmarkEnd w:id="483"/>
      <w:bookmarkStart w:id="484" w:name="_Toc26027"/>
      <w:bookmarkEnd w:id="484"/>
      <w:bookmarkStart w:id="485" w:name="_Toc14358"/>
      <w:bookmarkEnd w:id="485"/>
      <w:bookmarkStart w:id="486" w:name="_Toc16965"/>
      <w:bookmarkEnd w:id="486"/>
      <w:bookmarkStart w:id="487" w:name="_Toc8359"/>
      <w:bookmarkEnd w:id="487"/>
      <w:bookmarkStart w:id="488" w:name="_Toc32718"/>
      <w:bookmarkEnd w:id="488"/>
      <w:bookmarkStart w:id="489" w:name="_Toc1559"/>
      <w:bookmarkEnd w:id="489"/>
      <w:bookmarkStart w:id="490" w:name="_Toc29773"/>
      <w:bookmarkEnd w:id="490"/>
      <w:bookmarkStart w:id="491" w:name="_Toc28896"/>
      <w:bookmarkEnd w:id="491"/>
      <w:bookmarkStart w:id="492" w:name="_Toc3725"/>
      <w:bookmarkEnd w:id="492"/>
      <w:r>
        <w:rPr>
          <w:rFonts w:hint="eastAsia" w:ascii="华文仿宋" w:hAnsi="华文仿宋" w:cs="华文仿宋"/>
          <w:color w:val="auto"/>
          <w:sz w:val="28"/>
          <w:szCs w:val="28"/>
        </w:rPr>
        <w:t>二、符合性审查</w:t>
      </w:r>
    </w:p>
    <w:p w14:paraId="15C0285B">
      <w:pPr>
        <w:spacing w:line="500" w:lineRule="exact"/>
        <w:ind w:firstLine="566" w:firstLineChars="200"/>
        <w:jc w:val="center"/>
        <w:rPr>
          <w:rFonts w:cs="Times New Roman"/>
          <w:b/>
          <w:bCs/>
          <w:color w:val="auto"/>
        </w:rPr>
      </w:pPr>
      <w:r>
        <w:rPr>
          <w:rFonts w:hint="eastAsia" w:cs="华文仿宋"/>
          <w:b/>
          <w:bCs/>
          <w:color w:val="auto"/>
        </w:rPr>
        <w:t>符合性审查表</w:t>
      </w:r>
    </w:p>
    <w:tbl>
      <w:tblPr>
        <w:tblStyle w:val="29"/>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815"/>
        <w:gridCol w:w="990"/>
      </w:tblGrid>
      <w:tr w14:paraId="1EE3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36661636">
            <w:pPr>
              <w:spacing w:line="320" w:lineRule="exact"/>
              <w:jc w:val="center"/>
              <w:rPr>
                <w:rFonts w:ascii="仿宋" w:hAnsi="仿宋" w:eastAsia="仿宋" w:cs="仿宋"/>
                <w:b/>
                <w:bCs/>
                <w:color w:val="auto"/>
                <w:kern w:val="0"/>
                <w:sz w:val="24"/>
                <w:szCs w:val="24"/>
              </w:rPr>
            </w:pPr>
            <w:bookmarkStart w:id="493" w:name="_Toc18874"/>
            <w:bookmarkStart w:id="494" w:name="_Toc13418"/>
            <w:bookmarkStart w:id="495" w:name="_Toc2387"/>
            <w:bookmarkStart w:id="496" w:name="_Toc4245"/>
            <w:bookmarkStart w:id="497" w:name="_Toc11613"/>
            <w:bookmarkStart w:id="498" w:name="_Toc20615"/>
            <w:bookmarkStart w:id="499" w:name="_Toc7872"/>
            <w:bookmarkStart w:id="500" w:name="_Toc22846"/>
            <w:bookmarkStart w:id="501" w:name="_Toc7523"/>
            <w:bookmarkStart w:id="502" w:name="_Toc31415"/>
            <w:bookmarkStart w:id="503" w:name="_Toc14948"/>
            <w:bookmarkStart w:id="504" w:name="_Toc1938"/>
            <w:bookmarkStart w:id="505" w:name="_Toc32092"/>
            <w:bookmarkStart w:id="506" w:name="_Toc31150"/>
            <w:bookmarkStart w:id="507" w:name="_Toc21485"/>
            <w:bookmarkStart w:id="508" w:name="_Toc2503"/>
            <w:bookmarkStart w:id="509" w:name="_Toc12596"/>
            <w:bookmarkStart w:id="510" w:name="_Toc32472"/>
            <w:r>
              <w:rPr>
                <w:rFonts w:hint="eastAsia" w:ascii="仿宋" w:hAnsi="仿宋" w:eastAsia="仿宋" w:cs="仿宋"/>
                <w:b/>
                <w:bCs/>
                <w:color w:val="auto"/>
                <w:kern w:val="0"/>
                <w:sz w:val="24"/>
                <w:szCs w:val="24"/>
              </w:rPr>
              <w:t>序号</w:t>
            </w:r>
          </w:p>
        </w:tc>
        <w:tc>
          <w:tcPr>
            <w:tcW w:w="2460" w:type="dxa"/>
            <w:noWrap/>
            <w:vAlign w:val="center"/>
          </w:tcPr>
          <w:p w14:paraId="28CD0BCE">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符合性审查项</w:t>
            </w:r>
          </w:p>
        </w:tc>
        <w:tc>
          <w:tcPr>
            <w:tcW w:w="4200" w:type="dxa"/>
            <w:noWrap/>
            <w:vAlign w:val="center"/>
          </w:tcPr>
          <w:p w14:paraId="7D3C0477">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通过条件</w:t>
            </w:r>
          </w:p>
        </w:tc>
        <w:tc>
          <w:tcPr>
            <w:tcW w:w="815" w:type="dxa"/>
            <w:noWrap/>
            <w:vAlign w:val="center"/>
          </w:tcPr>
          <w:p w14:paraId="0F30E7CB">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结论</w:t>
            </w:r>
          </w:p>
        </w:tc>
        <w:tc>
          <w:tcPr>
            <w:tcW w:w="990" w:type="dxa"/>
            <w:noWrap/>
            <w:vAlign w:val="center"/>
          </w:tcPr>
          <w:p w14:paraId="18A17ECF">
            <w:pPr>
              <w:spacing w:line="320" w:lineRule="exact"/>
              <w:jc w:val="center"/>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未通过原因</w:t>
            </w:r>
          </w:p>
        </w:tc>
      </w:tr>
      <w:tr w14:paraId="51352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13477EF2">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2460" w:type="dxa"/>
            <w:noWrap/>
            <w:vAlign w:val="center"/>
          </w:tcPr>
          <w:p w14:paraId="027E94D8">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投标文件语言及有效期</w:t>
            </w:r>
          </w:p>
        </w:tc>
        <w:tc>
          <w:tcPr>
            <w:tcW w:w="4200" w:type="dxa"/>
            <w:noWrap/>
            <w:vAlign w:val="center"/>
          </w:tcPr>
          <w:p w14:paraId="1686A3B0">
            <w:pPr>
              <w:spacing w:line="320" w:lineRule="exact"/>
              <w:jc w:val="left"/>
              <w:rPr>
                <w:rFonts w:ascii="仿宋" w:hAnsi="仿宋" w:eastAsia="仿宋" w:cs="仿宋"/>
                <w:color w:val="auto"/>
                <w:sz w:val="24"/>
                <w:szCs w:val="24"/>
              </w:rPr>
            </w:pPr>
            <w:r>
              <w:rPr>
                <w:rFonts w:hint="eastAsia" w:ascii="仿宋" w:hAnsi="仿宋" w:eastAsia="仿宋" w:cs="仿宋"/>
                <w:color w:val="auto"/>
                <w:sz w:val="24"/>
                <w:szCs w:val="24"/>
              </w:rPr>
              <w:t>投标文件语言及有效期符合招标文件要求。</w:t>
            </w:r>
          </w:p>
        </w:tc>
        <w:tc>
          <w:tcPr>
            <w:tcW w:w="815" w:type="dxa"/>
            <w:noWrap/>
            <w:vAlign w:val="center"/>
          </w:tcPr>
          <w:p w14:paraId="0C169E6B">
            <w:pPr>
              <w:spacing w:line="320" w:lineRule="exact"/>
              <w:jc w:val="center"/>
              <w:rPr>
                <w:rFonts w:ascii="仿宋" w:hAnsi="仿宋" w:eastAsia="仿宋" w:cs="仿宋"/>
                <w:b/>
                <w:bCs/>
                <w:color w:val="auto"/>
                <w:kern w:val="0"/>
                <w:sz w:val="24"/>
                <w:szCs w:val="24"/>
              </w:rPr>
            </w:pPr>
          </w:p>
        </w:tc>
        <w:tc>
          <w:tcPr>
            <w:tcW w:w="990" w:type="dxa"/>
            <w:noWrap/>
            <w:vAlign w:val="center"/>
          </w:tcPr>
          <w:p w14:paraId="36C6C850">
            <w:pPr>
              <w:spacing w:line="320" w:lineRule="exact"/>
              <w:jc w:val="center"/>
              <w:rPr>
                <w:rFonts w:ascii="仿宋" w:hAnsi="仿宋" w:eastAsia="仿宋" w:cs="仿宋"/>
                <w:b/>
                <w:bCs/>
                <w:color w:val="auto"/>
                <w:kern w:val="0"/>
                <w:sz w:val="24"/>
                <w:szCs w:val="24"/>
              </w:rPr>
            </w:pPr>
          </w:p>
        </w:tc>
      </w:tr>
      <w:tr w14:paraId="2B77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16660D86">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2460" w:type="dxa"/>
            <w:noWrap/>
            <w:vAlign w:val="center"/>
          </w:tcPr>
          <w:p w14:paraId="07D2E157">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投标文件封面、投标函、法定代表人授权委托书三处的项目名称、项目编号、标段（如有）</w:t>
            </w:r>
          </w:p>
        </w:tc>
        <w:tc>
          <w:tcPr>
            <w:tcW w:w="4200" w:type="dxa"/>
            <w:noWrap/>
            <w:vAlign w:val="center"/>
          </w:tcPr>
          <w:p w14:paraId="365452ED">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三处均无遗漏，且与所投项目名称、项目编号、标段（如有）一致。</w:t>
            </w:r>
          </w:p>
        </w:tc>
        <w:tc>
          <w:tcPr>
            <w:tcW w:w="815" w:type="dxa"/>
            <w:noWrap/>
            <w:vAlign w:val="center"/>
          </w:tcPr>
          <w:p w14:paraId="6ED9B539">
            <w:pPr>
              <w:spacing w:line="320" w:lineRule="exact"/>
              <w:jc w:val="center"/>
              <w:rPr>
                <w:rFonts w:ascii="仿宋" w:hAnsi="仿宋" w:eastAsia="仿宋" w:cs="仿宋"/>
                <w:b/>
                <w:bCs/>
                <w:color w:val="auto"/>
                <w:kern w:val="0"/>
                <w:sz w:val="24"/>
                <w:szCs w:val="24"/>
              </w:rPr>
            </w:pPr>
          </w:p>
        </w:tc>
        <w:tc>
          <w:tcPr>
            <w:tcW w:w="990" w:type="dxa"/>
            <w:noWrap/>
            <w:vAlign w:val="center"/>
          </w:tcPr>
          <w:p w14:paraId="4369EDFF">
            <w:pPr>
              <w:spacing w:line="320" w:lineRule="exact"/>
              <w:jc w:val="center"/>
              <w:rPr>
                <w:rFonts w:ascii="仿宋" w:hAnsi="仿宋" w:eastAsia="仿宋" w:cs="仿宋"/>
                <w:b/>
                <w:bCs/>
                <w:color w:val="auto"/>
                <w:kern w:val="0"/>
                <w:sz w:val="24"/>
                <w:szCs w:val="24"/>
              </w:rPr>
            </w:pPr>
          </w:p>
        </w:tc>
      </w:tr>
      <w:tr w14:paraId="222D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DFB3016">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3</w:t>
            </w:r>
          </w:p>
        </w:tc>
        <w:tc>
          <w:tcPr>
            <w:tcW w:w="2460" w:type="dxa"/>
            <w:noWrap/>
            <w:vAlign w:val="center"/>
          </w:tcPr>
          <w:p w14:paraId="63441381">
            <w:pPr>
              <w:spacing w:line="32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投标文件签署、盖章</w:t>
            </w:r>
          </w:p>
        </w:tc>
        <w:tc>
          <w:tcPr>
            <w:tcW w:w="4200" w:type="dxa"/>
            <w:noWrap/>
            <w:vAlign w:val="center"/>
          </w:tcPr>
          <w:p w14:paraId="03DE6930">
            <w:pPr>
              <w:spacing w:line="320" w:lineRule="exact"/>
              <w:jc w:val="left"/>
              <w:rPr>
                <w:rFonts w:ascii="仿宋" w:hAnsi="仿宋" w:eastAsia="仿宋" w:cs="仿宋"/>
                <w:color w:val="auto"/>
                <w:kern w:val="0"/>
                <w:sz w:val="24"/>
                <w:szCs w:val="24"/>
              </w:rPr>
            </w:pPr>
            <w:r>
              <w:rPr>
                <w:rFonts w:hint="eastAsia" w:ascii="仿宋" w:hAnsi="仿宋" w:eastAsia="仿宋" w:cs="仿宋"/>
                <w:color w:val="auto"/>
                <w:sz w:val="24"/>
                <w:szCs w:val="24"/>
              </w:rPr>
              <w:t>均按招标文件要求签字、盖章（评分标准中要求提供的证明材料除外）。</w:t>
            </w:r>
          </w:p>
        </w:tc>
        <w:tc>
          <w:tcPr>
            <w:tcW w:w="815" w:type="dxa"/>
            <w:noWrap/>
            <w:vAlign w:val="center"/>
          </w:tcPr>
          <w:p w14:paraId="40D470D2">
            <w:pPr>
              <w:spacing w:line="320" w:lineRule="exact"/>
              <w:jc w:val="center"/>
              <w:rPr>
                <w:rFonts w:ascii="仿宋" w:hAnsi="仿宋" w:eastAsia="仿宋" w:cs="仿宋"/>
                <w:b/>
                <w:bCs/>
                <w:color w:val="auto"/>
                <w:kern w:val="0"/>
                <w:sz w:val="24"/>
                <w:szCs w:val="24"/>
              </w:rPr>
            </w:pPr>
          </w:p>
        </w:tc>
        <w:tc>
          <w:tcPr>
            <w:tcW w:w="990" w:type="dxa"/>
            <w:noWrap/>
            <w:vAlign w:val="center"/>
          </w:tcPr>
          <w:p w14:paraId="07F0C253">
            <w:pPr>
              <w:spacing w:line="320" w:lineRule="exact"/>
              <w:jc w:val="center"/>
              <w:rPr>
                <w:rFonts w:ascii="仿宋" w:hAnsi="仿宋" w:eastAsia="仿宋" w:cs="仿宋"/>
                <w:b/>
                <w:bCs/>
                <w:color w:val="auto"/>
                <w:kern w:val="0"/>
                <w:sz w:val="24"/>
                <w:szCs w:val="24"/>
              </w:rPr>
            </w:pPr>
          </w:p>
        </w:tc>
      </w:tr>
      <w:tr w14:paraId="7E3F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573" w:type="dxa"/>
            <w:noWrap/>
            <w:vAlign w:val="center"/>
          </w:tcPr>
          <w:p w14:paraId="5B300D6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4</w:t>
            </w:r>
          </w:p>
        </w:tc>
        <w:tc>
          <w:tcPr>
            <w:tcW w:w="2460" w:type="dxa"/>
            <w:noWrap/>
            <w:vAlign w:val="center"/>
          </w:tcPr>
          <w:p w14:paraId="43BD4319">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开标一览表</w:t>
            </w:r>
          </w:p>
        </w:tc>
        <w:tc>
          <w:tcPr>
            <w:tcW w:w="4200" w:type="dxa"/>
            <w:noWrap/>
            <w:vAlign w:val="center"/>
          </w:tcPr>
          <w:p w14:paraId="56C7D2EB">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（1）投标报价符合唯一性要求：</w:t>
            </w:r>
          </w:p>
          <w:p w14:paraId="7DDFF935">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（2）开标一览表填写符合要求；</w:t>
            </w:r>
          </w:p>
          <w:p w14:paraId="0CC11950">
            <w:pPr>
              <w:spacing w:line="320" w:lineRule="exact"/>
              <w:rPr>
                <w:rFonts w:ascii="仿宋" w:hAnsi="仿宋" w:eastAsia="仿宋" w:cs="仿宋"/>
                <w:color w:val="auto"/>
                <w:kern w:val="0"/>
                <w:sz w:val="24"/>
                <w:szCs w:val="24"/>
              </w:rPr>
            </w:pPr>
            <w:r>
              <w:rPr>
                <w:rFonts w:hint="eastAsia" w:ascii="仿宋" w:hAnsi="仿宋" w:eastAsia="仿宋" w:cs="仿宋"/>
                <w:color w:val="auto"/>
                <w:kern w:val="0"/>
                <w:sz w:val="24"/>
                <w:szCs w:val="24"/>
              </w:rPr>
              <w:t>（3）计量单位、报价货币均符合招标文件要求；</w:t>
            </w:r>
          </w:p>
          <w:p w14:paraId="0B505E49">
            <w:pPr>
              <w:spacing w:line="320" w:lineRule="exact"/>
              <w:jc w:val="left"/>
              <w:rPr>
                <w:rFonts w:ascii="仿宋" w:hAnsi="仿宋" w:eastAsia="仿宋" w:cs="仿宋"/>
                <w:color w:val="auto"/>
              </w:rPr>
            </w:pPr>
            <w:r>
              <w:rPr>
                <w:rFonts w:hint="eastAsia" w:ascii="仿宋" w:hAnsi="仿宋" w:eastAsia="仿宋" w:cs="仿宋"/>
                <w:color w:val="auto"/>
                <w:kern w:val="0"/>
                <w:sz w:val="24"/>
                <w:szCs w:val="24"/>
              </w:rPr>
              <w:t>（4）未超出采购预算或招标文件规定的最高限价。</w:t>
            </w:r>
          </w:p>
        </w:tc>
        <w:tc>
          <w:tcPr>
            <w:tcW w:w="815" w:type="dxa"/>
            <w:noWrap/>
            <w:vAlign w:val="center"/>
          </w:tcPr>
          <w:p w14:paraId="59EA7145">
            <w:pPr>
              <w:spacing w:line="320" w:lineRule="exact"/>
              <w:jc w:val="center"/>
              <w:rPr>
                <w:rFonts w:ascii="仿宋" w:hAnsi="仿宋" w:eastAsia="仿宋" w:cs="仿宋"/>
                <w:b/>
                <w:bCs/>
                <w:color w:val="auto"/>
                <w:kern w:val="0"/>
                <w:sz w:val="24"/>
                <w:szCs w:val="24"/>
              </w:rPr>
            </w:pPr>
          </w:p>
        </w:tc>
        <w:tc>
          <w:tcPr>
            <w:tcW w:w="990" w:type="dxa"/>
            <w:noWrap/>
            <w:vAlign w:val="center"/>
          </w:tcPr>
          <w:p w14:paraId="317FFDD2">
            <w:pPr>
              <w:spacing w:line="320" w:lineRule="exact"/>
              <w:jc w:val="center"/>
              <w:rPr>
                <w:rFonts w:ascii="仿宋" w:hAnsi="仿宋" w:eastAsia="仿宋" w:cs="仿宋"/>
                <w:b/>
                <w:bCs/>
                <w:color w:val="auto"/>
                <w:kern w:val="0"/>
                <w:sz w:val="24"/>
                <w:szCs w:val="24"/>
              </w:rPr>
            </w:pPr>
          </w:p>
        </w:tc>
      </w:tr>
      <w:tr w14:paraId="51B5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3BF794C3">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5</w:t>
            </w:r>
          </w:p>
        </w:tc>
        <w:tc>
          <w:tcPr>
            <w:tcW w:w="2460" w:type="dxa"/>
            <w:noWrap/>
            <w:vAlign w:val="center"/>
          </w:tcPr>
          <w:p w14:paraId="359D0F05">
            <w:pPr>
              <w:spacing w:line="360" w:lineRule="exact"/>
              <w:jc w:val="center"/>
              <w:rPr>
                <w:rFonts w:ascii="仿宋" w:hAnsi="仿宋" w:eastAsia="仿宋" w:cs="仿宋"/>
                <w:color w:val="auto"/>
                <w:sz w:val="24"/>
                <w:szCs w:val="24"/>
              </w:rPr>
            </w:pPr>
            <w:r>
              <w:rPr>
                <w:rFonts w:hint="eastAsia" w:ascii="仿宋" w:hAnsi="仿宋" w:eastAsia="仿宋" w:cs="仿宋"/>
                <w:color w:val="auto"/>
                <w:kern w:val="0"/>
                <w:sz w:val="24"/>
                <w:szCs w:val="24"/>
              </w:rPr>
              <w:t>供应商承诺书</w:t>
            </w:r>
          </w:p>
        </w:tc>
        <w:tc>
          <w:tcPr>
            <w:tcW w:w="4200" w:type="dxa"/>
            <w:noWrap/>
            <w:vAlign w:val="center"/>
          </w:tcPr>
          <w:p w14:paraId="2DE04274">
            <w:pPr>
              <w:spacing w:line="370" w:lineRule="exact"/>
              <w:jc w:val="left"/>
              <w:rPr>
                <w:rFonts w:ascii="仿宋" w:hAnsi="仿宋" w:eastAsia="仿宋" w:cs="仿宋"/>
                <w:color w:val="auto"/>
                <w:sz w:val="24"/>
                <w:szCs w:val="24"/>
              </w:rPr>
            </w:pPr>
            <w:r>
              <w:rPr>
                <w:rFonts w:hint="eastAsia" w:ascii="仿宋" w:hAnsi="仿宋" w:eastAsia="仿宋" w:cs="仿宋"/>
                <w:color w:val="auto"/>
                <w:kern w:val="0"/>
                <w:sz w:val="24"/>
                <w:szCs w:val="24"/>
              </w:rPr>
              <w:t>完全理解并接受《质量安全责任承诺书》、《拒绝政府采购领域商业贿赂承诺书》</w:t>
            </w:r>
            <w:r>
              <w:rPr>
                <w:rFonts w:hint="eastAsia" w:ascii="仿宋" w:hAnsi="仿宋" w:eastAsia="仿宋" w:cs="仿宋"/>
                <w:color w:val="auto"/>
                <w:kern w:val="0"/>
                <w:sz w:val="24"/>
                <w:szCs w:val="24"/>
                <w:lang w:val="en-US" w:eastAsia="zh-CN"/>
              </w:rPr>
              <w:t>等全部承诺书</w:t>
            </w:r>
            <w:r>
              <w:rPr>
                <w:rFonts w:hint="eastAsia" w:ascii="仿宋" w:hAnsi="仿宋" w:eastAsia="仿宋" w:cs="仿宋"/>
                <w:color w:val="auto"/>
                <w:kern w:val="0"/>
                <w:sz w:val="24"/>
                <w:szCs w:val="24"/>
              </w:rPr>
              <w:t>。</w:t>
            </w:r>
          </w:p>
        </w:tc>
        <w:tc>
          <w:tcPr>
            <w:tcW w:w="815" w:type="dxa"/>
            <w:noWrap/>
            <w:vAlign w:val="center"/>
          </w:tcPr>
          <w:p w14:paraId="407E9C6F">
            <w:pPr>
              <w:spacing w:line="320" w:lineRule="exact"/>
              <w:jc w:val="center"/>
              <w:rPr>
                <w:rFonts w:ascii="仿宋" w:hAnsi="仿宋" w:eastAsia="仿宋" w:cs="仿宋"/>
                <w:b/>
                <w:bCs/>
                <w:color w:val="auto"/>
                <w:kern w:val="0"/>
                <w:sz w:val="24"/>
                <w:szCs w:val="24"/>
              </w:rPr>
            </w:pPr>
          </w:p>
        </w:tc>
        <w:tc>
          <w:tcPr>
            <w:tcW w:w="990" w:type="dxa"/>
            <w:noWrap/>
            <w:vAlign w:val="center"/>
          </w:tcPr>
          <w:p w14:paraId="1B2DB5A1">
            <w:pPr>
              <w:spacing w:line="320" w:lineRule="exact"/>
              <w:jc w:val="center"/>
              <w:rPr>
                <w:rFonts w:ascii="仿宋" w:hAnsi="仿宋" w:eastAsia="仿宋" w:cs="仿宋"/>
                <w:b/>
                <w:bCs/>
                <w:color w:val="auto"/>
                <w:kern w:val="0"/>
                <w:sz w:val="24"/>
                <w:szCs w:val="24"/>
              </w:rPr>
            </w:pPr>
          </w:p>
        </w:tc>
      </w:tr>
      <w:tr w14:paraId="70C2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3" w:type="dxa"/>
            <w:noWrap/>
            <w:vAlign w:val="center"/>
          </w:tcPr>
          <w:p w14:paraId="1110010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6</w:t>
            </w:r>
          </w:p>
        </w:tc>
        <w:tc>
          <w:tcPr>
            <w:tcW w:w="2460" w:type="dxa"/>
            <w:noWrap/>
            <w:vAlign w:val="center"/>
          </w:tcPr>
          <w:p w14:paraId="302DB3D0">
            <w:pPr>
              <w:spacing w:line="360" w:lineRule="exact"/>
              <w:jc w:val="center"/>
              <w:rPr>
                <w:rFonts w:ascii="仿宋" w:hAnsi="仿宋" w:eastAsia="仿宋" w:cs="仿宋"/>
                <w:color w:val="auto"/>
                <w:kern w:val="0"/>
                <w:sz w:val="24"/>
                <w:szCs w:val="24"/>
              </w:rPr>
            </w:pPr>
            <w:r>
              <w:rPr>
                <w:rFonts w:hint="eastAsia" w:ascii="仿宋" w:hAnsi="仿宋" w:eastAsia="仿宋" w:cs="仿宋"/>
                <w:color w:val="auto"/>
                <w:sz w:val="24"/>
                <w:szCs w:val="24"/>
              </w:rPr>
              <w:t>技术服务要求</w:t>
            </w:r>
          </w:p>
        </w:tc>
        <w:tc>
          <w:tcPr>
            <w:tcW w:w="4200" w:type="dxa"/>
            <w:noWrap/>
            <w:vAlign w:val="center"/>
          </w:tcPr>
          <w:p w14:paraId="2508BA80">
            <w:pPr>
              <w:spacing w:line="370" w:lineRule="exact"/>
              <w:jc w:val="left"/>
              <w:rPr>
                <w:rFonts w:ascii="仿宋" w:hAnsi="仿宋" w:eastAsia="仿宋" w:cs="仿宋"/>
                <w:color w:val="auto"/>
                <w:kern w:val="0"/>
                <w:sz w:val="24"/>
                <w:szCs w:val="24"/>
              </w:rPr>
            </w:pPr>
            <w:r>
              <w:rPr>
                <w:rFonts w:hint="eastAsia" w:ascii="仿宋" w:hAnsi="仿宋" w:eastAsia="仿宋" w:cs="仿宋"/>
                <w:color w:val="auto"/>
                <w:kern w:val="0"/>
                <w:sz w:val="24"/>
                <w:szCs w:val="24"/>
              </w:rPr>
              <w:t>完全理解并接受对合格投标人、合格的货物、工程或服务要求，根据投标人投标文件《技术服务偏差表》，结合招标文件第四章实质性要求没有负偏离。</w:t>
            </w:r>
          </w:p>
        </w:tc>
        <w:tc>
          <w:tcPr>
            <w:tcW w:w="815" w:type="dxa"/>
            <w:noWrap/>
            <w:vAlign w:val="center"/>
          </w:tcPr>
          <w:p w14:paraId="041E0904">
            <w:pPr>
              <w:spacing w:line="320" w:lineRule="exact"/>
              <w:jc w:val="center"/>
              <w:rPr>
                <w:rFonts w:ascii="仿宋" w:hAnsi="仿宋" w:eastAsia="仿宋" w:cs="仿宋"/>
                <w:b/>
                <w:bCs/>
                <w:color w:val="auto"/>
                <w:kern w:val="0"/>
                <w:sz w:val="24"/>
                <w:szCs w:val="24"/>
              </w:rPr>
            </w:pPr>
          </w:p>
        </w:tc>
        <w:tc>
          <w:tcPr>
            <w:tcW w:w="990" w:type="dxa"/>
            <w:noWrap/>
            <w:vAlign w:val="center"/>
          </w:tcPr>
          <w:p w14:paraId="25F30071">
            <w:pPr>
              <w:spacing w:line="320" w:lineRule="exact"/>
              <w:jc w:val="center"/>
              <w:rPr>
                <w:rFonts w:ascii="仿宋" w:hAnsi="仿宋" w:eastAsia="仿宋" w:cs="仿宋"/>
                <w:b/>
                <w:bCs/>
                <w:color w:val="auto"/>
                <w:kern w:val="0"/>
                <w:sz w:val="24"/>
                <w:szCs w:val="24"/>
              </w:rPr>
            </w:pPr>
          </w:p>
        </w:tc>
      </w:tr>
      <w:tr w14:paraId="34ACE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70F49D3C">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7</w:t>
            </w:r>
          </w:p>
        </w:tc>
        <w:tc>
          <w:tcPr>
            <w:tcW w:w="2460" w:type="dxa"/>
            <w:noWrap/>
            <w:vAlign w:val="center"/>
          </w:tcPr>
          <w:p w14:paraId="14F222BC">
            <w:pPr>
              <w:spacing w:line="360" w:lineRule="exact"/>
              <w:jc w:val="center"/>
              <w:rPr>
                <w:rFonts w:ascii="仿宋" w:hAnsi="仿宋" w:eastAsia="仿宋" w:cs="仿宋"/>
                <w:color w:val="auto"/>
                <w:kern w:val="0"/>
                <w:sz w:val="24"/>
                <w:szCs w:val="24"/>
              </w:rPr>
            </w:pPr>
            <w:r>
              <w:rPr>
                <w:rFonts w:hint="eastAsia" w:ascii="仿宋" w:hAnsi="仿宋" w:eastAsia="仿宋" w:cs="仿宋"/>
                <w:color w:val="auto"/>
                <w:sz w:val="24"/>
                <w:szCs w:val="24"/>
              </w:rPr>
              <w:t>无其他招标文件或法规明确规定响应无效的事项</w:t>
            </w:r>
          </w:p>
        </w:tc>
        <w:tc>
          <w:tcPr>
            <w:tcW w:w="4200" w:type="dxa"/>
            <w:noWrap/>
            <w:vAlign w:val="center"/>
          </w:tcPr>
          <w:p w14:paraId="147AF444">
            <w:pPr>
              <w:spacing w:line="370" w:lineRule="exact"/>
              <w:jc w:val="left"/>
              <w:rPr>
                <w:rFonts w:ascii="仿宋" w:hAnsi="仿宋" w:eastAsia="仿宋" w:cs="仿宋"/>
                <w:color w:val="auto"/>
                <w:kern w:val="0"/>
                <w:sz w:val="24"/>
                <w:szCs w:val="24"/>
              </w:rPr>
            </w:pPr>
            <w:r>
              <w:rPr>
                <w:rFonts w:hint="eastAsia" w:ascii="仿宋" w:hAnsi="仿宋" w:eastAsia="仿宋" w:cs="仿宋"/>
                <w:color w:val="auto"/>
                <w:sz w:val="24"/>
                <w:szCs w:val="24"/>
              </w:rPr>
              <w:t>没有不符合招标文件规定的被视为无效响应的其他条款。</w:t>
            </w:r>
          </w:p>
        </w:tc>
        <w:tc>
          <w:tcPr>
            <w:tcW w:w="815" w:type="dxa"/>
            <w:noWrap/>
            <w:vAlign w:val="center"/>
          </w:tcPr>
          <w:p w14:paraId="21B53234">
            <w:pPr>
              <w:spacing w:line="320" w:lineRule="exact"/>
              <w:jc w:val="center"/>
              <w:rPr>
                <w:rFonts w:ascii="仿宋" w:hAnsi="仿宋" w:eastAsia="仿宋" w:cs="仿宋"/>
                <w:b/>
                <w:bCs/>
                <w:color w:val="auto"/>
                <w:kern w:val="0"/>
                <w:sz w:val="24"/>
                <w:szCs w:val="24"/>
              </w:rPr>
            </w:pPr>
          </w:p>
        </w:tc>
        <w:tc>
          <w:tcPr>
            <w:tcW w:w="990" w:type="dxa"/>
            <w:noWrap/>
            <w:vAlign w:val="center"/>
          </w:tcPr>
          <w:p w14:paraId="0B722013">
            <w:pPr>
              <w:spacing w:line="320" w:lineRule="exact"/>
              <w:jc w:val="center"/>
              <w:rPr>
                <w:rFonts w:ascii="仿宋" w:hAnsi="仿宋" w:eastAsia="仿宋" w:cs="仿宋"/>
                <w:b/>
                <w:bCs/>
                <w:color w:val="auto"/>
                <w:kern w:val="0"/>
                <w:sz w:val="24"/>
                <w:szCs w:val="24"/>
              </w:rPr>
            </w:pPr>
          </w:p>
        </w:tc>
      </w:tr>
      <w:tr w14:paraId="3B384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73" w:type="dxa"/>
            <w:noWrap/>
            <w:vAlign w:val="center"/>
          </w:tcPr>
          <w:p w14:paraId="39D892F5">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8</w:t>
            </w:r>
          </w:p>
        </w:tc>
        <w:tc>
          <w:tcPr>
            <w:tcW w:w="2460" w:type="dxa"/>
            <w:noWrap/>
            <w:vAlign w:val="center"/>
          </w:tcPr>
          <w:p w14:paraId="398DB4E1">
            <w:pPr>
              <w:spacing w:line="320" w:lineRule="exact"/>
              <w:jc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合同条款响应</w:t>
            </w:r>
          </w:p>
        </w:tc>
        <w:tc>
          <w:tcPr>
            <w:tcW w:w="4200" w:type="dxa"/>
            <w:noWrap/>
            <w:vAlign w:val="center"/>
          </w:tcPr>
          <w:p w14:paraId="01503241">
            <w:pPr>
              <w:spacing w:line="320" w:lineRule="exact"/>
              <w:rPr>
                <w:rFonts w:ascii="仿宋" w:hAnsi="仿宋" w:eastAsia="仿宋" w:cs="仿宋"/>
                <w:color w:val="auto"/>
                <w:sz w:val="24"/>
                <w:szCs w:val="24"/>
              </w:rPr>
            </w:pPr>
            <w:r>
              <w:rPr>
                <w:rFonts w:hint="eastAsia" w:ascii="仿宋" w:hAnsi="仿宋" w:eastAsia="仿宋" w:cs="仿宋"/>
                <w:color w:val="auto"/>
                <w:sz w:val="24"/>
                <w:szCs w:val="24"/>
              </w:rPr>
              <w:t>有完全理解并接受招标文件合同条款要求的描述。</w:t>
            </w:r>
          </w:p>
        </w:tc>
        <w:tc>
          <w:tcPr>
            <w:tcW w:w="815" w:type="dxa"/>
            <w:noWrap/>
            <w:vAlign w:val="center"/>
          </w:tcPr>
          <w:p w14:paraId="2C20A5C7">
            <w:pPr>
              <w:spacing w:line="320" w:lineRule="exact"/>
              <w:jc w:val="center"/>
              <w:rPr>
                <w:rFonts w:ascii="仿宋" w:hAnsi="仿宋" w:eastAsia="仿宋" w:cs="仿宋"/>
                <w:b/>
                <w:bCs/>
                <w:color w:val="auto"/>
                <w:kern w:val="0"/>
                <w:sz w:val="24"/>
                <w:szCs w:val="24"/>
              </w:rPr>
            </w:pPr>
          </w:p>
        </w:tc>
        <w:tc>
          <w:tcPr>
            <w:tcW w:w="990" w:type="dxa"/>
            <w:noWrap/>
            <w:vAlign w:val="center"/>
          </w:tcPr>
          <w:p w14:paraId="77B9CBD9">
            <w:pPr>
              <w:spacing w:line="320" w:lineRule="exact"/>
              <w:jc w:val="center"/>
              <w:rPr>
                <w:rFonts w:ascii="仿宋" w:hAnsi="仿宋" w:eastAsia="仿宋" w:cs="仿宋"/>
                <w:b/>
                <w:bCs/>
                <w:color w:val="auto"/>
                <w:kern w:val="0"/>
                <w:sz w:val="24"/>
                <w:szCs w:val="24"/>
              </w:rPr>
            </w:pPr>
          </w:p>
        </w:tc>
      </w:tr>
      <w:tr w14:paraId="34AF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038" w:type="dxa"/>
            <w:gridSpan w:val="5"/>
            <w:noWrap/>
            <w:vAlign w:val="center"/>
          </w:tcPr>
          <w:p w14:paraId="11B62312">
            <w:pPr>
              <w:spacing w:line="240" w:lineRule="auto"/>
              <w:rPr>
                <w:rFonts w:ascii="仿宋" w:hAnsi="仿宋" w:eastAsia="仿宋" w:cs="仿宋"/>
                <w:b/>
                <w:bCs/>
                <w:color w:val="auto"/>
                <w:kern w:val="0"/>
                <w:sz w:val="24"/>
                <w:szCs w:val="24"/>
              </w:rPr>
            </w:pPr>
            <w:r>
              <w:rPr>
                <w:rFonts w:hint="eastAsia" w:ascii="仿宋" w:hAnsi="仿宋" w:eastAsia="仿宋" w:cs="仿宋"/>
                <w:b/>
                <w:bCs/>
                <w:color w:val="auto"/>
                <w:kern w:val="0"/>
                <w:sz w:val="24"/>
                <w:szCs w:val="24"/>
              </w:rPr>
              <w:t>评标委员会成员：（签字或盖章）</w:t>
            </w:r>
          </w:p>
        </w:tc>
      </w:tr>
    </w:tbl>
    <w:p w14:paraId="341BA060">
      <w:pPr>
        <w:pStyle w:val="9"/>
        <w:rPr>
          <w:color w:val="auto"/>
        </w:rPr>
      </w:pPr>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14:paraId="701F4249">
      <w:pPr>
        <w:pStyle w:val="3"/>
        <w:numPr>
          <w:ilvl w:val="0"/>
          <w:numId w:val="0"/>
        </w:numPr>
        <w:spacing w:line="500" w:lineRule="exact"/>
        <w:ind w:leftChars="200"/>
        <w:rPr>
          <w:rFonts w:hint="eastAsia" w:ascii="仿宋_GB2312" w:hAnsi="宋体" w:eastAsia="仿宋_GB2312"/>
          <w:b/>
          <w:bCs/>
          <w:kern w:val="0"/>
          <w:sz w:val="30"/>
          <w:szCs w:val="30"/>
          <w:lang w:val="en-US" w:eastAsia="zh-CN"/>
        </w:rPr>
      </w:pPr>
      <w:bookmarkStart w:id="511" w:name="_Toc13365"/>
      <w:bookmarkEnd w:id="511"/>
      <w:bookmarkStart w:id="512" w:name="_Toc31427"/>
      <w:bookmarkEnd w:id="512"/>
      <w:bookmarkStart w:id="513" w:name="_Toc15518"/>
      <w:bookmarkEnd w:id="513"/>
      <w:bookmarkStart w:id="514" w:name="_Toc16017"/>
      <w:bookmarkEnd w:id="514"/>
      <w:bookmarkStart w:id="515" w:name="_Toc27968"/>
      <w:bookmarkEnd w:id="515"/>
      <w:r>
        <w:rPr>
          <w:rFonts w:hint="eastAsia" w:ascii="华文仿宋" w:hAnsi="华文仿宋" w:cs="华文仿宋"/>
          <w:color w:val="auto"/>
          <w:sz w:val="28"/>
          <w:szCs w:val="28"/>
          <w:lang w:val="en-US" w:eastAsia="zh-CN"/>
        </w:rPr>
        <w:t>三、</w:t>
      </w:r>
      <w:r>
        <w:rPr>
          <w:rFonts w:hint="eastAsia" w:ascii="华文仿宋" w:hAnsi="华文仿宋" w:cs="华文仿宋"/>
          <w:color w:val="auto"/>
          <w:sz w:val="28"/>
          <w:szCs w:val="28"/>
        </w:rPr>
        <w:t>综合比较与评价</w:t>
      </w:r>
      <w:bookmarkStart w:id="516" w:name="_Toc445306493"/>
      <w:bookmarkStart w:id="517" w:name="_Toc11030"/>
      <w:bookmarkStart w:id="518" w:name="_Toc372"/>
      <w:bookmarkStart w:id="519" w:name="_Toc27328"/>
      <w:bookmarkStart w:id="520" w:name="_Toc23568"/>
      <w:bookmarkStart w:id="521" w:name="_Toc495014954"/>
      <w:bookmarkStart w:id="522" w:name="_Toc495014649"/>
      <w:bookmarkStart w:id="523" w:name="_Toc21068"/>
      <w:bookmarkStart w:id="524" w:name="_Toc12809"/>
      <w:bookmarkStart w:id="525" w:name="_Toc495014611"/>
      <w:bookmarkStart w:id="526" w:name="_Toc495012771"/>
      <w:bookmarkStart w:id="527" w:name="_Toc495014585"/>
      <w:bookmarkStart w:id="528" w:name="_Toc21783"/>
      <w:bookmarkStart w:id="529" w:name="_Toc32235"/>
      <w:bookmarkStart w:id="530" w:name="_Toc28622"/>
      <w:bookmarkStart w:id="531" w:name="_Toc26151"/>
      <w:bookmarkStart w:id="532" w:name="_Toc495012821"/>
      <w:bookmarkStart w:id="533" w:name="_Toc424636365"/>
      <w:bookmarkStart w:id="534" w:name="_Toc5275"/>
      <w:bookmarkStart w:id="535" w:name="_Toc495014920"/>
    </w:p>
    <w:p w14:paraId="3E846A45">
      <w:pPr>
        <w:pStyle w:val="78"/>
        <w:widowControl/>
        <w:topLinePunct/>
        <w:autoSpaceDE w:val="0"/>
        <w:autoSpaceDN w:val="0"/>
        <w:adjustRightInd w:val="0"/>
        <w:snapToGrid w:val="0"/>
        <w:spacing w:before="78" w:line="247" w:lineRule="auto"/>
        <w:ind w:right="131"/>
        <w:jc w:val="center"/>
        <w:rPr>
          <w:rFonts w:hint="eastAsia" w:ascii="仿宋" w:hAnsi="仿宋" w:eastAsia="仿宋" w:cs="仿宋"/>
          <w:b/>
          <w:bCs/>
          <w:color w:val="000000"/>
          <w:spacing w:val="-1"/>
          <w:kern w:val="0"/>
          <w:sz w:val="32"/>
          <w:szCs w:val="32"/>
          <w:lang w:eastAsia="zh-CN"/>
        </w:rPr>
      </w:pPr>
      <w:r>
        <w:rPr>
          <w:rFonts w:hint="eastAsia" w:ascii="仿宋" w:hAnsi="仿宋" w:eastAsia="仿宋" w:cs="仿宋"/>
          <w:b/>
          <w:bCs/>
          <w:color w:val="000000"/>
          <w:spacing w:val="-1"/>
          <w:kern w:val="0"/>
          <w:sz w:val="32"/>
          <w:szCs w:val="32"/>
          <w:lang w:eastAsia="zh-CN"/>
        </w:rPr>
        <w:t>评审要素及分值一览表</w:t>
      </w:r>
    </w:p>
    <w:tbl>
      <w:tblPr>
        <w:tblStyle w:val="29"/>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837"/>
        <w:gridCol w:w="804"/>
        <w:gridCol w:w="7082"/>
      </w:tblGrid>
      <w:tr w14:paraId="3671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4EC5D68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b/>
                <w:bCs w:val="0"/>
                <w:color w:val="auto"/>
                <w:sz w:val="24"/>
                <w:szCs w:val="24"/>
                <w:highlight w:val="none"/>
                <w:lang w:val="en-US" w:eastAsia="zh-CN"/>
              </w:rPr>
            </w:pPr>
            <w:r>
              <w:rPr>
                <w:rFonts w:hint="eastAsia" w:ascii="仿宋_GB2312" w:hAnsi="仿宋_GB2312" w:eastAsia="仿宋_GB2312" w:cs="仿宋_GB2312"/>
                <w:b/>
                <w:bCs w:val="0"/>
                <w:color w:val="auto"/>
                <w:sz w:val="24"/>
                <w:szCs w:val="24"/>
                <w:highlight w:val="none"/>
                <w:lang w:val="en-US" w:eastAsia="zh-CN"/>
              </w:rPr>
              <w:t>序号</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0EFA784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lang w:val="en-US" w:eastAsia="zh-CN"/>
              </w:rPr>
              <w:t>评审项目</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5E9D116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b/>
                <w:bCs w:val="0"/>
                <w:color w:val="auto"/>
                <w:sz w:val="24"/>
                <w:szCs w:val="24"/>
                <w:highlight w:val="none"/>
                <w:lang w:val="en-US" w:eastAsia="zh-CN"/>
              </w:rPr>
            </w:pPr>
            <w:r>
              <w:rPr>
                <w:rFonts w:hint="eastAsia" w:ascii="仿宋_GB2312" w:hAnsi="仿宋_GB2312" w:eastAsia="仿宋_GB2312" w:cs="仿宋_GB2312"/>
                <w:b/>
                <w:bCs w:val="0"/>
                <w:color w:val="auto"/>
                <w:sz w:val="24"/>
                <w:szCs w:val="24"/>
                <w:highlight w:val="none"/>
                <w:lang w:val="en-US" w:eastAsia="zh-CN"/>
              </w:rPr>
              <w:t>标准</w:t>
            </w:r>
          </w:p>
          <w:p w14:paraId="3F1A438F">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b/>
                <w:bCs w:val="0"/>
                <w:color w:val="auto"/>
                <w:sz w:val="24"/>
                <w:szCs w:val="24"/>
                <w:highlight w:val="none"/>
                <w:lang w:val="en-US" w:eastAsia="zh-CN"/>
              </w:rPr>
            </w:pPr>
            <w:r>
              <w:rPr>
                <w:rFonts w:hint="eastAsia" w:ascii="仿宋_GB2312" w:hAnsi="仿宋_GB2312" w:eastAsia="仿宋_GB2312" w:cs="仿宋_GB2312"/>
                <w:b/>
                <w:bCs w:val="0"/>
                <w:color w:val="auto"/>
                <w:sz w:val="24"/>
                <w:szCs w:val="24"/>
                <w:highlight w:val="none"/>
                <w:lang w:val="en-US" w:eastAsia="zh-CN"/>
              </w:rPr>
              <w:t>分值</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1E275800">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仿宋_GB2312" w:hAnsi="仿宋_GB2312" w:eastAsia="仿宋_GB2312" w:cs="仿宋_GB2312"/>
                <w:b/>
                <w:bCs w:val="0"/>
                <w:color w:val="auto"/>
                <w:sz w:val="24"/>
                <w:szCs w:val="24"/>
                <w:highlight w:val="none"/>
                <w:lang w:eastAsia="zh-CN"/>
              </w:rPr>
            </w:pPr>
            <w:r>
              <w:rPr>
                <w:rFonts w:hint="eastAsia" w:ascii="仿宋_GB2312" w:hAnsi="仿宋_GB2312" w:eastAsia="仿宋_GB2312" w:cs="仿宋_GB2312"/>
                <w:b/>
                <w:bCs w:val="0"/>
                <w:color w:val="auto"/>
                <w:sz w:val="24"/>
                <w:szCs w:val="24"/>
                <w:highlight w:val="none"/>
                <w:lang w:val="en-US" w:eastAsia="zh-CN"/>
              </w:rPr>
              <w:t>评分标准</w:t>
            </w:r>
          </w:p>
        </w:tc>
      </w:tr>
      <w:tr w14:paraId="48228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478C4801">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34BDC2FA">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投标报价</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0DCF5D63">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10分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0F111AF0">
            <w:pPr>
              <w:keepNext w:val="0"/>
              <w:keepLines w:val="0"/>
              <w:pageBreakBefore w:val="0"/>
              <w:widowControl/>
              <w:kinsoku/>
              <w:wordWrap/>
              <w:overflowPunct/>
              <w:topLinePunct w:val="0"/>
              <w:bidi w:val="0"/>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bidi="ar"/>
              </w:rPr>
              <w:t>有效投标人的最低报价为基准价得</w:t>
            </w:r>
            <w:r>
              <w:rPr>
                <w:rFonts w:hint="eastAsia" w:ascii="仿宋_GB2312" w:hAnsi="仿宋_GB2312" w:eastAsia="仿宋_GB2312" w:cs="仿宋_GB2312"/>
                <w:color w:val="auto"/>
                <w:kern w:val="0"/>
                <w:sz w:val="24"/>
                <w:szCs w:val="24"/>
                <w:highlight w:val="none"/>
                <w:lang w:val="en-US" w:eastAsia="zh-CN" w:bidi="ar"/>
              </w:rPr>
              <w:t>10</w:t>
            </w:r>
            <w:r>
              <w:rPr>
                <w:rFonts w:hint="eastAsia" w:ascii="仿宋_GB2312" w:hAnsi="仿宋_GB2312" w:eastAsia="仿宋_GB2312" w:cs="仿宋_GB2312"/>
                <w:color w:val="auto"/>
                <w:kern w:val="0"/>
                <w:sz w:val="24"/>
                <w:szCs w:val="24"/>
                <w:highlight w:val="none"/>
                <w:lang w:bidi="ar"/>
              </w:rPr>
              <w:t>分，其他各投标人的报价得分按下列公式计算：（基准价/投标报价）×</w:t>
            </w:r>
            <w:r>
              <w:rPr>
                <w:rFonts w:hint="eastAsia" w:ascii="仿宋_GB2312" w:hAnsi="仿宋_GB2312" w:eastAsia="仿宋_GB2312" w:cs="仿宋_GB2312"/>
                <w:color w:val="auto"/>
                <w:spacing w:val="-6"/>
                <w:sz w:val="24"/>
                <w:szCs w:val="24"/>
                <w:highlight w:val="none"/>
                <w:lang w:val="en-US" w:eastAsia="zh-CN"/>
              </w:rPr>
              <w:t>10</w:t>
            </w:r>
            <w:r>
              <w:rPr>
                <w:rFonts w:hint="eastAsia" w:ascii="仿宋_GB2312" w:hAnsi="仿宋_GB2312" w:eastAsia="仿宋_GB2312" w:cs="仿宋_GB2312"/>
                <w:color w:val="auto"/>
                <w:kern w:val="0"/>
                <w:sz w:val="24"/>
                <w:szCs w:val="24"/>
                <w:highlight w:val="none"/>
                <w:lang w:val="en-US" w:eastAsia="zh-CN" w:bidi="ar"/>
              </w:rPr>
              <w:t>%</w:t>
            </w:r>
            <w:r>
              <w:rPr>
                <w:rFonts w:hint="eastAsia" w:ascii="仿宋_GB2312" w:hAnsi="仿宋_GB2312" w:eastAsia="仿宋_GB2312" w:cs="仿宋_GB2312"/>
                <w:color w:val="auto"/>
                <w:kern w:val="0"/>
                <w:sz w:val="24"/>
                <w:szCs w:val="24"/>
                <w:highlight w:val="none"/>
                <w:lang w:bidi="ar"/>
              </w:rPr>
              <w:t>×100。</w:t>
            </w:r>
          </w:p>
        </w:tc>
      </w:tr>
      <w:tr w14:paraId="1DEF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40D20F48">
            <w:pPr>
              <w:keepNext w:val="0"/>
              <w:keepLines w:val="0"/>
              <w:pageBreakBefore w:val="0"/>
              <w:widowControl/>
              <w:kinsoku/>
              <w:wordWrap/>
              <w:overflowPunct/>
              <w:topLinePunct w:val="0"/>
              <w:bidi w:val="0"/>
              <w:snapToGrid w:val="0"/>
              <w:spacing w:line="360" w:lineRule="auto"/>
              <w:ind w:left="0" w:leftChars="0" w:right="0" w:righ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6A766B0C">
            <w:pPr>
              <w:keepNext w:val="0"/>
              <w:keepLines w:val="0"/>
              <w:pageBreakBefore w:val="0"/>
              <w:widowControl/>
              <w:kinsoku/>
              <w:wordWrap/>
              <w:overflowPunct/>
              <w:topLinePunct w:val="0"/>
              <w:bidi w:val="0"/>
              <w:snapToGrid w:val="0"/>
              <w:spacing w:line="360" w:lineRule="auto"/>
              <w:ind w:left="0" w:leftChars="0" w:right="0" w:rightChars="0" w:firstLine="0" w:firstLineChars="0"/>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业绩</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7229DD22">
            <w:pPr>
              <w:keepNext w:val="0"/>
              <w:keepLines w:val="0"/>
              <w:pageBreakBefore w:val="0"/>
              <w:widowControl/>
              <w:kinsoku/>
              <w:wordWrap/>
              <w:overflowPunct/>
              <w:topLinePunct w:val="0"/>
              <w:bidi w:val="0"/>
              <w:snapToGrid w:val="0"/>
              <w:spacing w:line="360" w:lineRule="auto"/>
              <w:ind w:left="0" w:leftChars="0" w:right="0" w:righ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60BE3B2B">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提供202</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年1月1日以来类似的项目业绩（以合同签订日期为准），每份合格业绩合同计</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分，满分</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w:t>
            </w:r>
          </w:p>
          <w:p w14:paraId="1A6C5302">
            <w:pPr>
              <w:keepNext w:val="0"/>
              <w:keepLines w:val="0"/>
              <w:pageBreakBefore w:val="0"/>
              <w:widowControl/>
              <w:kinsoku/>
              <w:wordWrap/>
              <w:overflowPunct/>
              <w:topLinePunct w:val="0"/>
              <w:bidi w:val="0"/>
              <w:adjustRightInd w:val="0"/>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备注：需提供完整业绩合同及对应发票复印件（发票可提供服务期内任意一张），并加盖供应商公章，以上两种证明材料同时提供方可得分，否则不得分。</w:t>
            </w:r>
          </w:p>
        </w:tc>
      </w:tr>
      <w:tr w14:paraId="5F43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0044B7E4">
            <w:pPr>
              <w:keepNext w:val="0"/>
              <w:keepLines w:val="0"/>
              <w:pageBreakBefore w:val="0"/>
              <w:widowControl/>
              <w:kinsoku/>
              <w:wordWrap/>
              <w:overflowPunct/>
              <w:topLinePunct w:val="0"/>
              <w:bidi w:val="0"/>
              <w:snapToGrid w:val="0"/>
              <w:spacing w:line="360" w:lineRule="auto"/>
              <w:ind w:left="0" w:leftChars="0" w:right="0" w:righ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5CE8C3B1">
            <w:pPr>
              <w:keepNext w:val="0"/>
              <w:keepLines w:val="0"/>
              <w:pageBreakBefore w:val="0"/>
              <w:widowControl/>
              <w:kinsoku/>
              <w:wordWrap/>
              <w:overflowPunct/>
              <w:topLinePunct w:val="0"/>
              <w:bidi w:val="0"/>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服务方案</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3AA64A7C">
            <w:pPr>
              <w:keepNext w:val="0"/>
              <w:keepLines w:val="0"/>
              <w:pageBreakBefore w:val="0"/>
              <w:widowControl/>
              <w:kinsoku/>
              <w:wordWrap/>
              <w:overflowPunct/>
              <w:topLinePunct w:val="0"/>
              <w:bidi w:val="0"/>
              <w:snapToGrid w:val="0"/>
              <w:spacing w:line="360" w:lineRule="auto"/>
              <w:ind w:left="0" w:leftChars="0" w:right="0" w:righ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18分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1047A86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b/>
                <w:bCs/>
                <w:color w:val="auto"/>
                <w:sz w:val="24"/>
                <w:szCs w:val="24"/>
                <w:highlight w:val="none"/>
              </w:rPr>
            </w:pPr>
            <w:bookmarkStart w:id="536" w:name="OLE_LINK1"/>
            <w:r>
              <w:rPr>
                <w:rFonts w:hint="eastAsia" w:ascii="仿宋_GB2312" w:hAnsi="仿宋_GB2312" w:eastAsia="仿宋_GB2312" w:cs="仿宋_GB2312"/>
                <w:b/>
                <w:bCs/>
                <w:color w:val="auto"/>
                <w:sz w:val="24"/>
                <w:szCs w:val="24"/>
                <w:highlight w:val="none"/>
              </w:rPr>
              <w:t>一、评审内容</w:t>
            </w:r>
          </w:p>
          <w:p w14:paraId="378BF9F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投标人需充分了解延安市自然资源局中心城区现状地形图测绘项目，</w:t>
            </w:r>
            <w:bookmarkEnd w:id="536"/>
            <w:r>
              <w:rPr>
                <w:rFonts w:hint="eastAsia" w:ascii="仿宋_GB2312" w:hAnsi="仿宋_GB2312" w:eastAsia="仿宋_GB2312" w:cs="仿宋_GB2312"/>
                <w:color w:val="auto"/>
                <w:sz w:val="24"/>
                <w:szCs w:val="24"/>
                <w:highlight w:val="none"/>
                <w:lang w:val="en-US" w:eastAsia="zh-CN"/>
              </w:rPr>
              <w:t>提供本项目服务方案，</w:t>
            </w:r>
            <w:r>
              <w:rPr>
                <w:rFonts w:hint="eastAsia" w:ascii="仿宋_GB2312" w:hAnsi="仿宋_GB2312" w:eastAsia="仿宋_GB2312" w:cs="仿宋_GB2312"/>
                <w:color w:val="auto"/>
                <w:sz w:val="24"/>
                <w:szCs w:val="24"/>
                <w:highlight w:val="none"/>
              </w:rPr>
              <w:t>方案内容包括：</w:t>
            </w:r>
            <w:r>
              <w:rPr>
                <w:rFonts w:hint="eastAsia" w:ascii="仿宋_GB2312" w:hAnsi="仿宋_GB2312" w:eastAsia="仿宋_GB2312" w:cs="仿宋_GB2312"/>
                <w:color w:val="auto"/>
                <w:sz w:val="24"/>
                <w:szCs w:val="24"/>
                <w:highlight w:val="none"/>
                <w:lang w:eastAsia="zh-CN"/>
              </w:rPr>
              <w:t>①</w:t>
            </w:r>
            <w:r>
              <w:rPr>
                <w:rFonts w:hint="eastAsia" w:ascii="仿宋_GB2312" w:hAnsi="仿宋_GB2312" w:eastAsia="仿宋_GB2312" w:cs="仿宋_GB2312"/>
                <w:color w:val="auto"/>
                <w:sz w:val="24"/>
                <w:szCs w:val="24"/>
                <w:highlight w:val="none"/>
                <w:lang w:val="en-US" w:eastAsia="zh-CN"/>
              </w:rPr>
              <w:t>对项目的理解；②工作流程；③技术路线；④服务团队；⑤预期成果；⑥成果应用。</w:t>
            </w:r>
          </w:p>
          <w:p w14:paraId="12C8AC5C">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二、评审标准</w:t>
            </w:r>
          </w:p>
          <w:p w14:paraId="387E201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1.完整性：方案必须全面，对评审内容中的各项要求有详细描述；</w:t>
            </w:r>
          </w:p>
          <w:p w14:paraId="7E5B1AC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2.合理性：方案能够紧扣项目实际情况，内容合理可行；</w:t>
            </w:r>
          </w:p>
          <w:p w14:paraId="6CB371E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3.可操作性：方案步骤具体明确，在现实条件下能够顺利实施，具有较强的实践指导意义。</w:t>
            </w:r>
          </w:p>
          <w:p w14:paraId="0795DE1E">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三、赋分标准（满分18分）</w:t>
            </w:r>
          </w:p>
          <w:p w14:paraId="65725DF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1.对项目的理解：每满足一项评审标准得1分，满分3分；</w:t>
            </w:r>
          </w:p>
          <w:p w14:paraId="323A9F93">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2.工作流程：每满足一项评审标准得1分，满分3分；</w:t>
            </w:r>
          </w:p>
          <w:p w14:paraId="67FE3C5A">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3.技术路线：每满足一项评审标准得1分，满分3分；</w:t>
            </w:r>
          </w:p>
          <w:p w14:paraId="7B2478B8">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4.服务团队：每满足一项评审标准得1分，满分3分；</w:t>
            </w:r>
          </w:p>
          <w:p w14:paraId="3AAA9080">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5.预期成果：每满足一项评审标准得1分，满分3分；</w:t>
            </w:r>
          </w:p>
          <w:p w14:paraId="79ABCFE5">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6.成果应用：每满足一项评审标准得1分，满分3分；</w:t>
            </w:r>
          </w:p>
          <w:p w14:paraId="44EE62B9">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根据每个评审标准的详实、完整程度，自主赋分，满分18分。</w:t>
            </w:r>
          </w:p>
        </w:tc>
      </w:tr>
      <w:tr w14:paraId="6C2E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7" w:hRule="atLeast"/>
          <w:tblHeader/>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7028F4F3">
            <w:pPr>
              <w:keepNext w:val="0"/>
              <w:keepLines w:val="0"/>
              <w:pageBreakBefore w:val="0"/>
              <w:wordWrap/>
              <w:overflowPunct/>
              <w:topLinePunct w:val="0"/>
              <w:bidi w:val="0"/>
              <w:snapToGrid w:val="0"/>
              <w:spacing w:after="0" w:line="36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36CC5D89">
            <w:pPr>
              <w:keepNext w:val="0"/>
              <w:keepLines w:val="0"/>
              <w:pageBreakBefore w:val="0"/>
              <w:wordWrap/>
              <w:overflowPunct/>
              <w:topLinePunct w:val="0"/>
              <w:bidi w:val="0"/>
              <w:snapToGrid w:val="0"/>
              <w:spacing w:after="0" w:line="36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进度保障方案</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0A855CD9">
            <w:pPr>
              <w:keepNext w:val="0"/>
              <w:keepLines w:val="0"/>
              <w:pageBreakBefore w:val="0"/>
              <w:wordWrap/>
              <w:overflowPunct/>
              <w:topLinePunct w:val="0"/>
              <w:bidi w:val="0"/>
              <w:snapToGrid w:val="0"/>
              <w:spacing w:after="0" w:line="36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6分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61A9D8CB">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
                <w:bCs w:val="0"/>
                <w:color w:val="auto"/>
                <w:sz w:val="24"/>
                <w:szCs w:val="24"/>
                <w:highlight w:val="none"/>
                <w:lang w:eastAsia="zh-CN"/>
              </w:rPr>
            </w:pPr>
            <w:r>
              <w:rPr>
                <w:rFonts w:hint="eastAsia" w:ascii="仿宋_GB2312" w:hAnsi="仿宋_GB2312" w:eastAsia="仿宋_GB2312" w:cs="仿宋_GB2312"/>
                <w:b/>
                <w:bCs w:val="0"/>
                <w:color w:val="auto"/>
                <w:sz w:val="24"/>
                <w:szCs w:val="24"/>
                <w:highlight w:val="none"/>
                <w:lang w:eastAsia="zh-CN"/>
              </w:rPr>
              <w:t>一、评审内容</w:t>
            </w:r>
          </w:p>
          <w:p w14:paraId="520CC610">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针对本项目提出适用于本项目的进度保障方案，方案包括：</w:t>
            </w:r>
            <w:r>
              <w:rPr>
                <w:rFonts w:hint="eastAsia" w:ascii="仿宋_GB2312" w:hAnsi="仿宋_GB2312" w:eastAsia="仿宋_GB2312" w:cs="仿宋_GB2312"/>
                <w:b w:val="0"/>
                <w:bCs/>
                <w:color w:val="auto"/>
                <w:sz w:val="24"/>
                <w:szCs w:val="24"/>
                <w:highlight w:val="none"/>
                <w:lang w:eastAsia="zh-CN"/>
              </w:rPr>
              <w:t>①</w:t>
            </w:r>
            <w:r>
              <w:rPr>
                <w:rFonts w:hint="eastAsia" w:ascii="仿宋_GB2312" w:hAnsi="仿宋_GB2312" w:eastAsia="仿宋_GB2312" w:cs="仿宋_GB2312"/>
                <w:bCs/>
                <w:color w:val="auto"/>
                <w:sz w:val="24"/>
                <w:szCs w:val="24"/>
                <w:highlight w:val="none"/>
                <w:lang w:val="en-US" w:eastAsia="zh-CN"/>
              </w:rPr>
              <w:t>项目实施进度计划；②项目进度保障措施。</w:t>
            </w:r>
          </w:p>
          <w:p w14:paraId="74B149E0">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
                <w:bCs w:val="0"/>
                <w:color w:val="auto"/>
                <w:sz w:val="24"/>
                <w:szCs w:val="24"/>
                <w:highlight w:val="none"/>
                <w:lang w:val="en-US" w:eastAsia="zh-CN"/>
              </w:rPr>
            </w:pPr>
            <w:r>
              <w:rPr>
                <w:rFonts w:hint="eastAsia" w:ascii="仿宋_GB2312" w:hAnsi="仿宋_GB2312" w:eastAsia="仿宋_GB2312" w:cs="仿宋_GB2312"/>
                <w:b/>
                <w:bCs w:val="0"/>
                <w:color w:val="auto"/>
                <w:sz w:val="24"/>
                <w:szCs w:val="24"/>
                <w:highlight w:val="none"/>
                <w:lang w:val="en-US" w:eastAsia="zh-CN"/>
              </w:rPr>
              <w:t>二、评审标准</w:t>
            </w:r>
          </w:p>
          <w:p w14:paraId="796D692A">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1.完整性：方案必须全面，对评审内容中的各项要求有详细描述；</w:t>
            </w:r>
          </w:p>
          <w:p w14:paraId="0FFA426D">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2.可实施性：切合项目实际情况，提出步骤清晰、明确的保障方案；</w:t>
            </w:r>
          </w:p>
          <w:p w14:paraId="028E2349">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3.合理性：方案的制定基于合理的任务分解，各任务的时间估算准确，考虑了资源的可用性和任务之间的逻辑关系。</w:t>
            </w:r>
          </w:p>
          <w:p w14:paraId="0B7C3028">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
                <w:bCs w:val="0"/>
                <w:color w:val="auto"/>
                <w:sz w:val="24"/>
                <w:szCs w:val="24"/>
                <w:highlight w:val="none"/>
              </w:rPr>
            </w:pPr>
            <w:r>
              <w:rPr>
                <w:rFonts w:hint="eastAsia" w:ascii="仿宋_GB2312" w:hAnsi="仿宋_GB2312" w:eastAsia="仿宋_GB2312" w:cs="仿宋_GB2312"/>
                <w:b/>
                <w:bCs w:val="0"/>
                <w:color w:val="auto"/>
                <w:sz w:val="24"/>
                <w:szCs w:val="24"/>
                <w:highlight w:val="none"/>
                <w:lang w:val="en-US" w:eastAsia="zh-CN"/>
              </w:rPr>
              <w:t>三、</w:t>
            </w:r>
            <w:r>
              <w:rPr>
                <w:rFonts w:hint="eastAsia" w:ascii="仿宋_GB2312" w:hAnsi="仿宋_GB2312" w:eastAsia="仿宋_GB2312" w:cs="仿宋_GB2312"/>
                <w:b/>
                <w:bCs w:val="0"/>
                <w:color w:val="auto"/>
                <w:sz w:val="24"/>
                <w:szCs w:val="24"/>
                <w:highlight w:val="none"/>
              </w:rPr>
              <w:t>赋分标准（满分</w:t>
            </w:r>
            <w:r>
              <w:rPr>
                <w:rFonts w:hint="eastAsia" w:ascii="仿宋_GB2312" w:hAnsi="仿宋_GB2312" w:eastAsia="仿宋_GB2312" w:cs="仿宋_GB2312"/>
                <w:b/>
                <w:bCs w:val="0"/>
                <w:color w:val="auto"/>
                <w:sz w:val="24"/>
                <w:szCs w:val="24"/>
                <w:highlight w:val="none"/>
                <w:lang w:val="en-US" w:eastAsia="zh-CN"/>
              </w:rPr>
              <w:t>6</w:t>
            </w:r>
            <w:r>
              <w:rPr>
                <w:rFonts w:hint="eastAsia" w:ascii="仿宋_GB2312" w:hAnsi="仿宋_GB2312" w:eastAsia="仿宋_GB2312" w:cs="仿宋_GB2312"/>
                <w:b/>
                <w:bCs w:val="0"/>
                <w:color w:val="auto"/>
                <w:sz w:val="24"/>
                <w:szCs w:val="24"/>
                <w:highlight w:val="none"/>
              </w:rPr>
              <w:t>分）</w:t>
            </w:r>
          </w:p>
          <w:p w14:paraId="3031ECD4">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1.项目实施进度计划：每满足一项</w:t>
            </w:r>
            <w:r>
              <w:rPr>
                <w:rFonts w:hint="eastAsia" w:ascii="仿宋_GB2312" w:hAnsi="仿宋_GB2312" w:eastAsia="仿宋_GB2312" w:cs="仿宋_GB2312"/>
                <w:color w:val="auto"/>
                <w:sz w:val="24"/>
                <w:szCs w:val="24"/>
                <w:highlight w:val="none"/>
                <w:lang w:val="en-US" w:eastAsia="zh-CN"/>
              </w:rPr>
              <w:t>评审标准</w:t>
            </w:r>
            <w:r>
              <w:rPr>
                <w:rFonts w:hint="eastAsia" w:ascii="仿宋_GB2312" w:hAnsi="仿宋_GB2312" w:eastAsia="仿宋_GB2312" w:cs="仿宋_GB2312"/>
                <w:bCs/>
                <w:color w:val="auto"/>
                <w:sz w:val="24"/>
                <w:szCs w:val="24"/>
                <w:highlight w:val="none"/>
                <w:lang w:val="en-US" w:eastAsia="zh-CN"/>
              </w:rPr>
              <w:t>得1分，满分3分；</w:t>
            </w:r>
          </w:p>
          <w:p w14:paraId="3A07D4AB">
            <w:pPr>
              <w:keepNext w:val="0"/>
              <w:keepLines w:val="0"/>
              <w:pageBreakBefore w:val="0"/>
              <w:widowControl/>
              <w:tabs>
                <w:tab w:val="left" w:pos="547"/>
              </w:tabs>
              <w:wordWrap/>
              <w:overflowPunct/>
              <w:topLinePunct w:val="0"/>
              <w:autoSpaceDE w:val="0"/>
              <w:autoSpaceDN w:val="0"/>
              <w:bidi w:val="0"/>
              <w:adjustRightInd w:val="0"/>
              <w:snapToGrid w:val="0"/>
              <w:spacing w:line="360" w:lineRule="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2.项目进度保障措施：每满足一项</w:t>
            </w:r>
            <w:r>
              <w:rPr>
                <w:rFonts w:hint="eastAsia" w:ascii="仿宋_GB2312" w:hAnsi="仿宋_GB2312" w:eastAsia="仿宋_GB2312" w:cs="仿宋_GB2312"/>
                <w:color w:val="auto"/>
                <w:sz w:val="24"/>
                <w:szCs w:val="24"/>
                <w:highlight w:val="none"/>
                <w:lang w:val="en-US" w:eastAsia="zh-CN"/>
              </w:rPr>
              <w:t>评审标准</w:t>
            </w:r>
            <w:r>
              <w:rPr>
                <w:rFonts w:hint="eastAsia" w:ascii="仿宋_GB2312" w:hAnsi="仿宋_GB2312" w:eastAsia="仿宋_GB2312" w:cs="仿宋_GB2312"/>
                <w:bCs/>
                <w:color w:val="auto"/>
                <w:sz w:val="24"/>
                <w:szCs w:val="24"/>
                <w:highlight w:val="none"/>
                <w:lang w:val="en-US" w:eastAsia="zh-CN"/>
              </w:rPr>
              <w:t>得1分，满分3分。</w:t>
            </w:r>
          </w:p>
        </w:tc>
      </w:tr>
      <w:tr w14:paraId="6190F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6"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00D52A2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717ED40C">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管理制度体系</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5AEAB989">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7B3E1288">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一、评审内容</w:t>
            </w:r>
          </w:p>
          <w:p w14:paraId="0C63481C">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投标人针对本项目具有良好的管理制度体系，公司各项管理制度健全完善，合理规范，包括：①人事制度；②保密制度。</w:t>
            </w:r>
          </w:p>
          <w:p w14:paraId="53A8A995">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二、评审标准</w:t>
            </w:r>
          </w:p>
          <w:p w14:paraId="48C4BF2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1.完整性：公司管理制度全面、完整。</w:t>
            </w:r>
          </w:p>
          <w:p w14:paraId="559C5C16">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2.健全性：公司制度责任明确、要求具体。</w:t>
            </w:r>
          </w:p>
          <w:p w14:paraId="5050D708">
            <w:pPr>
              <w:keepNext w:val="0"/>
              <w:keepLines w:val="0"/>
              <w:pageBreakBefore w:val="0"/>
              <w:widowControl/>
              <w:kinsoku/>
              <w:wordWrap/>
              <w:overflowPunct/>
              <w:topLinePunct w:val="0"/>
              <w:autoSpaceDE/>
              <w:autoSpaceDN/>
              <w:bidi w:val="0"/>
              <w:adjustRightInd/>
              <w:snapToGrid w:val="0"/>
              <w:spacing w:line="360" w:lineRule="auto"/>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3.规范性：公司管理制度符合国家现行法律法规、行业规范。</w:t>
            </w:r>
          </w:p>
          <w:p w14:paraId="28762BC5">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color w:val="auto"/>
                <w:sz w:val="24"/>
                <w:szCs w:val="24"/>
                <w:highlight w:val="none"/>
                <w:lang w:eastAsia="zh-CN"/>
              </w:rPr>
              <w:t>三、赋分标准（满分</w:t>
            </w:r>
            <w:r>
              <w:rPr>
                <w:rFonts w:hint="eastAsia" w:ascii="仿宋_GB2312" w:hAnsi="仿宋_GB2312" w:eastAsia="仿宋_GB2312" w:cs="仿宋_GB2312"/>
                <w:b/>
                <w:bCs/>
                <w:color w:val="auto"/>
                <w:sz w:val="24"/>
                <w:szCs w:val="24"/>
                <w:highlight w:val="none"/>
                <w:lang w:val="en-US" w:eastAsia="zh-CN"/>
              </w:rPr>
              <w:t>6</w:t>
            </w:r>
            <w:r>
              <w:rPr>
                <w:rFonts w:hint="eastAsia" w:ascii="仿宋_GB2312" w:hAnsi="仿宋_GB2312" w:eastAsia="仿宋_GB2312" w:cs="仿宋_GB2312"/>
                <w:b/>
                <w:bCs/>
                <w:color w:val="auto"/>
                <w:sz w:val="24"/>
                <w:szCs w:val="24"/>
                <w:highlight w:val="none"/>
                <w:lang w:eastAsia="zh-CN"/>
              </w:rPr>
              <w:t>分）</w:t>
            </w:r>
          </w:p>
          <w:p w14:paraId="4B2353AF">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1.人事制度：每满足一</w:t>
            </w:r>
            <w:r>
              <w:rPr>
                <w:rFonts w:hint="eastAsia" w:ascii="仿宋_GB2312" w:hAnsi="仿宋_GB2312" w:eastAsia="仿宋_GB2312" w:cs="仿宋_GB2312"/>
                <w:color w:val="auto"/>
                <w:sz w:val="24"/>
                <w:szCs w:val="24"/>
                <w:highlight w:val="none"/>
                <w:lang w:val="en-US" w:eastAsia="zh-CN"/>
              </w:rPr>
              <w:t>项</w:t>
            </w:r>
            <w:r>
              <w:rPr>
                <w:rFonts w:hint="eastAsia" w:ascii="仿宋_GB2312" w:hAnsi="仿宋_GB2312" w:eastAsia="仿宋_GB2312" w:cs="仿宋_GB2312"/>
                <w:color w:val="auto"/>
                <w:sz w:val="24"/>
                <w:szCs w:val="24"/>
                <w:highlight w:val="none"/>
                <w:lang w:eastAsia="zh-CN"/>
              </w:rPr>
              <w:t>评审标准得</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分，满分</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分；</w:t>
            </w:r>
          </w:p>
          <w:p w14:paraId="18EE5386">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color w:val="auto"/>
                <w:sz w:val="24"/>
                <w:szCs w:val="24"/>
                <w:highlight w:val="none"/>
                <w:lang w:val="en-US" w:eastAsia="zh-CN"/>
              </w:rPr>
              <w:t>保密</w:t>
            </w:r>
            <w:r>
              <w:rPr>
                <w:rFonts w:hint="eastAsia" w:ascii="仿宋_GB2312" w:hAnsi="仿宋_GB2312" w:eastAsia="仿宋_GB2312" w:cs="仿宋_GB2312"/>
                <w:color w:val="auto"/>
                <w:sz w:val="24"/>
                <w:szCs w:val="24"/>
                <w:highlight w:val="none"/>
                <w:lang w:eastAsia="zh-CN"/>
              </w:rPr>
              <w:t>制度：每满足一</w:t>
            </w:r>
            <w:r>
              <w:rPr>
                <w:rFonts w:hint="eastAsia" w:ascii="仿宋_GB2312" w:hAnsi="仿宋_GB2312" w:eastAsia="仿宋_GB2312" w:cs="仿宋_GB2312"/>
                <w:color w:val="auto"/>
                <w:sz w:val="24"/>
                <w:szCs w:val="24"/>
                <w:highlight w:val="none"/>
                <w:lang w:val="en-US" w:eastAsia="zh-CN"/>
              </w:rPr>
              <w:t>项</w:t>
            </w:r>
            <w:r>
              <w:rPr>
                <w:rFonts w:hint="eastAsia" w:ascii="仿宋_GB2312" w:hAnsi="仿宋_GB2312" w:eastAsia="仿宋_GB2312" w:cs="仿宋_GB2312"/>
                <w:color w:val="auto"/>
                <w:sz w:val="24"/>
                <w:szCs w:val="24"/>
                <w:highlight w:val="none"/>
                <w:lang w:eastAsia="zh-CN"/>
              </w:rPr>
              <w:t>评审标准得</w:t>
            </w: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lang w:eastAsia="zh-CN"/>
              </w:rPr>
              <w:t>分，满分</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lang w:eastAsia="zh-CN"/>
              </w:rPr>
              <w:t>分。</w:t>
            </w:r>
          </w:p>
        </w:tc>
      </w:tr>
      <w:tr w14:paraId="542B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2"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4CE383A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3542FBE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项目</w:t>
            </w:r>
            <w:r>
              <w:rPr>
                <w:rFonts w:hint="eastAsia" w:ascii="仿宋_GB2312" w:hAnsi="仿宋_GB2312" w:eastAsia="仿宋_GB2312" w:cs="仿宋_GB2312"/>
                <w:color w:val="auto"/>
                <w:sz w:val="24"/>
                <w:szCs w:val="24"/>
                <w:highlight w:val="none"/>
              </w:rPr>
              <w:t>人员配备</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13F3E45F">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15分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4AB54C6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1.项目负责人：具备注册测绘师证书或者测绘类高级工程师证书的</w:t>
            </w:r>
          </w:p>
          <w:p w14:paraId="6F2CFEA8">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得1.5分;两项同时具备得3分。</w:t>
            </w:r>
          </w:p>
          <w:p w14:paraId="2EC5E25A">
            <w:pPr>
              <w:keepNext w:val="0"/>
              <w:keepLines w:val="0"/>
              <w:pageBreakBefore w:val="0"/>
              <w:widowControl/>
              <w:numPr>
                <w:ilvl w:val="0"/>
                <w:numId w:val="5"/>
              </w:numPr>
              <w:kinsoku/>
              <w:wordWrap/>
              <w:overflowPunct/>
              <w:topLinePunct w:val="0"/>
              <w:autoSpaceDE/>
              <w:autoSpaceDN/>
              <w:bidi w:val="0"/>
              <w:adjustRightInd/>
              <w:snapToGrid w:val="0"/>
              <w:spacing w:line="360" w:lineRule="auto"/>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拟投入本项目专业人员中，具备测绘类专业中级及以上职称人员，每一人得1分，最高得12分。</w:t>
            </w:r>
          </w:p>
          <w:p w14:paraId="2ADBF65C">
            <w:pPr>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备注：以上人员须是供应商本单位人员，需提供专业技术职称证书、劳务合同证明、人员不重复计分。</w:t>
            </w:r>
          </w:p>
        </w:tc>
      </w:tr>
      <w:tr w14:paraId="6E848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30F7E4BA">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7</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262AA98E">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质量保障</w:t>
            </w:r>
            <w:r>
              <w:rPr>
                <w:rFonts w:hint="eastAsia" w:ascii="仿宋_GB2312" w:hAnsi="仿宋_GB2312" w:eastAsia="仿宋_GB2312" w:cs="仿宋_GB2312"/>
                <w:color w:val="auto"/>
                <w:sz w:val="24"/>
                <w:szCs w:val="24"/>
                <w:highlight w:val="none"/>
                <w:lang w:val="en-US" w:eastAsia="zh-CN"/>
              </w:rPr>
              <w:t>方案</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6252ED0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19B1AE81">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bCs w:val="0"/>
                <w:color w:val="auto"/>
                <w:sz w:val="24"/>
                <w:szCs w:val="24"/>
                <w:highlight w:val="none"/>
                <w:lang w:eastAsia="zh-CN"/>
              </w:rPr>
            </w:pPr>
            <w:r>
              <w:rPr>
                <w:rFonts w:hint="eastAsia" w:ascii="仿宋_GB2312" w:hAnsi="仿宋_GB2312" w:eastAsia="仿宋_GB2312" w:cs="仿宋_GB2312"/>
                <w:b/>
                <w:bCs w:val="0"/>
                <w:color w:val="auto"/>
                <w:sz w:val="24"/>
                <w:szCs w:val="24"/>
                <w:highlight w:val="none"/>
                <w:lang w:eastAsia="zh-CN"/>
              </w:rPr>
              <w:t>一、评审内容</w:t>
            </w:r>
          </w:p>
          <w:p w14:paraId="0A2749A9">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val="0"/>
                <w:bCs/>
                <w:color w:val="auto"/>
                <w:sz w:val="24"/>
                <w:szCs w:val="24"/>
                <w:highlight w:val="none"/>
                <w:lang w:eastAsia="zh-CN"/>
              </w:rPr>
            </w:pPr>
            <w:r>
              <w:rPr>
                <w:rFonts w:hint="eastAsia" w:ascii="仿宋_GB2312" w:hAnsi="仿宋_GB2312" w:eastAsia="仿宋_GB2312" w:cs="仿宋_GB2312"/>
                <w:b w:val="0"/>
                <w:bCs/>
                <w:color w:val="auto"/>
                <w:sz w:val="24"/>
                <w:szCs w:val="24"/>
                <w:highlight w:val="none"/>
                <w:lang w:eastAsia="zh-CN"/>
              </w:rPr>
              <w:t>针对本项目提出适用于本项目的</w:t>
            </w:r>
            <w:r>
              <w:rPr>
                <w:rFonts w:hint="eastAsia" w:ascii="仿宋_GB2312" w:hAnsi="仿宋_GB2312" w:eastAsia="仿宋_GB2312" w:cs="仿宋_GB2312"/>
                <w:b w:val="0"/>
                <w:bCs/>
                <w:color w:val="auto"/>
                <w:sz w:val="24"/>
                <w:szCs w:val="24"/>
                <w:highlight w:val="none"/>
                <w:lang w:val="en-US" w:eastAsia="zh-CN"/>
              </w:rPr>
              <w:t>质量保障</w:t>
            </w:r>
            <w:r>
              <w:rPr>
                <w:rFonts w:hint="eastAsia" w:ascii="仿宋_GB2312" w:hAnsi="仿宋_GB2312" w:eastAsia="仿宋_GB2312" w:cs="仿宋_GB2312"/>
                <w:b w:val="0"/>
                <w:bCs/>
                <w:color w:val="auto"/>
                <w:sz w:val="24"/>
                <w:szCs w:val="24"/>
                <w:highlight w:val="none"/>
                <w:lang w:eastAsia="zh-CN"/>
              </w:rPr>
              <w:t>方案，方案内容包括①质量</w:t>
            </w:r>
            <w:r>
              <w:rPr>
                <w:rFonts w:hint="eastAsia" w:ascii="仿宋_GB2312" w:hAnsi="仿宋_GB2312" w:eastAsia="仿宋_GB2312" w:cs="仿宋_GB2312"/>
                <w:b w:val="0"/>
                <w:bCs/>
                <w:color w:val="auto"/>
                <w:sz w:val="24"/>
                <w:szCs w:val="24"/>
                <w:highlight w:val="none"/>
                <w:lang w:val="en-US" w:eastAsia="zh-CN"/>
              </w:rPr>
              <w:t>保障</w:t>
            </w:r>
            <w:r>
              <w:rPr>
                <w:rFonts w:hint="eastAsia" w:ascii="仿宋_GB2312" w:hAnsi="仿宋_GB2312" w:eastAsia="仿宋_GB2312" w:cs="仿宋_GB2312"/>
                <w:b w:val="0"/>
                <w:bCs/>
                <w:color w:val="auto"/>
                <w:sz w:val="24"/>
                <w:szCs w:val="24"/>
                <w:highlight w:val="none"/>
                <w:lang w:eastAsia="zh-CN"/>
              </w:rPr>
              <w:t>措施②质量控制流程。</w:t>
            </w:r>
          </w:p>
          <w:p w14:paraId="47E8A538">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bCs w:val="0"/>
                <w:color w:val="auto"/>
                <w:sz w:val="24"/>
                <w:szCs w:val="24"/>
                <w:highlight w:val="none"/>
                <w:lang w:eastAsia="zh-CN"/>
              </w:rPr>
            </w:pPr>
            <w:r>
              <w:rPr>
                <w:rFonts w:hint="eastAsia" w:ascii="仿宋_GB2312" w:hAnsi="仿宋_GB2312" w:eastAsia="仿宋_GB2312" w:cs="仿宋_GB2312"/>
                <w:b/>
                <w:bCs w:val="0"/>
                <w:color w:val="auto"/>
                <w:sz w:val="24"/>
                <w:szCs w:val="24"/>
                <w:highlight w:val="none"/>
                <w:lang w:eastAsia="zh-CN"/>
              </w:rPr>
              <w:t>二、评审标准</w:t>
            </w:r>
          </w:p>
          <w:p w14:paraId="07FEE11F">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val="0"/>
                <w:bCs/>
                <w:color w:val="auto"/>
                <w:sz w:val="24"/>
                <w:szCs w:val="24"/>
                <w:highlight w:val="none"/>
                <w:lang w:eastAsia="zh-CN"/>
              </w:rPr>
            </w:pPr>
            <w:r>
              <w:rPr>
                <w:rFonts w:hint="eastAsia" w:ascii="仿宋_GB2312" w:hAnsi="仿宋_GB2312" w:eastAsia="仿宋_GB2312" w:cs="仿宋_GB2312"/>
                <w:b w:val="0"/>
                <w:bCs/>
                <w:color w:val="auto"/>
                <w:sz w:val="24"/>
                <w:szCs w:val="24"/>
                <w:highlight w:val="none"/>
                <w:lang w:eastAsia="zh-CN"/>
              </w:rPr>
              <w:t>1.完整性：</w:t>
            </w:r>
            <w:r>
              <w:rPr>
                <w:rFonts w:hint="eastAsia" w:ascii="仿宋_GB2312" w:hAnsi="仿宋_GB2312" w:eastAsia="仿宋_GB2312" w:cs="仿宋_GB2312"/>
                <w:b w:val="0"/>
                <w:bCs/>
                <w:color w:val="auto"/>
                <w:sz w:val="24"/>
                <w:szCs w:val="24"/>
                <w:highlight w:val="none"/>
                <w:lang w:val="en-US" w:eastAsia="zh-CN"/>
              </w:rPr>
              <w:t>方案</w:t>
            </w:r>
            <w:r>
              <w:rPr>
                <w:rFonts w:hint="eastAsia" w:ascii="仿宋_GB2312" w:hAnsi="仿宋_GB2312" w:eastAsia="仿宋_GB2312" w:cs="仿宋_GB2312"/>
                <w:b w:val="0"/>
                <w:bCs/>
                <w:color w:val="auto"/>
                <w:sz w:val="24"/>
                <w:szCs w:val="24"/>
                <w:highlight w:val="none"/>
                <w:lang w:eastAsia="zh-CN"/>
              </w:rPr>
              <w:t>必须全面，对评审内容中的各项要求有详细描述；</w:t>
            </w:r>
          </w:p>
          <w:p w14:paraId="4066AAC2">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val="0"/>
                <w:bCs/>
                <w:color w:val="auto"/>
                <w:sz w:val="24"/>
                <w:szCs w:val="24"/>
                <w:highlight w:val="none"/>
                <w:lang w:eastAsia="zh-CN"/>
              </w:rPr>
            </w:pPr>
            <w:r>
              <w:rPr>
                <w:rFonts w:hint="eastAsia" w:ascii="仿宋_GB2312" w:hAnsi="仿宋_GB2312" w:eastAsia="仿宋_GB2312" w:cs="仿宋_GB2312"/>
                <w:b w:val="0"/>
                <w:bCs/>
                <w:color w:val="auto"/>
                <w:sz w:val="24"/>
                <w:szCs w:val="24"/>
                <w:highlight w:val="none"/>
                <w:lang w:eastAsia="zh-CN"/>
              </w:rPr>
              <w:t>2.可行性：切合本项目实际情况，提出合理可行的保障措施。</w:t>
            </w:r>
          </w:p>
          <w:p w14:paraId="094F52DC">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val="0"/>
                <w:bCs/>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3.合理性：内容符合项目实际、合理、适用。</w:t>
            </w:r>
          </w:p>
          <w:p w14:paraId="180AAD46">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bCs w:val="0"/>
                <w:color w:val="auto"/>
                <w:sz w:val="24"/>
                <w:szCs w:val="24"/>
                <w:highlight w:val="none"/>
                <w:lang w:eastAsia="zh-CN"/>
              </w:rPr>
            </w:pPr>
            <w:r>
              <w:rPr>
                <w:rFonts w:hint="eastAsia" w:ascii="仿宋_GB2312" w:hAnsi="仿宋_GB2312" w:eastAsia="仿宋_GB2312" w:cs="仿宋_GB2312"/>
                <w:b/>
                <w:bCs w:val="0"/>
                <w:color w:val="auto"/>
                <w:sz w:val="24"/>
                <w:szCs w:val="24"/>
                <w:highlight w:val="none"/>
                <w:lang w:eastAsia="zh-CN"/>
              </w:rPr>
              <w:t>三、赋分标准（满分</w:t>
            </w:r>
            <w:r>
              <w:rPr>
                <w:rFonts w:hint="eastAsia" w:ascii="仿宋_GB2312" w:hAnsi="仿宋_GB2312" w:eastAsia="仿宋_GB2312" w:cs="仿宋_GB2312"/>
                <w:b/>
                <w:bCs w:val="0"/>
                <w:color w:val="auto"/>
                <w:sz w:val="24"/>
                <w:szCs w:val="24"/>
                <w:highlight w:val="none"/>
                <w:lang w:val="en-US" w:eastAsia="zh-CN"/>
              </w:rPr>
              <w:t>6</w:t>
            </w:r>
            <w:r>
              <w:rPr>
                <w:rFonts w:hint="eastAsia" w:ascii="仿宋_GB2312" w:hAnsi="仿宋_GB2312" w:eastAsia="仿宋_GB2312" w:cs="仿宋_GB2312"/>
                <w:b/>
                <w:bCs w:val="0"/>
                <w:color w:val="auto"/>
                <w:sz w:val="24"/>
                <w:szCs w:val="24"/>
                <w:highlight w:val="none"/>
                <w:lang w:eastAsia="zh-CN"/>
              </w:rPr>
              <w:t>分）</w:t>
            </w:r>
          </w:p>
          <w:p w14:paraId="72CC6343">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val="0"/>
                <w:bCs/>
                <w:color w:val="auto"/>
                <w:sz w:val="24"/>
                <w:szCs w:val="24"/>
                <w:highlight w:val="none"/>
                <w:lang w:eastAsia="zh-CN"/>
              </w:rPr>
            </w:pPr>
            <w:r>
              <w:rPr>
                <w:rFonts w:hint="eastAsia" w:ascii="仿宋_GB2312" w:hAnsi="仿宋_GB2312" w:eastAsia="仿宋_GB2312" w:cs="仿宋_GB2312"/>
                <w:b w:val="0"/>
                <w:bCs/>
                <w:color w:val="auto"/>
                <w:sz w:val="24"/>
                <w:szCs w:val="24"/>
                <w:highlight w:val="none"/>
                <w:lang w:val="en-US" w:eastAsia="zh-CN"/>
              </w:rPr>
              <w:t>1.</w:t>
            </w:r>
            <w:r>
              <w:rPr>
                <w:rFonts w:hint="eastAsia" w:ascii="仿宋_GB2312" w:hAnsi="仿宋_GB2312" w:eastAsia="仿宋_GB2312" w:cs="仿宋_GB2312"/>
                <w:b w:val="0"/>
                <w:bCs/>
                <w:color w:val="auto"/>
                <w:sz w:val="24"/>
                <w:szCs w:val="24"/>
                <w:highlight w:val="none"/>
                <w:lang w:eastAsia="zh-CN"/>
              </w:rPr>
              <w:t>质量</w:t>
            </w:r>
            <w:r>
              <w:rPr>
                <w:rFonts w:hint="eastAsia" w:ascii="仿宋_GB2312" w:hAnsi="仿宋_GB2312" w:eastAsia="仿宋_GB2312" w:cs="仿宋_GB2312"/>
                <w:b w:val="0"/>
                <w:bCs/>
                <w:color w:val="auto"/>
                <w:sz w:val="24"/>
                <w:szCs w:val="24"/>
                <w:highlight w:val="none"/>
                <w:lang w:val="en-US" w:eastAsia="zh-CN"/>
              </w:rPr>
              <w:t>保障</w:t>
            </w:r>
            <w:r>
              <w:rPr>
                <w:rFonts w:hint="eastAsia" w:ascii="仿宋_GB2312" w:hAnsi="仿宋_GB2312" w:eastAsia="仿宋_GB2312" w:cs="仿宋_GB2312"/>
                <w:b w:val="0"/>
                <w:bCs/>
                <w:color w:val="auto"/>
                <w:sz w:val="24"/>
                <w:szCs w:val="24"/>
                <w:highlight w:val="none"/>
                <w:lang w:eastAsia="zh-CN"/>
              </w:rPr>
              <w:t>措施：每满足一项评审标准得</w:t>
            </w:r>
            <w:r>
              <w:rPr>
                <w:rFonts w:hint="eastAsia" w:ascii="仿宋_GB2312" w:hAnsi="仿宋_GB2312" w:eastAsia="仿宋_GB2312" w:cs="仿宋_GB2312"/>
                <w:b w:val="0"/>
                <w:bCs/>
                <w:color w:val="auto"/>
                <w:sz w:val="24"/>
                <w:szCs w:val="24"/>
                <w:highlight w:val="none"/>
                <w:lang w:val="en-US" w:eastAsia="zh-CN"/>
              </w:rPr>
              <w:t>1</w:t>
            </w:r>
            <w:r>
              <w:rPr>
                <w:rFonts w:hint="eastAsia" w:ascii="仿宋_GB2312" w:hAnsi="仿宋_GB2312" w:eastAsia="仿宋_GB2312" w:cs="仿宋_GB2312"/>
                <w:b w:val="0"/>
                <w:bCs/>
                <w:color w:val="auto"/>
                <w:sz w:val="24"/>
                <w:szCs w:val="24"/>
                <w:highlight w:val="none"/>
                <w:lang w:eastAsia="zh-CN"/>
              </w:rPr>
              <w:t>分，满分</w:t>
            </w:r>
            <w:r>
              <w:rPr>
                <w:rFonts w:hint="eastAsia" w:ascii="仿宋_GB2312" w:hAnsi="仿宋_GB2312" w:eastAsia="仿宋_GB2312" w:cs="仿宋_GB2312"/>
                <w:b w:val="0"/>
                <w:bCs/>
                <w:color w:val="auto"/>
                <w:sz w:val="24"/>
                <w:szCs w:val="24"/>
                <w:highlight w:val="none"/>
                <w:lang w:val="en-US" w:eastAsia="zh-CN"/>
              </w:rPr>
              <w:t>3</w:t>
            </w:r>
            <w:r>
              <w:rPr>
                <w:rFonts w:hint="eastAsia" w:ascii="仿宋_GB2312" w:hAnsi="仿宋_GB2312" w:eastAsia="仿宋_GB2312" w:cs="仿宋_GB2312"/>
                <w:b w:val="0"/>
                <w:bCs/>
                <w:color w:val="auto"/>
                <w:sz w:val="24"/>
                <w:szCs w:val="24"/>
                <w:highlight w:val="none"/>
                <w:lang w:eastAsia="zh-CN"/>
              </w:rPr>
              <w:t>分；</w:t>
            </w:r>
          </w:p>
          <w:p w14:paraId="13184281">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仿宋_GB2312" w:hAnsi="仿宋_GB2312" w:eastAsia="仿宋_GB2312" w:cs="仿宋_GB2312"/>
                <w:b w:val="0"/>
                <w:bCs/>
                <w:color w:val="auto"/>
                <w:sz w:val="24"/>
                <w:szCs w:val="24"/>
                <w:highlight w:val="none"/>
                <w:lang w:eastAsia="zh-CN"/>
              </w:rPr>
            </w:pPr>
            <w:r>
              <w:rPr>
                <w:rFonts w:hint="eastAsia" w:ascii="仿宋_GB2312" w:hAnsi="仿宋_GB2312" w:eastAsia="仿宋_GB2312" w:cs="仿宋_GB2312"/>
                <w:b w:val="0"/>
                <w:bCs/>
                <w:color w:val="auto"/>
                <w:sz w:val="24"/>
                <w:szCs w:val="24"/>
                <w:highlight w:val="none"/>
                <w:lang w:val="en-US" w:eastAsia="zh-CN"/>
              </w:rPr>
              <w:t>2.</w:t>
            </w:r>
            <w:r>
              <w:rPr>
                <w:rFonts w:hint="eastAsia" w:ascii="仿宋_GB2312" w:hAnsi="仿宋_GB2312" w:eastAsia="仿宋_GB2312" w:cs="仿宋_GB2312"/>
                <w:b w:val="0"/>
                <w:bCs/>
                <w:color w:val="auto"/>
                <w:sz w:val="24"/>
                <w:szCs w:val="24"/>
                <w:highlight w:val="none"/>
                <w:lang w:eastAsia="zh-CN"/>
              </w:rPr>
              <w:t>质量控制流程：每满足一项评审标准得</w:t>
            </w:r>
            <w:r>
              <w:rPr>
                <w:rFonts w:hint="eastAsia" w:ascii="仿宋_GB2312" w:hAnsi="仿宋_GB2312" w:eastAsia="仿宋_GB2312" w:cs="仿宋_GB2312"/>
                <w:b w:val="0"/>
                <w:bCs/>
                <w:color w:val="auto"/>
                <w:sz w:val="24"/>
                <w:szCs w:val="24"/>
                <w:highlight w:val="none"/>
                <w:lang w:val="en-US" w:eastAsia="zh-CN"/>
              </w:rPr>
              <w:t>1</w:t>
            </w:r>
            <w:r>
              <w:rPr>
                <w:rFonts w:hint="eastAsia" w:ascii="仿宋_GB2312" w:hAnsi="仿宋_GB2312" w:eastAsia="仿宋_GB2312" w:cs="仿宋_GB2312"/>
                <w:b w:val="0"/>
                <w:bCs/>
                <w:color w:val="auto"/>
                <w:sz w:val="24"/>
                <w:szCs w:val="24"/>
                <w:highlight w:val="none"/>
                <w:lang w:eastAsia="zh-CN"/>
              </w:rPr>
              <w:t>分，满分</w:t>
            </w:r>
            <w:r>
              <w:rPr>
                <w:rFonts w:hint="eastAsia" w:ascii="仿宋_GB2312" w:hAnsi="仿宋_GB2312" w:eastAsia="仿宋_GB2312" w:cs="仿宋_GB2312"/>
                <w:b w:val="0"/>
                <w:bCs/>
                <w:color w:val="auto"/>
                <w:sz w:val="24"/>
                <w:szCs w:val="24"/>
                <w:highlight w:val="none"/>
                <w:lang w:val="en-US" w:eastAsia="zh-CN"/>
              </w:rPr>
              <w:t>3</w:t>
            </w:r>
            <w:r>
              <w:rPr>
                <w:rFonts w:hint="eastAsia" w:ascii="仿宋_GB2312" w:hAnsi="仿宋_GB2312" w:eastAsia="仿宋_GB2312" w:cs="仿宋_GB2312"/>
                <w:b w:val="0"/>
                <w:bCs/>
                <w:color w:val="auto"/>
                <w:sz w:val="24"/>
                <w:szCs w:val="24"/>
                <w:highlight w:val="none"/>
                <w:lang w:eastAsia="zh-CN"/>
              </w:rPr>
              <w:t>分。</w:t>
            </w:r>
          </w:p>
        </w:tc>
      </w:tr>
      <w:tr w14:paraId="3FDB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7C27F350">
            <w:pPr>
              <w:keepNext w:val="0"/>
              <w:keepLines w:val="0"/>
              <w:pageBreakBefore w:val="0"/>
              <w:widowControl w:val="0"/>
              <w:suppressAutoHyphens/>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napToGrid w:val="0"/>
                <w:color w:val="auto"/>
                <w:kern w:val="0"/>
                <w:sz w:val="24"/>
                <w:szCs w:val="24"/>
                <w:highlight w:val="none"/>
                <w:lang w:val="en-US" w:eastAsia="zh-CN" w:bidi="ar-SA"/>
              </w:rPr>
              <w:t>8</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261C0697">
            <w:pPr>
              <w:keepNext w:val="0"/>
              <w:keepLines w:val="0"/>
              <w:pageBreakBefore w:val="0"/>
              <w:widowControl/>
              <w:wordWrap/>
              <w:overflowPunct/>
              <w:topLinePunct w:val="0"/>
              <w:bidi w:val="0"/>
              <w:snapToGrid w:val="0"/>
              <w:spacing w:line="360" w:lineRule="auto"/>
              <w:jc w:val="center"/>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rPr>
              <w:t>应急处置</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0ECA8AFF">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p>
          <w:p w14:paraId="50DA1DCF">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6分</w:t>
            </w:r>
          </w:p>
          <w:p w14:paraId="458900DE">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p>
        </w:tc>
        <w:tc>
          <w:tcPr>
            <w:tcW w:w="7082" w:type="dxa"/>
            <w:tcBorders>
              <w:top w:val="single" w:color="auto" w:sz="4" w:space="0"/>
              <w:left w:val="single" w:color="auto" w:sz="4" w:space="0"/>
              <w:bottom w:val="single" w:color="auto" w:sz="4" w:space="0"/>
              <w:right w:val="single" w:color="auto" w:sz="4" w:space="0"/>
            </w:tcBorders>
            <w:noWrap w:val="0"/>
            <w:vAlign w:val="center"/>
          </w:tcPr>
          <w:p w14:paraId="258F7EE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1.建立应急机制，设应急小组，全天候处置突发问题，得 1.5 分。</w:t>
            </w:r>
          </w:p>
          <w:p w14:paraId="40EA9822">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2.落实成果应急整改，启动预案限时修正重测，保障成果合规达标，得 1.5 分。</w:t>
            </w:r>
          </w:p>
          <w:p w14:paraId="3333764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3.配齐应急资源，人员设备随时补位，保障项目连续实施，得 1.5 分。</w:t>
            </w:r>
          </w:p>
          <w:p w14:paraId="51A142B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4.质保期提供应急技术支持，及时处置各类运维技术问题，得 1.5 分。</w:t>
            </w:r>
          </w:p>
        </w:tc>
      </w:tr>
      <w:tr w14:paraId="35D99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8"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0D306AD6">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9</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599D89D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服务承诺</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2F9E83FA">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1789EFB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1.承诺全面响应采购人各项服务管理及实施要求</w:t>
            </w:r>
            <w:r>
              <w:rPr>
                <w:rFonts w:hint="eastAsia" w:ascii="仿宋_GB2312" w:hAnsi="仿宋_GB2312" w:eastAsia="仿宋_GB2312" w:cs="仿宋_GB2312"/>
                <w:color w:val="auto"/>
                <w:spacing w:val="-6"/>
                <w:kern w:val="2"/>
                <w:sz w:val="24"/>
                <w:szCs w:val="24"/>
                <w:highlight w:val="none"/>
                <w:lang w:val="en-US" w:eastAsia="zh-CN"/>
              </w:rPr>
              <w:t>，得1</w:t>
            </w:r>
            <w:r>
              <w:rPr>
                <w:rFonts w:hint="eastAsia" w:ascii="仿宋_GB2312" w:hAnsi="仿宋_GB2312" w:eastAsia="仿宋_GB2312" w:cs="仿宋_GB2312"/>
                <w:color w:val="auto"/>
                <w:spacing w:val="-6"/>
                <w:kern w:val="2"/>
                <w:sz w:val="24"/>
                <w:szCs w:val="24"/>
                <w:highlight w:val="none"/>
              </w:rPr>
              <w:t>分</w:t>
            </w:r>
            <w:r>
              <w:rPr>
                <w:rFonts w:hint="eastAsia" w:ascii="仿宋_GB2312" w:hAnsi="仿宋_GB2312" w:eastAsia="仿宋_GB2312" w:cs="仿宋_GB2312"/>
                <w:color w:val="auto"/>
                <w:sz w:val="24"/>
                <w:szCs w:val="24"/>
                <w:highlight w:val="none"/>
                <w:lang w:val="en-US" w:eastAsia="zh-CN"/>
              </w:rPr>
              <w:t>；</w:t>
            </w:r>
          </w:p>
          <w:p w14:paraId="36D2A05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2.承诺</w:t>
            </w:r>
            <w:r>
              <w:rPr>
                <w:rFonts w:hint="eastAsia" w:ascii="仿宋_GB2312" w:hAnsi="仿宋_GB2312" w:eastAsia="仿宋_GB2312" w:cs="仿宋_GB2312"/>
                <w:color w:val="auto"/>
                <w:spacing w:val="-6"/>
                <w:kern w:val="2"/>
                <w:sz w:val="24"/>
                <w:szCs w:val="24"/>
                <w:highlight w:val="none"/>
                <w:lang w:val="en-US" w:eastAsia="zh-CN"/>
              </w:rPr>
              <w:t>具备高效及时的技术服务能力，并提供相关佐证材料：</w:t>
            </w:r>
          </w:p>
          <w:p w14:paraId="3EE997E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3小时内响应的，得4分；8小时内响应的，得2分；24小时内响应的，得1分；24小时以上响应的不得分；</w:t>
            </w:r>
          </w:p>
          <w:p w14:paraId="5E54087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3.承诺若项目成果未达到约定质量标准，自愿接受相应处罚</w:t>
            </w:r>
            <w:r>
              <w:rPr>
                <w:rFonts w:hint="eastAsia" w:ascii="仿宋_GB2312" w:hAnsi="仿宋_GB2312" w:eastAsia="仿宋_GB2312" w:cs="仿宋_GB2312"/>
                <w:color w:val="auto"/>
                <w:spacing w:val="-6"/>
                <w:kern w:val="2"/>
                <w:sz w:val="24"/>
                <w:szCs w:val="24"/>
                <w:highlight w:val="none"/>
                <w:lang w:val="en-US" w:eastAsia="zh-CN"/>
              </w:rPr>
              <w:t>得1</w:t>
            </w:r>
            <w:r>
              <w:rPr>
                <w:rFonts w:hint="eastAsia" w:ascii="仿宋_GB2312" w:hAnsi="仿宋_GB2312" w:eastAsia="仿宋_GB2312" w:cs="仿宋_GB2312"/>
                <w:color w:val="auto"/>
                <w:spacing w:val="-6"/>
                <w:kern w:val="2"/>
                <w:sz w:val="24"/>
                <w:szCs w:val="24"/>
                <w:highlight w:val="none"/>
              </w:rPr>
              <w:t>分</w:t>
            </w:r>
            <w:r>
              <w:rPr>
                <w:rFonts w:hint="eastAsia" w:ascii="仿宋_GB2312" w:hAnsi="仿宋_GB2312" w:eastAsia="仿宋_GB2312" w:cs="仿宋_GB2312"/>
                <w:color w:val="auto"/>
                <w:spacing w:val="-6"/>
                <w:kern w:val="2"/>
                <w:sz w:val="24"/>
                <w:szCs w:val="24"/>
                <w:highlight w:val="none"/>
                <w:lang w:val="en-US" w:eastAsia="zh-CN"/>
              </w:rPr>
              <w:t>。</w:t>
            </w:r>
          </w:p>
        </w:tc>
      </w:tr>
      <w:tr w14:paraId="0C92F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1492B482">
            <w:pPr>
              <w:keepNext w:val="0"/>
              <w:keepLines w:val="0"/>
              <w:pageBreakBefore w:val="0"/>
              <w:widowControl/>
              <w:kinsoku/>
              <w:wordWrap/>
              <w:overflowPunct/>
              <w:topLinePunct w:val="0"/>
              <w:autoSpaceDE/>
              <w:autoSpaceDN/>
              <w:bidi w:val="0"/>
              <w:adjustRightInd/>
              <w:snapToGrid w:val="0"/>
              <w:spacing w:line="360" w:lineRule="auto"/>
              <w:jc w:val="center"/>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10</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0B36CE86">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成果档案保存</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15D1F8E7">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6408B090">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1.承诺严格遵守测绘地理信息涉密管理法规，对本项目所有测绘数据、图纸、成果实行分类管理，得1分；</w:t>
            </w:r>
          </w:p>
          <w:p w14:paraId="781C4B30">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2.承诺建立成果专人保管、专柜存放、加密存储制度，杜绝外泄、外传、私自拷贝等行为，得1分；</w:t>
            </w:r>
          </w:p>
          <w:p w14:paraId="3FEA52EA">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3.承诺项目成果、电子数据、纸质档案实行闭环管理，严格执行借阅、领用、归还登记制度，得1分；</w:t>
            </w:r>
          </w:p>
          <w:p w14:paraId="4EFA9A99">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Chars="0" w:right="0" w:right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4.承诺项目结束后完整移交全部成果、资料、电子档案，得1分；</w:t>
            </w:r>
          </w:p>
          <w:p w14:paraId="4734C68C">
            <w:pPr>
              <w:keepNext w:val="0"/>
              <w:keepLines w:val="0"/>
              <w:pageBreakBefore w:val="0"/>
              <w:widowControl/>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5.承诺建立风险应急处置机制，若发生隐患主动上报采购人得1分。</w:t>
            </w:r>
          </w:p>
        </w:tc>
      </w:tr>
      <w:tr w14:paraId="7ADF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6"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1731F576">
            <w:pPr>
              <w:keepNext w:val="0"/>
              <w:keepLines w:val="0"/>
              <w:pageBreakBefore w:val="0"/>
              <w:widowControl w:val="0"/>
              <w:suppressAutoHyphens/>
              <w:wordWrap/>
              <w:overflowPunct/>
              <w:topLinePunct w:val="0"/>
              <w:bidi w:val="0"/>
              <w:snapToGrid w:val="0"/>
              <w:spacing w:line="360" w:lineRule="auto"/>
              <w:jc w:val="center"/>
              <w:rPr>
                <w:rFonts w:hint="default" w:ascii="仿宋_GB2312" w:hAnsi="仿宋_GB2312" w:eastAsia="仿宋_GB2312" w:cs="仿宋_GB2312"/>
                <w:snapToGrid w:val="0"/>
                <w:color w:val="auto"/>
                <w:kern w:val="0"/>
                <w:sz w:val="24"/>
                <w:szCs w:val="24"/>
                <w:highlight w:val="none"/>
                <w:lang w:val="en-US" w:eastAsia="zh-CN" w:bidi="ar-SA"/>
              </w:rPr>
            </w:pPr>
            <w:r>
              <w:rPr>
                <w:rFonts w:hint="eastAsia" w:ascii="仿宋_GB2312" w:hAnsi="仿宋_GB2312" w:eastAsia="仿宋_GB2312" w:cs="仿宋_GB2312"/>
                <w:snapToGrid w:val="0"/>
                <w:color w:val="auto"/>
                <w:kern w:val="0"/>
                <w:sz w:val="24"/>
                <w:szCs w:val="24"/>
                <w:highlight w:val="none"/>
                <w:lang w:val="en-US" w:eastAsia="zh-CN" w:bidi="ar-SA"/>
              </w:rPr>
              <w:t>11</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79C85F99">
            <w:pPr>
              <w:keepNext w:val="0"/>
              <w:keepLines w:val="0"/>
              <w:pageBreakBefore w:val="0"/>
              <w:widowControl/>
              <w:wordWrap/>
              <w:overflowPunct/>
              <w:topLinePunct w:val="0"/>
              <w:bidi w:val="0"/>
              <w:snapToGrid w:val="0"/>
              <w:spacing w:line="360" w:lineRule="auto"/>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团队管理</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3677205F">
            <w:pPr>
              <w:keepNext w:val="0"/>
              <w:keepLines w:val="0"/>
              <w:pageBreakBefore w:val="0"/>
              <w:widowControl/>
              <w:wordWrap/>
              <w:overflowPunct/>
              <w:topLinePunct w:val="0"/>
              <w:bidi w:val="0"/>
              <w:snapToGrid w:val="0"/>
              <w:spacing w:line="360" w:lineRule="auto"/>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55611F79">
            <w:pPr>
              <w:keepNext w:val="0"/>
              <w:keepLines w:val="0"/>
              <w:pageBreakBefore w:val="0"/>
              <w:widowControl/>
              <w:numPr>
                <w:ilvl w:val="0"/>
                <w:numId w:val="6"/>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承诺本项目核心管理人员、技术作业人员全程在岗履职，建立项目人员考勤及在岗管理制度，杜绝擅自脱岗、离岗，得1分；</w:t>
            </w:r>
          </w:p>
          <w:p w14:paraId="19F49D8D">
            <w:pPr>
              <w:keepNext w:val="0"/>
              <w:keepLines w:val="0"/>
              <w:pageBreakBefore w:val="0"/>
              <w:widowControl/>
              <w:numPr>
                <w:ilvl w:val="0"/>
                <w:numId w:val="6"/>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承诺项目人员定岗定责，岗位职责划分清晰，分工明确，严格按照实施方案开展测绘作业，得1分；</w:t>
            </w:r>
          </w:p>
          <w:p w14:paraId="5B4AABA0">
            <w:pPr>
              <w:keepNext w:val="0"/>
              <w:keepLines w:val="0"/>
              <w:pageBreakBefore w:val="0"/>
              <w:widowControl/>
              <w:numPr>
                <w:ilvl w:val="0"/>
                <w:numId w:val="6"/>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承诺对进场作业人员开展岗前技术交底、安全培训、测绘规范培训，具备完整的团队岗前管理机制，得1分；</w:t>
            </w:r>
          </w:p>
          <w:p w14:paraId="0A9FF7CE">
            <w:pPr>
              <w:keepNext w:val="0"/>
              <w:keepLines w:val="0"/>
              <w:pageBreakBefore w:val="0"/>
              <w:widowControl/>
              <w:numPr>
                <w:ilvl w:val="0"/>
                <w:numId w:val="6"/>
              </w:numPr>
              <w:kinsoku/>
              <w:wordWrap/>
              <w:overflowPunct/>
              <w:topLinePunct w:val="0"/>
              <w:autoSpaceDE/>
              <w:autoSpaceDN/>
              <w:bidi w:val="0"/>
              <w:adjustRightInd/>
              <w:snapToGrid w:val="0"/>
              <w:spacing w:line="360" w:lineRule="auto"/>
              <w:ind w:left="0" w:leftChars="0" w:right="0" w:rightChars="0" w:firstLine="0" w:firstLineChars="0"/>
              <w:jc w:val="left"/>
              <w:textAlignment w:val="auto"/>
            </w:pPr>
            <w:r>
              <w:rPr>
                <w:rFonts w:hint="eastAsia" w:ascii="仿宋_GB2312" w:hAnsi="仿宋_GB2312" w:eastAsia="仿宋_GB2312" w:cs="仿宋_GB2312"/>
                <w:color w:val="auto"/>
                <w:spacing w:val="-6"/>
                <w:kern w:val="2"/>
                <w:sz w:val="24"/>
                <w:szCs w:val="24"/>
                <w:highlight w:val="none"/>
                <w:lang w:val="en-US" w:eastAsia="zh-CN"/>
              </w:rPr>
              <w:t>承诺项目履约期间稳定团队人员，未经采购人书面同意，不擅自更换项目负责人及核心技术人员，保障项目实施连续性，得1分。</w:t>
            </w:r>
          </w:p>
          <w:p w14:paraId="0B892269">
            <w:pPr>
              <w:keepNext w:val="0"/>
              <w:keepLines w:val="0"/>
              <w:pageBreakBefore w:val="0"/>
              <w:widowControl/>
              <w:numPr>
                <w:ilvl w:val="0"/>
                <w:numId w:val="6"/>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pacing w:val="-6"/>
                <w:kern w:val="2"/>
                <w:sz w:val="24"/>
                <w:szCs w:val="24"/>
                <w:highlight w:val="none"/>
                <w:lang w:val="en-US" w:eastAsia="zh-CN"/>
              </w:rPr>
              <w:t>承诺建立项目内部考核与质量管控机制，定期开展人员工作成效检查，对作业成果实行多级复核，保障测绘成果质量，得 1 分</w:t>
            </w:r>
          </w:p>
        </w:tc>
      </w:tr>
      <w:tr w14:paraId="6F66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2"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460434D3">
            <w:pPr>
              <w:keepNext w:val="0"/>
              <w:keepLines w:val="0"/>
              <w:pageBreakBefore w:val="0"/>
              <w:widowControl/>
              <w:wordWrap/>
              <w:overflowPunct/>
              <w:topLinePunct w:val="0"/>
              <w:bidi w:val="0"/>
              <w:snapToGrid w:val="0"/>
              <w:spacing w:line="360" w:lineRule="auto"/>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12</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5477AFC3">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rPr>
              <w:t>合理化建议</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12D5F4E4">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4分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72F1E270">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一、评审内容</w:t>
            </w:r>
          </w:p>
          <w:p w14:paraId="5FBF8C76">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针对本项目提出适用于本项目的合理化建议。</w:t>
            </w:r>
          </w:p>
          <w:p w14:paraId="6A710F0D">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二、评审标准</w:t>
            </w:r>
          </w:p>
          <w:p w14:paraId="458BCDF7">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1.完整性：方案必须全面，对评审内容中的各项要求有详细描述；</w:t>
            </w:r>
          </w:p>
          <w:p w14:paraId="5620DF15">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2.可实施性：切合本项目实际情况，提出思路清晰、合理的建议。3.合理性：内容符合项目实际、合理、适用。</w:t>
            </w:r>
          </w:p>
          <w:p w14:paraId="4A14AD7C">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4.规范性：符合行业规范及项目履约管理要求，具备参考价值。</w:t>
            </w:r>
          </w:p>
          <w:p w14:paraId="3EA1C163">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b/>
                <w:bCs/>
                <w:color w:val="auto"/>
                <w:sz w:val="24"/>
                <w:szCs w:val="24"/>
                <w:highlight w:val="none"/>
                <w:lang w:val="en-US" w:eastAsia="zh-CN"/>
              </w:rPr>
            </w:pPr>
            <w:r>
              <w:rPr>
                <w:rFonts w:hint="eastAsia" w:ascii="仿宋_GB2312" w:hAnsi="仿宋_GB2312" w:eastAsia="仿宋_GB2312" w:cs="仿宋_GB2312"/>
                <w:b/>
                <w:bCs/>
                <w:color w:val="auto"/>
                <w:sz w:val="24"/>
                <w:szCs w:val="24"/>
                <w:highlight w:val="none"/>
                <w:lang w:val="en-US" w:eastAsia="zh-CN"/>
              </w:rPr>
              <w:t>三、赋分标准（满分4分）</w:t>
            </w:r>
          </w:p>
          <w:p w14:paraId="6299B29F">
            <w:pPr>
              <w:keepNext w:val="0"/>
              <w:keepLines w:val="0"/>
              <w:pageBreakBefore w:val="0"/>
              <w:widowControl/>
              <w:wordWrap/>
              <w:overflowPunct/>
              <w:topLinePunct w:val="0"/>
              <w:bidi w:val="0"/>
              <w:snapToGrid w:val="0"/>
              <w:spacing w:line="360" w:lineRule="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合理化建议：每满足一项评审标准得1分，满分4分。</w:t>
            </w:r>
          </w:p>
        </w:tc>
      </w:tr>
      <w:tr w14:paraId="3AF4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33" w:type="dxa"/>
            <w:tcBorders>
              <w:top w:val="single" w:color="auto" w:sz="4" w:space="0"/>
              <w:left w:val="single" w:color="auto" w:sz="4" w:space="0"/>
              <w:bottom w:val="single" w:color="auto" w:sz="4" w:space="0"/>
              <w:right w:val="single" w:color="auto" w:sz="4" w:space="0"/>
            </w:tcBorders>
            <w:noWrap w:val="0"/>
            <w:vAlign w:val="center"/>
          </w:tcPr>
          <w:p w14:paraId="74D2867C">
            <w:pPr>
              <w:keepNext w:val="0"/>
              <w:keepLines w:val="0"/>
              <w:pageBreakBefore w:val="0"/>
              <w:widowControl w:val="0"/>
              <w:tabs>
                <w:tab w:val="center" w:pos="4153"/>
                <w:tab w:val="right" w:pos="8306"/>
              </w:tabs>
              <w:wordWrap/>
              <w:overflowPunct/>
              <w:topLinePunct w:val="0"/>
              <w:bidi w:val="0"/>
              <w:snapToGrid w:val="0"/>
              <w:spacing w:line="360" w:lineRule="auto"/>
              <w:jc w:val="center"/>
              <w:rPr>
                <w:rFonts w:hint="default" w:ascii="仿宋_GB2312" w:hAnsi="仿宋_GB2312" w:eastAsia="仿宋_GB2312" w:cs="仿宋_GB2312"/>
                <w:color w:val="auto"/>
                <w:kern w:val="0"/>
                <w:sz w:val="24"/>
                <w:szCs w:val="24"/>
                <w:highlight w:val="none"/>
                <w:lang w:val="en-US" w:eastAsia="zh-CN" w:bidi="ar-SA"/>
              </w:rPr>
            </w:pPr>
            <w:r>
              <w:rPr>
                <w:rFonts w:hint="eastAsia" w:ascii="仿宋_GB2312" w:hAnsi="仿宋_GB2312" w:eastAsia="仿宋_GB2312" w:cs="仿宋_GB2312"/>
                <w:color w:val="auto"/>
                <w:kern w:val="0"/>
                <w:sz w:val="24"/>
                <w:szCs w:val="24"/>
                <w:highlight w:val="none"/>
                <w:lang w:val="en-US" w:eastAsia="zh-CN" w:bidi="ar-SA"/>
              </w:rPr>
              <w:t>13</w:t>
            </w:r>
          </w:p>
        </w:tc>
        <w:tc>
          <w:tcPr>
            <w:tcW w:w="837" w:type="dxa"/>
            <w:tcBorders>
              <w:top w:val="single" w:color="auto" w:sz="4" w:space="0"/>
              <w:left w:val="single" w:color="auto" w:sz="4" w:space="0"/>
              <w:bottom w:val="single" w:color="auto" w:sz="4" w:space="0"/>
              <w:right w:val="single" w:color="auto" w:sz="4" w:space="0"/>
            </w:tcBorders>
            <w:noWrap w:val="0"/>
            <w:vAlign w:val="center"/>
          </w:tcPr>
          <w:p w14:paraId="30DE6B48">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接受监督</w:t>
            </w:r>
          </w:p>
        </w:tc>
        <w:tc>
          <w:tcPr>
            <w:tcW w:w="804" w:type="dxa"/>
            <w:tcBorders>
              <w:top w:val="single" w:color="auto" w:sz="4" w:space="0"/>
              <w:left w:val="single" w:color="auto" w:sz="4" w:space="0"/>
              <w:bottom w:val="single" w:color="auto" w:sz="4" w:space="0"/>
              <w:right w:val="single" w:color="auto" w:sz="4" w:space="0"/>
            </w:tcBorders>
            <w:noWrap w:val="0"/>
            <w:vAlign w:val="center"/>
          </w:tcPr>
          <w:p w14:paraId="414CD201">
            <w:pPr>
              <w:keepNext w:val="0"/>
              <w:keepLines w:val="0"/>
              <w:pageBreakBefore w:val="0"/>
              <w:widowControl/>
              <w:wordWrap/>
              <w:overflowPunct/>
              <w:topLinePunct w:val="0"/>
              <w:bidi w:val="0"/>
              <w:snapToGrid w:val="0"/>
              <w:spacing w:line="360" w:lineRule="auto"/>
              <w:jc w:val="center"/>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8分</w:t>
            </w:r>
          </w:p>
        </w:tc>
        <w:tc>
          <w:tcPr>
            <w:tcW w:w="7082" w:type="dxa"/>
            <w:tcBorders>
              <w:top w:val="single" w:color="auto" w:sz="4" w:space="0"/>
              <w:left w:val="single" w:color="auto" w:sz="4" w:space="0"/>
              <w:bottom w:val="single" w:color="auto" w:sz="4" w:space="0"/>
              <w:right w:val="single" w:color="auto" w:sz="4" w:space="0"/>
            </w:tcBorders>
            <w:noWrap w:val="0"/>
            <w:vAlign w:val="center"/>
          </w:tcPr>
          <w:p w14:paraId="643D9A8F">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1.承诺接受采购人对服务的监督管理，得2分。</w:t>
            </w:r>
          </w:p>
          <w:p w14:paraId="3F5A7C01">
            <w:pPr>
              <w:keepNext w:val="0"/>
              <w:keepLines w:val="0"/>
              <w:pageBreakBefore w:val="0"/>
              <w:widowControl/>
              <w:wordWrap/>
              <w:overflowPunct/>
              <w:topLinePunct w:val="0"/>
              <w:bidi w:val="0"/>
              <w:snapToGrid w:val="0"/>
              <w:spacing w:line="360" w:lineRule="auto"/>
              <w:rPr>
                <w:rFonts w:hint="eastAsia" w:ascii="仿宋_GB2312" w:hAnsi="仿宋_GB2312" w:eastAsia="仿宋_GB2312" w:cs="仿宋_GB2312"/>
                <w:color w:val="auto"/>
                <w:spacing w:val="-6"/>
                <w:kern w:val="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2.承诺</w:t>
            </w:r>
            <w:r>
              <w:rPr>
                <w:rFonts w:hint="eastAsia" w:ascii="仿宋_GB2312" w:hAnsi="仿宋_GB2312" w:eastAsia="仿宋_GB2312" w:cs="仿宋_GB2312"/>
                <w:color w:val="auto"/>
                <w:spacing w:val="-6"/>
                <w:kern w:val="2"/>
                <w:sz w:val="24"/>
                <w:szCs w:val="24"/>
                <w:highlight w:val="none"/>
                <w:lang w:val="en-US" w:eastAsia="zh-CN"/>
              </w:rPr>
              <w:t>接受采购人对服务质量定期调研，得2分。</w:t>
            </w:r>
          </w:p>
          <w:p w14:paraId="27DCAE82">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3.承诺接受</w:t>
            </w:r>
            <w:r>
              <w:rPr>
                <w:rFonts w:hint="eastAsia" w:ascii="仿宋_GB2312" w:hAnsi="仿宋_GB2312" w:eastAsia="仿宋_GB2312" w:cs="仿宋_GB2312"/>
                <w:color w:val="auto"/>
                <w:spacing w:val="-6"/>
                <w:kern w:val="2"/>
                <w:sz w:val="24"/>
                <w:szCs w:val="24"/>
                <w:highlight w:val="none"/>
                <w:lang w:val="en-US" w:eastAsia="zh-CN"/>
              </w:rPr>
              <w:t>采购人对供应商的技术成果考核</w:t>
            </w:r>
            <w:r>
              <w:rPr>
                <w:rFonts w:hint="eastAsia" w:ascii="仿宋_GB2312" w:hAnsi="仿宋_GB2312" w:eastAsia="仿宋_GB2312" w:cs="仿宋_GB2312"/>
                <w:color w:val="auto"/>
                <w:sz w:val="24"/>
                <w:szCs w:val="24"/>
                <w:highlight w:val="none"/>
                <w:lang w:val="en-US" w:eastAsia="zh-CN"/>
              </w:rPr>
              <w:t>，得2分。</w:t>
            </w:r>
          </w:p>
          <w:p w14:paraId="375B5A9C">
            <w:pPr>
              <w:keepNext w:val="0"/>
              <w:keepLines w:val="0"/>
              <w:pageBreakBefore w:val="0"/>
              <w:widowControl/>
              <w:wordWrap/>
              <w:overflowPunct/>
              <w:topLinePunct w:val="0"/>
              <w:bidi w:val="0"/>
              <w:snapToGrid w:val="0"/>
              <w:spacing w:line="360" w:lineRule="auto"/>
              <w:ind w:left="0" w:leftChars="0" w:right="0" w:rightChars="0" w:firstLine="0" w:firstLineChars="0"/>
              <w:jc w:val="left"/>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r>
              <w:rPr>
                <w:rFonts w:hint="default" w:ascii="仿宋_GB2312" w:hAnsi="仿宋_GB2312" w:eastAsia="仿宋_GB2312" w:cs="仿宋_GB2312"/>
                <w:color w:val="auto"/>
                <w:sz w:val="24"/>
                <w:szCs w:val="24"/>
                <w:highlight w:val="none"/>
                <w:lang w:val="en-US" w:eastAsia="zh-CN"/>
              </w:rPr>
              <w:t>承诺</w:t>
            </w:r>
            <w:r>
              <w:rPr>
                <w:rFonts w:hint="eastAsia" w:ascii="仿宋_GB2312" w:hAnsi="仿宋_GB2312" w:eastAsia="仿宋_GB2312" w:cs="仿宋_GB2312"/>
                <w:color w:val="auto"/>
                <w:sz w:val="24"/>
                <w:szCs w:val="24"/>
                <w:highlight w:val="none"/>
                <w:lang w:val="en-US" w:eastAsia="zh-CN"/>
              </w:rPr>
              <w:t>接受</w:t>
            </w:r>
            <w:r>
              <w:rPr>
                <w:rFonts w:hint="eastAsia" w:ascii="仿宋_GB2312" w:hAnsi="仿宋_GB2312" w:eastAsia="仿宋_GB2312" w:cs="仿宋_GB2312"/>
                <w:color w:val="auto"/>
                <w:spacing w:val="-6"/>
                <w:kern w:val="2"/>
                <w:sz w:val="24"/>
                <w:szCs w:val="24"/>
                <w:highlight w:val="none"/>
                <w:lang w:val="en-US" w:eastAsia="zh-CN"/>
              </w:rPr>
              <w:t>采购人对供应商的</w:t>
            </w:r>
            <w:r>
              <w:rPr>
                <w:rFonts w:hint="eastAsia" w:ascii="仿宋_GB2312" w:hAnsi="仿宋_GB2312" w:eastAsia="仿宋_GB2312" w:cs="仿宋_GB2312"/>
                <w:color w:val="auto"/>
                <w:sz w:val="24"/>
                <w:szCs w:val="24"/>
                <w:highlight w:val="none"/>
                <w:lang w:val="en-US" w:eastAsia="zh-CN"/>
              </w:rPr>
              <w:t>项目</w:t>
            </w:r>
            <w:r>
              <w:rPr>
                <w:rFonts w:hint="default" w:ascii="仿宋_GB2312" w:hAnsi="仿宋_GB2312" w:eastAsia="仿宋_GB2312" w:cs="仿宋_GB2312"/>
                <w:color w:val="auto"/>
                <w:sz w:val="24"/>
                <w:szCs w:val="24"/>
                <w:highlight w:val="none"/>
                <w:lang w:val="en-US" w:eastAsia="zh-CN"/>
              </w:rPr>
              <w:t>资料</w:t>
            </w:r>
            <w:r>
              <w:rPr>
                <w:rFonts w:hint="eastAsia" w:ascii="仿宋_GB2312" w:hAnsi="仿宋_GB2312" w:eastAsia="仿宋_GB2312" w:cs="仿宋_GB2312"/>
                <w:color w:val="auto"/>
                <w:sz w:val="24"/>
                <w:szCs w:val="24"/>
                <w:highlight w:val="none"/>
                <w:lang w:val="en-US" w:eastAsia="zh-CN"/>
              </w:rPr>
              <w:t>进行</w:t>
            </w:r>
            <w:r>
              <w:rPr>
                <w:rFonts w:hint="default" w:ascii="仿宋_GB2312" w:hAnsi="仿宋_GB2312" w:eastAsia="仿宋_GB2312" w:cs="仿宋_GB2312"/>
                <w:color w:val="auto"/>
                <w:sz w:val="24"/>
                <w:szCs w:val="24"/>
                <w:highlight w:val="none"/>
                <w:lang w:val="en-US" w:eastAsia="zh-CN"/>
              </w:rPr>
              <w:t>抽查并整改，得 2 分。</w:t>
            </w:r>
          </w:p>
        </w:tc>
      </w:tr>
    </w:tbl>
    <w:p w14:paraId="477C4D59">
      <w:pPr>
        <w:pStyle w:val="78"/>
        <w:widowControl/>
        <w:topLinePunct/>
        <w:autoSpaceDE w:val="0"/>
        <w:autoSpaceDN w:val="0"/>
        <w:adjustRightInd w:val="0"/>
        <w:snapToGrid w:val="0"/>
        <w:spacing w:before="78" w:line="247" w:lineRule="auto"/>
        <w:ind w:right="131"/>
        <w:jc w:val="center"/>
        <w:rPr>
          <w:rFonts w:hint="eastAsia" w:ascii="仿宋" w:hAnsi="仿宋" w:eastAsia="仿宋" w:cs="仿宋"/>
          <w:b/>
          <w:bCs/>
          <w:color w:val="000000"/>
          <w:spacing w:val="-1"/>
          <w:kern w:val="0"/>
          <w:sz w:val="32"/>
          <w:szCs w:val="32"/>
          <w:lang w:eastAsia="zh-CN"/>
        </w:rPr>
      </w:pPr>
    </w:p>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14:paraId="51535A63">
      <w:pPr>
        <w:keepNext w:val="0"/>
        <w:keepLines w:val="0"/>
        <w:pageBreakBefore/>
        <w:widowControl/>
        <w:numPr>
          <w:ilvl w:val="0"/>
          <w:numId w:val="7"/>
        </w:numPr>
        <w:kinsoku/>
        <w:wordWrap/>
        <w:overflowPunct/>
        <w:topLinePunct w:val="0"/>
        <w:autoSpaceDE/>
        <w:autoSpaceDN/>
        <w:bidi w:val="0"/>
        <w:adjustRightInd/>
        <w:snapToGrid/>
        <w:spacing w:line="240" w:lineRule="auto"/>
        <w:jc w:val="center"/>
        <w:textAlignment w:val="auto"/>
        <w:outlineLvl w:val="0"/>
        <w:rPr>
          <w:rFonts w:hint="eastAsia" w:ascii="黑体" w:hAnsi="黑体" w:eastAsia="黑体" w:cs="黑体"/>
          <w:color w:val="auto"/>
          <w:sz w:val="32"/>
          <w:szCs w:val="32"/>
        </w:rPr>
      </w:pPr>
      <w:bookmarkStart w:id="537" w:name="_Toc31266"/>
      <w:bookmarkStart w:id="538" w:name="_Toc14437"/>
      <w:bookmarkStart w:id="539" w:name="_Toc21122"/>
      <w:bookmarkStart w:id="540" w:name="_Toc20880"/>
      <w:bookmarkStart w:id="541" w:name="_Toc8978"/>
      <w:bookmarkStart w:id="542" w:name="_Toc15480"/>
      <w:bookmarkStart w:id="543" w:name="_Toc22019"/>
      <w:r>
        <w:rPr>
          <w:rFonts w:hint="eastAsia" w:ascii="黑体" w:hAnsi="黑体" w:eastAsia="黑体" w:cs="黑体"/>
          <w:color w:val="auto"/>
          <w:sz w:val="32"/>
          <w:szCs w:val="32"/>
        </w:rPr>
        <w:t xml:space="preserve"> 招标内容及采购要求</w:t>
      </w:r>
    </w:p>
    <w:p w14:paraId="6DC0997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1.项目背景</w:t>
      </w:r>
    </w:p>
    <w:p w14:paraId="25AF334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延安市中心城区详细规划是“五级三类”国土空间规划体系中的重要实施层级，是落实国土空间用途管制、核发城乡建设项目规划许可，推进城乡开发建设、城市更新、生态修复、用地整治等各项工作的法定核心依据。高精度现状地形图是国土空间详细规划编制的基础底图与核心空间底数，是保障规划科学性、精准性、落地性的重要前置条件。为全面摸清中心城区地形地貌、用地现状、地物分布等基础空间信息，夯实国土空间规划编制与自然资源精细化管理工作基础，依据自然资源相关工作部署及测绘、规划相关规范标准，组织开展本次中心城区现状地形图测绘工作。</w:t>
      </w:r>
    </w:p>
    <w:p w14:paraId="7AFCF386">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2.工作目标</w:t>
      </w:r>
    </w:p>
    <w:p w14:paraId="75C82A9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通过系统化、标准化的测绘作业，全面、精准获取中心城区地形地貌、用地布局、高程地貌等完整基础空间数据，彻底摸清中心城区现状空间底数，建立精准的1:1000现状地形图成果。保障测绘成果符合国家、行业相关技术规范标准，能够全面满足中心城区详细规划编制工作需求，为后续规划管理提供权威、精准的基础测绘支撑。</w:t>
      </w:r>
    </w:p>
    <w:p w14:paraId="02D4423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3.主要工作内容</w:t>
      </w:r>
    </w:p>
    <w:p w14:paraId="616A8DD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完成中心城区（40.14平方公里）1:1000现状地形图测绘，包括测绘技术设计、控制点成果、地形图及后续技术服务。</w:t>
      </w:r>
    </w:p>
    <w:p w14:paraId="192CBC08">
      <w:pPr>
        <w:rPr>
          <w:rFonts w:hint="eastAsia"/>
          <w:lang w:val="en-US" w:eastAsia="zh-CN"/>
        </w:rPr>
      </w:pPr>
    </w:p>
    <w:p w14:paraId="3E7F3F9D">
      <w:pPr>
        <w:keepNext w:val="0"/>
        <w:keepLines w:val="0"/>
        <w:pageBreakBefore w:val="0"/>
        <w:widowControl/>
        <w:overflowPunct/>
        <w:topLinePunct w:val="0"/>
        <w:bidi w:val="0"/>
        <w:spacing w:line="560" w:lineRule="exact"/>
        <w:ind w:firstLine="566" w:firstLineChars="200"/>
        <w:rPr>
          <w:rFonts w:hint="eastAsia" w:ascii="华文仿宋" w:hAnsi="华文仿宋" w:eastAsia="华文仿宋" w:cs="华文仿宋"/>
          <w:b/>
          <w:bCs/>
          <w:kern w:val="0"/>
          <w:sz w:val="28"/>
          <w:szCs w:val="28"/>
        </w:rPr>
      </w:pPr>
      <w:r>
        <w:rPr>
          <w:rFonts w:hint="eastAsia" w:ascii="华文仿宋" w:hAnsi="华文仿宋" w:eastAsia="华文仿宋" w:cs="华文仿宋"/>
          <w:b/>
          <w:bCs/>
          <w:kern w:val="0"/>
          <w:sz w:val="28"/>
          <w:szCs w:val="28"/>
        </w:rPr>
        <w:t>注：本</w:t>
      </w:r>
      <w:r>
        <w:rPr>
          <w:rFonts w:hint="eastAsia" w:ascii="华文仿宋" w:hAnsi="华文仿宋" w:eastAsia="华文仿宋" w:cs="华文仿宋"/>
          <w:b/>
          <w:bCs/>
          <w:kern w:val="0"/>
          <w:sz w:val="28"/>
          <w:szCs w:val="28"/>
          <w:lang w:val="en-US" w:eastAsia="zh-CN"/>
        </w:rPr>
        <w:t>项目</w:t>
      </w:r>
      <w:r>
        <w:rPr>
          <w:rFonts w:hint="eastAsia" w:ascii="华文仿宋" w:hAnsi="华文仿宋" w:cs="华文仿宋"/>
          <w:b/>
          <w:bCs/>
          <w:kern w:val="0"/>
          <w:sz w:val="28"/>
          <w:szCs w:val="28"/>
          <w:lang w:val="en-US" w:eastAsia="zh-CN"/>
        </w:rPr>
        <w:t>服务内容及要求</w:t>
      </w:r>
      <w:r>
        <w:rPr>
          <w:rFonts w:hint="eastAsia" w:ascii="华文仿宋" w:hAnsi="华文仿宋" w:eastAsia="华文仿宋" w:cs="华文仿宋"/>
          <w:b/>
          <w:bCs/>
          <w:kern w:val="0"/>
          <w:sz w:val="28"/>
          <w:szCs w:val="28"/>
        </w:rPr>
        <w:t>由采购人提供。</w:t>
      </w:r>
    </w:p>
    <w:bookmarkEnd w:id="537"/>
    <w:bookmarkEnd w:id="538"/>
    <w:bookmarkEnd w:id="539"/>
    <w:bookmarkEnd w:id="540"/>
    <w:bookmarkEnd w:id="541"/>
    <w:bookmarkEnd w:id="542"/>
    <w:bookmarkEnd w:id="543"/>
    <w:p w14:paraId="6B8D235E">
      <w:pPr>
        <w:spacing w:line="240" w:lineRule="auto"/>
        <w:jc w:val="center"/>
        <w:outlineLvl w:val="0"/>
        <w:rPr>
          <w:rFonts w:ascii="黑体" w:hAnsi="黑体" w:eastAsia="黑体" w:cs="黑体"/>
          <w:color w:val="auto"/>
          <w:kern w:val="44"/>
          <w:sz w:val="32"/>
          <w:szCs w:val="32"/>
        </w:rPr>
      </w:pPr>
      <w:bookmarkStart w:id="544" w:name="_Toc9304"/>
      <w:bookmarkEnd w:id="544"/>
      <w:bookmarkStart w:id="545" w:name="_Toc31055"/>
      <w:bookmarkEnd w:id="545"/>
      <w:bookmarkStart w:id="546" w:name="_Toc25069"/>
      <w:bookmarkEnd w:id="546"/>
      <w:bookmarkStart w:id="547" w:name="_Toc32397"/>
      <w:bookmarkEnd w:id="547"/>
      <w:bookmarkStart w:id="548" w:name="_Toc26291"/>
      <w:bookmarkEnd w:id="548"/>
      <w:r>
        <w:rPr>
          <w:rFonts w:hint="eastAsia" w:ascii="黑体" w:hAnsi="黑体" w:eastAsia="黑体" w:cs="黑体"/>
          <w:color w:val="auto"/>
          <w:kern w:val="44"/>
          <w:sz w:val="32"/>
          <w:szCs w:val="32"/>
        </w:rPr>
        <w:br w:type="page"/>
      </w:r>
      <w:r>
        <w:rPr>
          <w:rFonts w:hint="eastAsia" w:ascii="黑体" w:hAnsi="黑体" w:eastAsia="黑体" w:cs="黑体"/>
          <w:color w:val="auto"/>
          <w:kern w:val="44"/>
          <w:sz w:val="32"/>
          <w:szCs w:val="32"/>
        </w:rPr>
        <w:t>第五章  合同草案条款</w:t>
      </w:r>
    </w:p>
    <w:p w14:paraId="381BC255">
      <w:pPr>
        <w:pStyle w:val="3"/>
        <w:keepNext w:val="0"/>
        <w:widowControl w:val="0"/>
        <w:spacing w:line="500" w:lineRule="exact"/>
        <w:ind w:firstLine="567"/>
        <w:rPr>
          <w:rFonts w:hint="eastAsia" w:ascii="华文仿宋" w:hAnsi="华文仿宋" w:cs="华文仿宋"/>
          <w:b w:val="0"/>
          <w:bCs w:val="0"/>
          <w:sz w:val="28"/>
          <w:szCs w:val="28"/>
          <w:lang w:val="en-US" w:eastAsia="zh-CN"/>
        </w:rPr>
      </w:pPr>
      <w:bookmarkStart w:id="549" w:name="_Toc27349"/>
      <w:bookmarkStart w:id="550" w:name="_Toc17780"/>
      <w:bookmarkStart w:id="551" w:name="_Toc1902"/>
      <w:bookmarkStart w:id="552" w:name="_Toc495012823"/>
      <w:bookmarkStart w:id="553" w:name="_Toc495014613"/>
      <w:bookmarkStart w:id="554" w:name="_Toc23267"/>
      <w:bookmarkStart w:id="555" w:name="_Toc445306495"/>
      <w:bookmarkStart w:id="556" w:name="_Toc495012773"/>
      <w:bookmarkStart w:id="557" w:name="_Toc19548"/>
      <w:bookmarkStart w:id="558" w:name="_Toc13839"/>
      <w:bookmarkStart w:id="559" w:name="_Toc495014922"/>
      <w:bookmarkStart w:id="560" w:name="_Toc15751"/>
      <w:bookmarkStart w:id="561" w:name="_Toc13809"/>
      <w:bookmarkStart w:id="562" w:name="_Toc29064"/>
      <w:bookmarkStart w:id="563" w:name="_Toc5554"/>
      <w:bookmarkStart w:id="564" w:name="_Toc495014651"/>
      <w:bookmarkStart w:id="565" w:name="_Toc6821"/>
      <w:bookmarkStart w:id="566" w:name="_Toc495014587"/>
      <w:bookmarkStart w:id="567" w:name="_Toc495014956"/>
      <w:r>
        <w:rPr>
          <w:rFonts w:hint="eastAsia" w:ascii="华文仿宋" w:hAnsi="华文仿宋" w:cs="华文仿宋"/>
          <w:b w:val="0"/>
          <w:bCs w:val="0"/>
          <w:sz w:val="28"/>
          <w:szCs w:val="28"/>
          <w:lang w:val="en-US" w:eastAsia="zh-CN"/>
        </w:rPr>
        <w:t>一、知识产权</w:t>
      </w:r>
    </w:p>
    <w:p w14:paraId="78FD1396">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项目成果归延安市自然资源局所有，中标人应保证采购人在使用管理过程中，不承担任何涉及知识产权法律诉讼的责任。</w:t>
      </w:r>
    </w:p>
    <w:p w14:paraId="42C33405">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二、服务期</w:t>
      </w:r>
    </w:p>
    <w:p w14:paraId="3D6CA4A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合同签订之日起6个月。</w:t>
      </w:r>
    </w:p>
    <w:p w14:paraId="56B80C4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三、服务地点</w:t>
      </w:r>
    </w:p>
    <w:p w14:paraId="74C0983C">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采购人指定地点。</w:t>
      </w:r>
    </w:p>
    <w:p w14:paraId="17C9DDE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四、质量保证</w:t>
      </w:r>
    </w:p>
    <w:p w14:paraId="72D4452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中标人应当保证所提供的成果完全符合省、市相关技术标准规定的质量、内容等要求。</w:t>
      </w:r>
    </w:p>
    <w:p w14:paraId="38401AA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五、付款方式</w:t>
      </w:r>
    </w:p>
    <w:p w14:paraId="0AB7F965">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1.合同总价即中标金额，合同总价一次性包死，在合同执行过程中不受市场价格变化和其他任何因素的影响。</w:t>
      </w:r>
    </w:p>
    <w:p w14:paraId="0903C91A">
      <w:pPr>
        <w:pStyle w:val="3"/>
        <w:keepNext w:val="0"/>
        <w:widowControl w:val="0"/>
        <w:spacing w:line="500" w:lineRule="exact"/>
        <w:ind w:firstLine="567"/>
        <w:rPr>
          <w:rFonts w:hint="default"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w:t>
      </w:r>
      <w:r>
        <w:rPr>
          <w:rFonts w:hint="default" w:ascii="华文仿宋" w:hAnsi="华文仿宋" w:cs="华文仿宋"/>
          <w:b w:val="0"/>
          <w:bCs w:val="0"/>
          <w:sz w:val="28"/>
          <w:szCs w:val="28"/>
          <w:lang w:val="en-US" w:eastAsia="zh-CN"/>
        </w:rPr>
        <w:t>由采购人直接支付，付款方式为自合同签订之日起10日内预付合同总价款的50%，剩余款项在项目成果经验收通过后10日内一次性付清。</w:t>
      </w:r>
    </w:p>
    <w:p w14:paraId="23746A2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六、双方的权利和义务 </w:t>
      </w:r>
    </w:p>
    <w:p w14:paraId="33C2DD4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遵守相关法律法规，提供专业意见，是中标人的责任；提供必要的资料并保证所提供资料的真实性、合法性、完整性，恰当使用成果是采购人的责任。中标人对采购人和其他成果使用者不当使用成果所造成的后果不承担责任。</w:t>
      </w:r>
    </w:p>
    <w:p w14:paraId="5EA7DC3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 xml:space="preserve">2.采购人的权利和义务 </w:t>
      </w:r>
    </w:p>
    <w:p w14:paraId="38415E6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（1）采购人应按本合同约定付款；</w:t>
      </w:r>
    </w:p>
    <w:p w14:paraId="17766D7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（2）采购人将向中标人提供为完成服务工作所需要的信息、资料和其他相关协助，并对提供的文件、资料的真实性、准确性和合法性负责；</w:t>
      </w:r>
    </w:p>
    <w:p w14:paraId="0BFF5EE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（3）采购人有权随时了解中标人的工作进展情况，并对工作进展情况进行监督检查；</w:t>
      </w:r>
    </w:p>
    <w:p w14:paraId="6D002F1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（4）未按合同要求提供服务或质量不能满足技术要求，采购人有权终止合同，并对中标人违约行为进行追究，同时按《中华人民共和国政府采购法》的有关规定进行处罚；</w:t>
      </w:r>
    </w:p>
    <w:p w14:paraId="1ABDDE5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3.中标人的权利和义务</w:t>
      </w:r>
    </w:p>
    <w:p w14:paraId="6241E65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（1）中标人应根据本合同的约定，遵守职业道德规范，严格执行采购人委托的业务，并服从采购人的工作安排；</w:t>
      </w:r>
    </w:p>
    <w:p w14:paraId="61921BFE">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（2）中标人应根据本合同的约定，坚持独立、客观、公正的原则进行工作，应按照国家有关法律法规的要求，对其所出具成果的真实性、准确性、合法合规性承担责任；</w:t>
      </w:r>
    </w:p>
    <w:p w14:paraId="5FED9F18">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（3）中标人提供服务不符合合同规定，也未得到采购人认可时，应负责更换或重新组织，并承担由此而引起的延误责任；</w:t>
      </w:r>
    </w:p>
    <w:p w14:paraId="523D43F1">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（4）中标人对于采购人的涉密级业务需求、技术资料、数据、保密信息等严格保密，并承担泄密造成的后果。</w:t>
      </w:r>
    </w:p>
    <w:p w14:paraId="28BB123F">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七、售后服务</w:t>
      </w:r>
    </w:p>
    <w:p w14:paraId="5987E64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中标人应提供可靠的售后服务，在中心城区详细规划编制期间局部地形发生变化的应对地形进行更新补测。</w:t>
      </w:r>
    </w:p>
    <w:p w14:paraId="7A39CB87">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八、验收依据</w:t>
      </w:r>
    </w:p>
    <w:p w14:paraId="6A513324">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1.招标文件及中标人的投标文件；</w:t>
      </w:r>
    </w:p>
    <w:p w14:paraId="58C5A36A">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2.国家相应的标准、规范。</w:t>
      </w:r>
    </w:p>
    <w:p w14:paraId="5A4ADD32">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九、违约责任</w:t>
      </w:r>
    </w:p>
    <w:p w14:paraId="2AFCC6C3">
      <w:pPr>
        <w:pStyle w:val="3"/>
        <w:keepNext w:val="0"/>
        <w:widowControl w:val="0"/>
        <w:spacing w:line="500" w:lineRule="exact"/>
        <w:ind w:firstLine="567"/>
        <w:rPr>
          <w:rFonts w:hint="eastAsia" w:ascii="华文仿宋" w:hAnsi="华文仿宋" w:cs="华文仿宋"/>
          <w:b w:val="0"/>
          <w:bCs w:val="0"/>
          <w:sz w:val="28"/>
          <w:szCs w:val="28"/>
          <w:lang w:val="en-US" w:eastAsia="zh-CN"/>
        </w:rPr>
      </w:pPr>
      <w:r>
        <w:rPr>
          <w:rFonts w:hint="eastAsia" w:ascii="华文仿宋" w:hAnsi="华文仿宋" w:cs="华文仿宋"/>
          <w:b w:val="0"/>
          <w:bCs w:val="0"/>
          <w:sz w:val="28"/>
          <w:szCs w:val="28"/>
          <w:lang w:val="en-US" w:eastAsia="zh-CN"/>
        </w:rPr>
        <w:t>中标人未按期交付测绘成果、成果质量不达标、擅自转包分包或泄露测绘涉密资料的，应承担违约责任。成果不合格须无偿返工；逾期交付按合同总价万分之五/日计付违约金；出现严重违约情形，采购人有权解除合同、追回已付款项，中标人按合同总价10%支付违约金，违约金上限不超过合同总价20%，造成采购人损失的另行赔偿。采购人逾期付款按国家相关规定承担责任。</w:t>
      </w:r>
    </w:p>
    <w:p w14:paraId="37075D30">
      <w:pPr>
        <w:pStyle w:val="3"/>
        <w:keepNext w:val="0"/>
        <w:widowControl w:val="0"/>
        <w:spacing w:line="500" w:lineRule="exact"/>
        <w:ind w:firstLine="567"/>
        <w:rPr>
          <w:rFonts w:hint="eastAsia" w:ascii="华文仿宋" w:hAnsi="华文仿宋" w:eastAsia="华文仿宋" w:cs="华文仿宋"/>
          <w:b w:val="0"/>
          <w:bCs w:val="0"/>
          <w:sz w:val="28"/>
          <w:szCs w:val="28"/>
          <w:lang w:eastAsia="zh-CN"/>
        </w:rPr>
      </w:pPr>
      <w:r>
        <w:rPr>
          <w:rFonts w:hint="eastAsia" w:ascii="华文仿宋" w:hAnsi="华文仿宋" w:cs="华文仿宋"/>
          <w:b/>
          <w:bCs/>
          <w:sz w:val="28"/>
          <w:szCs w:val="28"/>
          <w:lang w:val="en-US" w:eastAsia="zh-CN"/>
        </w:rPr>
        <w:t>十、</w:t>
      </w:r>
      <w:r>
        <w:rPr>
          <w:rFonts w:hint="eastAsia" w:ascii="华文仿宋" w:hAnsi="华文仿宋" w:eastAsia="华文仿宋" w:cs="华文仿宋"/>
          <w:b/>
          <w:bCs/>
          <w:sz w:val="28"/>
          <w:szCs w:val="28"/>
          <w:lang w:eastAsia="zh-CN"/>
        </w:rPr>
        <w:t>合同争议的解决：合同执行中发生争议的，当事人双方应协商解决，协商达不成一致时，可向采购人所在地的人民法院提请诉讼。</w:t>
      </w:r>
      <w:r>
        <w:rPr>
          <w:rFonts w:hint="eastAsia" w:ascii="华文仿宋" w:hAnsi="华文仿宋" w:eastAsia="华文仿宋" w:cs="华文仿宋"/>
          <w:b w:val="0"/>
          <w:bCs w:val="0"/>
          <w:sz w:val="28"/>
          <w:szCs w:val="28"/>
          <w:lang w:eastAsia="zh-CN"/>
        </w:rPr>
        <w:t xml:space="preserve"> </w:t>
      </w:r>
    </w:p>
    <w:p w14:paraId="36E1AA00">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eastAsia="zh-CN"/>
        </w:rPr>
        <w:t>、</w:t>
      </w:r>
      <w:r>
        <w:rPr>
          <w:rFonts w:hint="eastAsia" w:ascii="华文仿宋" w:hAnsi="华文仿宋" w:cs="华文仿宋"/>
          <w:b/>
          <w:bCs/>
          <w:color w:val="000000"/>
          <w:sz w:val="28"/>
          <w:szCs w:val="28"/>
          <w:lang w:val="en-US" w:eastAsia="zh-CN"/>
        </w:rPr>
        <w:t>合同一经签订，不得擅自变更、中止或者终止合同。对确需变更、调整或者中止、终止合同的，应按规定履行相应的手续。</w:t>
      </w:r>
    </w:p>
    <w:p w14:paraId="1A623C4A">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十二、本合同从签订之日起生效，合同规定的全部事宜和程序结束后终止。合同份数不低于四份，具体份数由采购人和中标供应商依需商定。</w:t>
      </w:r>
    </w:p>
    <w:p w14:paraId="4E92FDE9">
      <w:pPr>
        <w:pStyle w:val="3"/>
        <w:keepNext w:val="0"/>
        <w:widowControl w:val="0"/>
        <w:spacing w:line="500" w:lineRule="exact"/>
        <w:ind w:firstLine="567"/>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十三、未尽事宜由双方在签订合同时具体明确，但不得超出招标文件合同草案规定。</w:t>
      </w:r>
    </w:p>
    <w:p w14:paraId="15E81AFE">
      <w:pPr>
        <w:pStyle w:val="3"/>
        <w:keepNext w:val="0"/>
        <w:widowControl w:val="0"/>
        <w:spacing w:line="480" w:lineRule="exact"/>
        <w:ind w:firstLine="567"/>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本合同须经延安市公共资源交易中心（延安市市直单位政府采购中心）确认，否则无效。</w:t>
      </w:r>
    </w:p>
    <w:p w14:paraId="21D1EA33">
      <w:pPr>
        <w:pStyle w:val="3"/>
        <w:keepNext w:val="0"/>
        <w:widowControl w:val="0"/>
        <w:spacing w:line="480" w:lineRule="exact"/>
        <w:ind w:firstLine="567"/>
        <w:rPr>
          <w:rFonts w:hint="eastAsia" w:ascii="华文仿宋" w:hAnsi="华文仿宋" w:cs="华文仿宋"/>
          <w:b w:val="0"/>
          <w:bCs w:val="0"/>
          <w:color w:val="000000"/>
          <w:sz w:val="28"/>
          <w:szCs w:val="28"/>
          <w:lang w:eastAsia="zh-CN"/>
        </w:rPr>
      </w:pP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14:paraId="1B0674F8">
      <w:pPr>
        <w:spacing w:line="500" w:lineRule="exact"/>
        <w:jc w:val="center"/>
        <w:outlineLvl w:val="0"/>
        <w:rPr>
          <w:rFonts w:hint="eastAsia" w:ascii="黑体" w:hAnsi="黑体" w:eastAsia="黑体" w:cs="黑体"/>
          <w:color w:val="auto"/>
          <w:sz w:val="32"/>
          <w:szCs w:val="32"/>
        </w:rPr>
      </w:pPr>
    </w:p>
    <w:p w14:paraId="4F5C79F4">
      <w:pPr>
        <w:spacing w:line="500" w:lineRule="exact"/>
        <w:jc w:val="center"/>
        <w:outlineLvl w:val="0"/>
        <w:rPr>
          <w:rFonts w:hint="eastAsia" w:ascii="黑体" w:hAnsi="黑体" w:eastAsia="黑体" w:cs="黑体"/>
          <w:color w:val="auto"/>
          <w:sz w:val="32"/>
          <w:szCs w:val="32"/>
        </w:rPr>
      </w:pPr>
    </w:p>
    <w:p w14:paraId="76EFFDA7">
      <w:pPr>
        <w:spacing w:line="500" w:lineRule="exact"/>
        <w:jc w:val="center"/>
        <w:outlineLvl w:val="0"/>
        <w:rPr>
          <w:rFonts w:hint="eastAsia" w:ascii="黑体" w:hAnsi="黑体" w:eastAsia="黑体" w:cs="黑体"/>
          <w:color w:val="auto"/>
          <w:sz w:val="32"/>
          <w:szCs w:val="32"/>
        </w:rPr>
      </w:pPr>
    </w:p>
    <w:p w14:paraId="01CEFF8E">
      <w:pPr>
        <w:spacing w:line="500" w:lineRule="exact"/>
        <w:jc w:val="center"/>
        <w:outlineLvl w:val="0"/>
        <w:rPr>
          <w:rFonts w:hint="eastAsia" w:ascii="黑体" w:hAnsi="黑体" w:eastAsia="黑体" w:cs="黑体"/>
          <w:color w:val="auto"/>
          <w:sz w:val="32"/>
          <w:szCs w:val="32"/>
        </w:rPr>
      </w:pPr>
    </w:p>
    <w:p w14:paraId="0E37E42A">
      <w:pPr>
        <w:spacing w:line="500" w:lineRule="exact"/>
        <w:jc w:val="center"/>
        <w:outlineLvl w:val="0"/>
        <w:rPr>
          <w:rFonts w:hint="eastAsia" w:ascii="黑体" w:hAnsi="黑体" w:eastAsia="黑体" w:cs="黑体"/>
          <w:color w:val="auto"/>
          <w:sz w:val="32"/>
          <w:szCs w:val="32"/>
        </w:rPr>
      </w:pPr>
    </w:p>
    <w:p w14:paraId="15505528">
      <w:pPr>
        <w:spacing w:line="500" w:lineRule="exact"/>
        <w:jc w:val="center"/>
        <w:outlineLvl w:val="0"/>
        <w:rPr>
          <w:rFonts w:hint="eastAsia" w:ascii="黑体" w:hAnsi="黑体" w:eastAsia="黑体" w:cs="黑体"/>
          <w:color w:val="auto"/>
          <w:sz w:val="32"/>
          <w:szCs w:val="32"/>
        </w:rPr>
      </w:pPr>
    </w:p>
    <w:p w14:paraId="7BE6C572">
      <w:pPr>
        <w:spacing w:line="500" w:lineRule="exact"/>
        <w:jc w:val="center"/>
        <w:outlineLvl w:val="0"/>
        <w:rPr>
          <w:rFonts w:hint="eastAsia" w:ascii="黑体" w:hAnsi="黑体" w:eastAsia="黑体" w:cs="黑体"/>
          <w:color w:val="auto"/>
          <w:sz w:val="32"/>
          <w:szCs w:val="32"/>
        </w:rPr>
      </w:pPr>
    </w:p>
    <w:p w14:paraId="4DF146B1">
      <w:pPr>
        <w:spacing w:line="500" w:lineRule="exact"/>
        <w:jc w:val="center"/>
        <w:outlineLvl w:val="0"/>
        <w:rPr>
          <w:rFonts w:hint="eastAsia" w:ascii="黑体" w:hAnsi="黑体" w:eastAsia="黑体" w:cs="黑体"/>
          <w:color w:val="auto"/>
          <w:sz w:val="32"/>
          <w:szCs w:val="32"/>
        </w:rPr>
      </w:pPr>
    </w:p>
    <w:p w14:paraId="111B08DC">
      <w:pPr>
        <w:spacing w:line="500" w:lineRule="exact"/>
        <w:jc w:val="center"/>
        <w:outlineLvl w:val="0"/>
        <w:rPr>
          <w:rFonts w:hint="eastAsia" w:ascii="黑体" w:hAnsi="黑体" w:eastAsia="黑体" w:cs="黑体"/>
          <w:color w:val="auto"/>
          <w:sz w:val="32"/>
          <w:szCs w:val="32"/>
        </w:rPr>
      </w:pPr>
    </w:p>
    <w:p w14:paraId="0AC154F7">
      <w:pPr>
        <w:spacing w:line="500" w:lineRule="exact"/>
        <w:jc w:val="center"/>
        <w:outlineLvl w:val="0"/>
        <w:rPr>
          <w:rFonts w:hint="eastAsia" w:ascii="黑体" w:hAnsi="黑体" w:eastAsia="黑体" w:cs="黑体"/>
          <w:color w:val="auto"/>
          <w:sz w:val="32"/>
          <w:szCs w:val="32"/>
        </w:rPr>
      </w:pPr>
    </w:p>
    <w:p w14:paraId="609F38F7">
      <w:pPr>
        <w:spacing w:line="500" w:lineRule="exact"/>
        <w:jc w:val="center"/>
        <w:outlineLvl w:val="0"/>
        <w:rPr>
          <w:rFonts w:hint="eastAsia" w:ascii="黑体" w:hAnsi="黑体" w:eastAsia="黑体" w:cs="黑体"/>
          <w:color w:val="auto"/>
          <w:sz w:val="32"/>
          <w:szCs w:val="32"/>
        </w:rPr>
      </w:pPr>
    </w:p>
    <w:p w14:paraId="034C8413">
      <w:pPr>
        <w:spacing w:line="500" w:lineRule="exact"/>
        <w:jc w:val="center"/>
        <w:outlineLvl w:val="0"/>
        <w:rPr>
          <w:rFonts w:hint="eastAsia" w:ascii="黑体" w:hAnsi="黑体" w:eastAsia="黑体" w:cs="黑体"/>
          <w:color w:val="auto"/>
          <w:sz w:val="32"/>
          <w:szCs w:val="32"/>
        </w:rPr>
      </w:pPr>
    </w:p>
    <w:p w14:paraId="769A8592">
      <w:pPr>
        <w:spacing w:line="500" w:lineRule="exact"/>
        <w:jc w:val="center"/>
        <w:outlineLvl w:val="0"/>
        <w:rPr>
          <w:rFonts w:hint="eastAsia" w:ascii="黑体" w:hAnsi="黑体" w:eastAsia="黑体" w:cs="黑体"/>
          <w:color w:val="auto"/>
          <w:sz w:val="32"/>
          <w:szCs w:val="32"/>
        </w:rPr>
      </w:pPr>
    </w:p>
    <w:p w14:paraId="7BACEA1B">
      <w:pPr>
        <w:spacing w:line="500" w:lineRule="exact"/>
        <w:jc w:val="center"/>
        <w:outlineLvl w:val="0"/>
        <w:rPr>
          <w:rFonts w:hint="eastAsia" w:ascii="黑体" w:hAnsi="黑体" w:eastAsia="黑体" w:cs="黑体"/>
          <w:color w:val="auto"/>
          <w:sz w:val="32"/>
          <w:szCs w:val="32"/>
        </w:rPr>
      </w:pPr>
    </w:p>
    <w:p w14:paraId="5DC71856">
      <w:pPr>
        <w:spacing w:line="500" w:lineRule="exact"/>
        <w:jc w:val="center"/>
        <w:outlineLvl w:val="0"/>
        <w:rPr>
          <w:rFonts w:hint="eastAsia" w:ascii="黑体" w:hAnsi="黑体" w:eastAsia="黑体" w:cs="黑体"/>
          <w:color w:val="auto"/>
          <w:sz w:val="32"/>
          <w:szCs w:val="32"/>
        </w:rPr>
      </w:pPr>
    </w:p>
    <w:p w14:paraId="1BC20A75">
      <w:pPr>
        <w:spacing w:line="500" w:lineRule="exact"/>
        <w:jc w:val="center"/>
        <w:outlineLvl w:val="0"/>
        <w:rPr>
          <w:rFonts w:hint="eastAsia" w:ascii="黑体" w:hAnsi="黑体" w:eastAsia="黑体" w:cs="黑体"/>
          <w:color w:val="auto"/>
          <w:sz w:val="32"/>
          <w:szCs w:val="32"/>
        </w:rPr>
      </w:pPr>
    </w:p>
    <w:p w14:paraId="779EE4E3">
      <w:pPr>
        <w:spacing w:line="500" w:lineRule="exact"/>
        <w:jc w:val="center"/>
        <w:outlineLvl w:val="0"/>
        <w:rPr>
          <w:rFonts w:hint="eastAsia" w:ascii="黑体" w:hAnsi="黑体" w:eastAsia="黑体" w:cs="黑体"/>
          <w:color w:val="auto"/>
          <w:sz w:val="32"/>
          <w:szCs w:val="32"/>
        </w:rPr>
      </w:pPr>
    </w:p>
    <w:p w14:paraId="5A82A5E0">
      <w:pPr>
        <w:spacing w:line="500" w:lineRule="exact"/>
        <w:jc w:val="center"/>
        <w:outlineLvl w:val="0"/>
        <w:rPr>
          <w:rFonts w:hint="eastAsia" w:ascii="黑体" w:hAnsi="黑体" w:eastAsia="黑体" w:cs="黑体"/>
          <w:color w:val="auto"/>
          <w:sz w:val="32"/>
          <w:szCs w:val="32"/>
        </w:rPr>
      </w:pPr>
    </w:p>
    <w:p w14:paraId="2511E932">
      <w:pPr>
        <w:spacing w:line="500" w:lineRule="exact"/>
        <w:jc w:val="center"/>
        <w:outlineLvl w:val="0"/>
        <w:rPr>
          <w:rFonts w:hint="eastAsia" w:ascii="黑体" w:hAnsi="黑体" w:eastAsia="黑体" w:cs="黑体"/>
          <w:color w:val="auto"/>
          <w:sz w:val="32"/>
          <w:szCs w:val="32"/>
        </w:rPr>
      </w:pPr>
    </w:p>
    <w:p w14:paraId="0E0F9A09">
      <w:pPr>
        <w:spacing w:line="500" w:lineRule="exact"/>
        <w:jc w:val="center"/>
        <w:outlineLvl w:val="0"/>
        <w:rPr>
          <w:rFonts w:hint="eastAsia" w:ascii="黑体" w:hAnsi="黑体" w:eastAsia="黑体" w:cs="黑体"/>
          <w:color w:val="auto"/>
          <w:sz w:val="32"/>
          <w:szCs w:val="32"/>
        </w:rPr>
      </w:pPr>
    </w:p>
    <w:p w14:paraId="2C55D10F">
      <w:pPr>
        <w:spacing w:line="500" w:lineRule="exact"/>
        <w:jc w:val="center"/>
        <w:outlineLvl w:val="0"/>
        <w:rPr>
          <w:rFonts w:ascii="黑体" w:hAnsi="黑体" w:eastAsia="黑体" w:cs="Times New Roman"/>
          <w:color w:val="auto"/>
          <w:sz w:val="32"/>
          <w:szCs w:val="32"/>
        </w:rPr>
      </w:pPr>
      <w:r>
        <w:rPr>
          <w:rFonts w:hint="eastAsia" w:ascii="黑体" w:hAnsi="黑体" w:eastAsia="黑体" w:cs="黑体"/>
          <w:color w:val="auto"/>
          <w:sz w:val="32"/>
          <w:szCs w:val="32"/>
        </w:rPr>
        <w:t>第六章  投标文件构成及格式</w:t>
      </w:r>
    </w:p>
    <w:p w14:paraId="27BF1057">
      <w:pPr>
        <w:rPr>
          <w:rFonts w:cs="Times New Roman"/>
          <w:color w:val="auto"/>
        </w:rPr>
      </w:pPr>
    </w:p>
    <w:tbl>
      <w:tblPr>
        <w:tblStyle w:val="29"/>
        <w:tblW w:w="8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1B14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8190" w:type="dxa"/>
            <w:noWrap/>
            <w:vAlign w:val="top"/>
          </w:tcPr>
          <w:p w14:paraId="00514AF8">
            <w:pPr>
              <w:spacing w:before="120"/>
              <w:rPr>
                <w:rFonts w:ascii="仿宋" w:hAnsi="仿宋" w:eastAsia="仿宋" w:cs="仿宋"/>
                <w:color w:val="auto"/>
                <w:sz w:val="24"/>
                <w:szCs w:val="24"/>
              </w:rPr>
            </w:pPr>
            <w:r>
              <w:rPr>
                <w:rFonts w:hint="eastAsia" w:ascii="仿宋" w:hAnsi="仿宋" w:eastAsia="仿宋" w:cs="仿宋"/>
                <w:color w:val="auto"/>
                <w:sz w:val="24"/>
                <w:szCs w:val="24"/>
              </w:rPr>
              <w:t>注释：</w:t>
            </w:r>
          </w:p>
          <w:p w14:paraId="2124AC20">
            <w:pPr>
              <w:spacing w:before="120" w:line="420" w:lineRule="exact"/>
              <w:ind w:firstLine="486" w:firstLineChars="200"/>
              <w:jc w:val="left"/>
              <w:rPr>
                <w:rFonts w:ascii="仿宋" w:hAnsi="仿宋" w:eastAsia="仿宋" w:cs="Times New Roman"/>
                <w:color w:val="auto"/>
                <w:sz w:val="24"/>
                <w:szCs w:val="24"/>
              </w:rPr>
            </w:pPr>
            <w:r>
              <w:rPr>
                <w:rFonts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本章分为三部分，是为方便投标人制作投标文件设计。第一、二部分应按要求或给定格式选择填报。</w:t>
            </w:r>
          </w:p>
          <w:p w14:paraId="4B7CDF4B">
            <w:pPr>
              <w:spacing w:before="120" w:line="420" w:lineRule="exact"/>
              <w:ind w:firstLine="486" w:firstLineChars="200"/>
              <w:jc w:val="left"/>
              <w:rPr>
                <w:rFonts w:ascii="仿宋" w:hAnsi="仿宋" w:eastAsia="仿宋" w:cs="Times New Roman"/>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第三部分投标方案格式仅供参考，投标人应根据项目特点，结合本次招标要求，对有关表格进行补充或修改，但不得对实质性文件的相关条款作出变动。</w:t>
            </w:r>
          </w:p>
        </w:tc>
      </w:tr>
    </w:tbl>
    <w:p w14:paraId="5AB1E993">
      <w:pPr>
        <w:pStyle w:val="60"/>
        <w:spacing w:line="240" w:lineRule="auto"/>
        <w:ind w:firstLine="0" w:firstLineChars="0"/>
        <w:rPr>
          <w:rFonts w:ascii="黑体" w:hAnsi="黑体" w:eastAsia="黑体" w:cs="Times New Roman"/>
          <w:color w:val="auto"/>
        </w:rPr>
      </w:pPr>
    </w:p>
    <w:p w14:paraId="2719380E">
      <w:pPr>
        <w:pStyle w:val="60"/>
        <w:spacing w:line="240" w:lineRule="auto"/>
        <w:ind w:firstLine="0" w:firstLineChars="0"/>
        <w:rPr>
          <w:rFonts w:ascii="黑体" w:hAnsi="黑体" w:eastAsia="黑体" w:cs="Times New Roman"/>
          <w:color w:val="auto"/>
        </w:rPr>
      </w:pPr>
    </w:p>
    <w:p w14:paraId="26BA1C46">
      <w:pPr>
        <w:pStyle w:val="60"/>
        <w:spacing w:line="240" w:lineRule="auto"/>
        <w:ind w:firstLine="0" w:firstLineChars="0"/>
        <w:rPr>
          <w:rFonts w:ascii="黑体" w:hAnsi="黑体" w:eastAsia="黑体" w:cs="Times New Roman"/>
          <w:color w:val="auto"/>
        </w:rPr>
      </w:pPr>
    </w:p>
    <w:p w14:paraId="17936A29">
      <w:pPr>
        <w:pStyle w:val="60"/>
        <w:spacing w:line="240" w:lineRule="auto"/>
        <w:ind w:firstLine="0" w:firstLineChars="0"/>
        <w:rPr>
          <w:rFonts w:ascii="黑体" w:hAnsi="黑体" w:eastAsia="黑体" w:cs="Times New Roman"/>
          <w:color w:val="auto"/>
        </w:rPr>
      </w:pPr>
    </w:p>
    <w:p w14:paraId="3347C4A6">
      <w:pPr>
        <w:pStyle w:val="60"/>
        <w:spacing w:line="240" w:lineRule="auto"/>
        <w:ind w:firstLine="0" w:firstLineChars="0"/>
        <w:rPr>
          <w:rFonts w:ascii="黑体" w:hAnsi="黑体" w:eastAsia="黑体" w:cs="Times New Roman"/>
          <w:color w:val="auto"/>
        </w:rPr>
      </w:pPr>
    </w:p>
    <w:p w14:paraId="68B0F142">
      <w:pPr>
        <w:pStyle w:val="60"/>
        <w:spacing w:line="240" w:lineRule="auto"/>
        <w:ind w:firstLine="0" w:firstLineChars="0"/>
        <w:rPr>
          <w:rFonts w:ascii="黑体" w:hAnsi="黑体" w:eastAsia="黑体" w:cs="Times New Roman"/>
          <w:color w:val="auto"/>
        </w:rPr>
      </w:pPr>
    </w:p>
    <w:p w14:paraId="19233AC0">
      <w:pPr>
        <w:pStyle w:val="60"/>
        <w:spacing w:line="240" w:lineRule="auto"/>
        <w:ind w:firstLine="0" w:firstLineChars="0"/>
        <w:rPr>
          <w:rFonts w:ascii="黑体" w:hAnsi="黑体" w:eastAsia="黑体" w:cs="Times New Roman"/>
          <w:color w:val="auto"/>
        </w:rPr>
      </w:pPr>
    </w:p>
    <w:p w14:paraId="3F641AB0">
      <w:pPr>
        <w:pStyle w:val="60"/>
        <w:spacing w:line="240" w:lineRule="auto"/>
        <w:ind w:firstLine="0" w:firstLineChars="0"/>
        <w:rPr>
          <w:rFonts w:ascii="黑体" w:hAnsi="黑体" w:eastAsia="黑体" w:cs="Times New Roman"/>
          <w:color w:val="auto"/>
        </w:rPr>
      </w:pPr>
    </w:p>
    <w:p w14:paraId="6983C6D7">
      <w:pPr>
        <w:pStyle w:val="60"/>
        <w:spacing w:line="240" w:lineRule="auto"/>
        <w:ind w:firstLine="0" w:firstLineChars="0"/>
        <w:rPr>
          <w:rFonts w:ascii="黑体" w:hAnsi="黑体" w:eastAsia="黑体" w:cs="Times New Roman"/>
          <w:color w:val="auto"/>
        </w:rPr>
      </w:pPr>
    </w:p>
    <w:p w14:paraId="3826A27B">
      <w:pPr>
        <w:pStyle w:val="60"/>
        <w:spacing w:line="240" w:lineRule="auto"/>
        <w:ind w:firstLine="0" w:firstLineChars="0"/>
        <w:rPr>
          <w:rFonts w:ascii="黑体" w:hAnsi="黑体" w:eastAsia="黑体" w:cs="Times New Roman"/>
          <w:color w:val="auto"/>
        </w:rPr>
      </w:pPr>
    </w:p>
    <w:p w14:paraId="4E3269CB">
      <w:pPr>
        <w:pStyle w:val="60"/>
        <w:spacing w:line="240" w:lineRule="auto"/>
        <w:ind w:firstLine="0" w:firstLineChars="0"/>
        <w:rPr>
          <w:rFonts w:ascii="黑体" w:hAnsi="黑体" w:eastAsia="黑体" w:cs="Times New Roman"/>
          <w:color w:val="auto"/>
        </w:rPr>
      </w:pPr>
    </w:p>
    <w:p w14:paraId="188DF9E0">
      <w:pPr>
        <w:pStyle w:val="60"/>
        <w:spacing w:line="240" w:lineRule="auto"/>
        <w:ind w:firstLine="0" w:firstLineChars="0"/>
        <w:rPr>
          <w:rFonts w:ascii="黑体" w:hAnsi="黑体" w:eastAsia="黑体" w:cs="Times New Roman"/>
          <w:color w:val="auto"/>
        </w:rPr>
      </w:pPr>
    </w:p>
    <w:p w14:paraId="6943BDE7">
      <w:pPr>
        <w:pStyle w:val="60"/>
        <w:spacing w:line="240" w:lineRule="auto"/>
        <w:ind w:firstLine="0" w:firstLineChars="0"/>
        <w:rPr>
          <w:rFonts w:ascii="黑体" w:hAnsi="黑体" w:eastAsia="黑体" w:cs="Times New Roman"/>
          <w:color w:val="auto"/>
        </w:rPr>
      </w:pPr>
    </w:p>
    <w:p w14:paraId="7423DF7C">
      <w:pPr>
        <w:pStyle w:val="60"/>
        <w:spacing w:line="240" w:lineRule="auto"/>
        <w:ind w:firstLine="0" w:firstLineChars="0"/>
        <w:rPr>
          <w:rFonts w:ascii="黑体" w:hAnsi="黑体" w:eastAsia="黑体" w:cs="Times New Roman"/>
          <w:color w:val="auto"/>
        </w:rPr>
      </w:pPr>
    </w:p>
    <w:p w14:paraId="6D0CFE3F">
      <w:pPr>
        <w:pStyle w:val="60"/>
        <w:spacing w:line="240" w:lineRule="auto"/>
        <w:ind w:firstLine="0" w:firstLineChars="0"/>
        <w:rPr>
          <w:rFonts w:ascii="黑体" w:hAnsi="黑体" w:eastAsia="黑体" w:cs="Times New Roman"/>
          <w:color w:val="auto"/>
        </w:rPr>
      </w:pPr>
    </w:p>
    <w:p w14:paraId="27B4B4A3">
      <w:pPr>
        <w:pStyle w:val="60"/>
        <w:spacing w:line="240" w:lineRule="auto"/>
        <w:ind w:firstLine="0" w:firstLineChars="0"/>
        <w:rPr>
          <w:rFonts w:ascii="黑体" w:hAnsi="黑体" w:eastAsia="黑体" w:cs="Times New Roman"/>
          <w:color w:val="auto"/>
        </w:rPr>
      </w:pPr>
    </w:p>
    <w:p w14:paraId="0FB9F353">
      <w:pPr>
        <w:pStyle w:val="60"/>
        <w:spacing w:line="240" w:lineRule="auto"/>
        <w:ind w:firstLine="0" w:firstLineChars="0"/>
        <w:rPr>
          <w:rFonts w:ascii="黑体" w:hAnsi="黑体" w:eastAsia="黑体" w:cs="Times New Roman"/>
          <w:color w:val="auto"/>
        </w:rPr>
      </w:pPr>
    </w:p>
    <w:p w14:paraId="5DDE85D9">
      <w:pPr>
        <w:pStyle w:val="60"/>
        <w:spacing w:line="240" w:lineRule="auto"/>
        <w:ind w:firstLine="0" w:firstLineChars="0"/>
        <w:rPr>
          <w:rFonts w:ascii="黑体" w:hAnsi="黑体" w:eastAsia="黑体" w:cs="Times New Roman"/>
          <w:color w:val="auto"/>
        </w:rPr>
      </w:pPr>
    </w:p>
    <w:p w14:paraId="7CE69C20">
      <w:pPr>
        <w:pStyle w:val="60"/>
        <w:spacing w:line="240" w:lineRule="auto"/>
        <w:ind w:firstLine="0" w:firstLineChars="0"/>
        <w:rPr>
          <w:rFonts w:ascii="黑体" w:hAnsi="黑体" w:eastAsia="黑体" w:cs="Times New Roman"/>
          <w:color w:val="auto"/>
        </w:rPr>
      </w:pPr>
    </w:p>
    <w:p w14:paraId="07A8D975">
      <w:pPr>
        <w:pStyle w:val="60"/>
        <w:spacing w:line="240" w:lineRule="auto"/>
        <w:ind w:firstLine="0" w:firstLineChars="0"/>
        <w:rPr>
          <w:rFonts w:ascii="黑体" w:hAnsi="黑体" w:eastAsia="黑体" w:cs="Times New Roman"/>
          <w:color w:val="auto"/>
        </w:rPr>
      </w:pPr>
    </w:p>
    <w:p w14:paraId="401CAAB4">
      <w:pPr>
        <w:pStyle w:val="60"/>
        <w:spacing w:line="240" w:lineRule="auto"/>
        <w:ind w:firstLine="0" w:firstLineChars="0"/>
        <w:rPr>
          <w:rFonts w:ascii="黑体" w:hAnsi="黑体" w:eastAsia="黑体" w:cs="Times New Roman"/>
          <w:color w:val="auto"/>
        </w:rPr>
      </w:pPr>
    </w:p>
    <w:p w14:paraId="0759F70E">
      <w:pPr>
        <w:pStyle w:val="60"/>
        <w:spacing w:line="240" w:lineRule="auto"/>
        <w:ind w:firstLine="0" w:firstLineChars="0"/>
        <w:rPr>
          <w:rFonts w:ascii="黑体" w:hAnsi="黑体" w:eastAsia="黑体" w:cs="Times New Roman"/>
          <w:color w:val="auto"/>
        </w:rPr>
      </w:pPr>
    </w:p>
    <w:p w14:paraId="584F9A47">
      <w:pPr>
        <w:pStyle w:val="60"/>
        <w:spacing w:line="240" w:lineRule="auto"/>
        <w:ind w:firstLine="0" w:firstLineChars="0"/>
        <w:rPr>
          <w:rFonts w:ascii="黑体" w:hAnsi="黑体" w:eastAsia="黑体" w:cs="Times New Roman"/>
          <w:color w:val="auto"/>
        </w:rPr>
      </w:pPr>
    </w:p>
    <w:p w14:paraId="7E397671">
      <w:pPr>
        <w:pStyle w:val="60"/>
        <w:spacing w:line="240" w:lineRule="auto"/>
        <w:ind w:firstLine="0" w:firstLineChars="0"/>
        <w:rPr>
          <w:rFonts w:ascii="黑体" w:hAnsi="黑体" w:eastAsia="黑体" w:cs="Times New Roman"/>
          <w:color w:val="auto"/>
        </w:rPr>
      </w:pPr>
    </w:p>
    <w:p w14:paraId="7BC7A8EF">
      <w:pPr>
        <w:pStyle w:val="60"/>
        <w:spacing w:line="240" w:lineRule="auto"/>
        <w:ind w:firstLine="0" w:firstLineChars="0"/>
        <w:rPr>
          <w:rFonts w:hint="eastAsia" w:ascii="黑体" w:hAnsi="黑体" w:eastAsia="黑体" w:cs="黑体"/>
          <w:color w:val="auto"/>
        </w:rPr>
      </w:pPr>
    </w:p>
    <w:p w14:paraId="53DD52E0">
      <w:pPr>
        <w:pStyle w:val="60"/>
        <w:spacing w:line="240" w:lineRule="auto"/>
        <w:ind w:firstLine="0" w:firstLineChars="0"/>
        <w:rPr>
          <w:rFonts w:hint="eastAsia" w:ascii="黑体" w:hAnsi="黑体" w:eastAsia="黑体" w:cs="黑体"/>
          <w:color w:val="auto"/>
        </w:rPr>
      </w:pPr>
    </w:p>
    <w:p w14:paraId="6FE31978">
      <w:pPr>
        <w:pStyle w:val="60"/>
        <w:spacing w:line="240" w:lineRule="auto"/>
        <w:ind w:firstLine="0" w:firstLineChars="0"/>
        <w:rPr>
          <w:rFonts w:ascii="黑体" w:hAnsi="黑体" w:eastAsia="黑体" w:cs="Times New Roman"/>
          <w:color w:val="auto"/>
        </w:rPr>
      </w:pPr>
      <w:r>
        <w:rPr>
          <w:rFonts w:hint="eastAsia" w:ascii="黑体" w:hAnsi="黑体" w:eastAsia="黑体" w:cs="黑体"/>
          <w:color w:val="auto"/>
        </w:rPr>
        <w:t>封面格式</w:t>
      </w:r>
    </w:p>
    <w:p w14:paraId="46A4C18A">
      <w:pPr>
        <w:pStyle w:val="60"/>
        <w:spacing w:line="240" w:lineRule="auto"/>
        <w:ind w:firstLine="253" w:firstLineChars="70"/>
        <w:jc w:val="center"/>
        <w:rPr>
          <w:rFonts w:cs="Times New Roman"/>
          <w:color w:val="auto"/>
          <w:sz w:val="36"/>
          <w:szCs w:val="36"/>
        </w:rPr>
      </w:pPr>
    </w:p>
    <w:p w14:paraId="7CF81D92">
      <w:pPr>
        <w:spacing w:line="240" w:lineRule="auto"/>
        <w:jc w:val="center"/>
        <w:rPr>
          <w:rFonts w:cs="Times New Roman"/>
          <w:color w:val="auto"/>
          <w:sz w:val="52"/>
          <w:szCs w:val="52"/>
        </w:rPr>
      </w:pPr>
      <w:r>
        <w:rPr>
          <w:rFonts w:hint="eastAsia" w:ascii="华文中宋" w:hAnsi="华文中宋" w:eastAsia="华文中宋" w:cs="华文中宋"/>
          <w:color w:val="auto"/>
          <w:sz w:val="52"/>
          <w:szCs w:val="52"/>
        </w:rPr>
        <w:t>陕西省</w:t>
      </w:r>
      <w:r>
        <w:rPr>
          <w:rFonts w:hint="eastAsia" w:ascii="华文中宋" w:hAnsi="华文中宋" w:eastAsia="华文中宋" w:cs="华文中宋"/>
          <w:color w:val="auto"/>
          <w:sz w:val="52"/>
          <w:szCs w:val="52"/>
          <w:lang w:val="en-US" w:eastAsia="zh-CN"/>
        </w:rPr>
        <w:t>延安市</w:t>
      </w:r>
      <w:r>
        <w:rPr>
          <w:rFonts w:hint="eastAsia" w:ascii="华文中宋" w:hAnsi="华文中宋" w:eastAsia="华文中宋" w:cs="华文中宋"/>
          <w:color w:val="auto"/>
          <w:sz w:val="52"/>
          <w:szCs w:val="52"/>
        </w:rPr>
        <w:t>政府采购服务项目</w:t>
      </w:r>
    </w:p>
    <w:p w14:paraId="06EC823A">
      <w:pPr>
        <w:spacing w:line="500" w:lineRule="exact"/>
        <w:ind w:right="11"/>
        <w:rPr>
          <w:rFonts w:cs="Times New Roman"/>
          <w:color w:val="auto"/>
          <w:u w:val="single"/>
        </w:rPr>
      </w:pPr>
    </w:p>
    <w:p w14:paraId="51AB1F56">
      <w:pPr>
        <w:pStyle w:val="60"/>
        <w:spacing w:line="240" w:lineRule="auto"/>
        <w:ind w:firstLine="0" w:firstLineChars="0"/>
        <w:jc w:val="center"/>
        <w:rPr>
          <w:rFonts w:ascii="华文中宋" w:hAnsi="华文中宋" w:eastAsia="华文中宋" w:cs="Times New Roman"/>
          <w:color w:val="auto"/>
          <w:sz w:val="96"/>
          <w:szCs w:val="96"/>
        </w:rPr>
      </w:pPr>
      <w:r>
        <w:rPr>
          <w:rFonts w:hint="eastAsia" w:ascii="华文中宋" w:hAnsi="华文中宋" w:eastAsia="华文中宋" w:cs="华文中宋"/>
          <w:color w:val="auto"/>
          <w:spacing w:val="323"/>
          <w:kern w:val="0"/>
          <w:sz w:val="96"/>
          <w:szCs w:val="96"/>
        </w:rPr>
        <w:t>投标文</w:t>
      </w:r>
      <w:r>
        <w:rPr>
          <w:rFonts w:hint="eastAsia" w:ascii="华文中宋" w:hAnsi="华文中宋" w:eastAsia="华文中宋" w:cs="华文中宋"/>
          <w:color w:val="auto"/>
          <w:kern w:val="0"/>
          <w:sz w:val="96"/>
          <w:szCs w:val="96"/>
        </w:rPr>
        <w:t>件</w:t>
      </w:r>
    </w:p>
    <w:p w14:paraId="71391C36">
      <w:pPr>
        <w:pStyle w:val="60"/>
        <w:spacing w:line="240" w:lineRule="auto"/>
        <w:ind w:firstLine="0" w:firstLineChars="0"/>
        <w:jc w:val="center"/>
        <w:rPr>
          <w:rFonts w:cs="Times New Roman"/>
          <w:color w:val="auto"/>
          <w:sz w:val="36"/>
          <w:szCs w:val="36"/>
        </w:rPr>
      </w:pPr>
    </w:p>
    <w:p w14:paraId="0E0655FC">
      <w:pPr>
        <w:pStyle w:val="60"/>
        <w:spacing w:line="240" w:lineRule="auto"/>
        <w:ind w:firstLine="0" w:firstLineChars="0"/>
        <w:jc w:val="center"/>
        <w:rPr>
          <w:rFonts w:cs="Times New Roman"/>
          <w:color w:val="auto"/>
          <w:sz w:val="36"/>
          <w:szCs w:val="36"/>
        </w:rPr>
      </w:pPr>
    </w:p>
    <w:p w14:paraId="75550B22">
      <w:pPr>
        <w:pStyle w:val="60"/>
        <w:spacing w:line="240" w:lineRule="auto"/>
        <w:ind w:firstLine="0" w:firstLineChars="0"/>
        <w:jc w:val="center"/>
        <w:rPr>
          <w:rFonts w:cs="Times New Roman"/>
          <w:color w:val="auto"/>
          <w:sz w:val="36"/>
          <w:szCs w:val="36"/>
        </w:rPr>
      </w:pPr>
    </w:p>
    <w:p w14:paraId="38B9153D">
      <w:pPr>
        <w:pStyle w:val="60"/>
        <w:spacing w:line="240" w:lineRule="auto"/>
        <w:ind w:firstLine="0" w:firstLineChars="0"/>
        <w:jc w:val="center"/>
        <w:rPr>
          <w:rFonts w:cs="Times New Roman"/>
          <w:color w:val="auto"/>
          <w:sz w:val="36"/>
          <w:szCs w:val="36"/>
        </w:rPr>
      </w:pPr>
    </w:p>
    <w:p w14:paraId="3B42157E">
      <w:pPr>
        <w:pStyle w:val="60"/>
        <w:spacing w:line="240" w:lineRule="auto"/>
        <w:ind w:firstLine="0" w:firstLineChars="0"/>
        <w:jc w:val="both"/>
        <w:rPr>
          <w:rFonts w:cs="Times New Roman"/>
          <w:color w:val="auto"/>
          <w:sz w:val="36"/>
          <w:szCs w:val="36"/>
        </w:rPr>
      </w:pPr>
    </w:p>
    <w:p w14:paraId="6271F538">
      <w:pPr>
        <w:pStyle w:val="60"/>
        <w:spacing w:line="240" w:lineRule="auto"/>
        <w:ind w:firstLine="1452" w:firstLineChars="400"/>
        <w:jc w:val="left"/>
        <w:rPr>
          <w:rFonts w:ascii="仿宋" w:hAnsi="仿宋" w:eastAsia="仿宋" w:cs="仿宋"/>
          <w:color w:val="auto"/>
          <w:sz w:val="36"/>
          <w:szCs w:val="36"/>
          <w:u w:val="single"/>
        </w:rPr>
      </w:pPr>
      <w:r>
        <w:rPr>
          <w:rFonts w:hint="eastAsia" w:ascii="仿宋" w:hAnsi="仿宋" w:eastAsia="仿宋" w:cs="仿宋"/>
          <w:color w:val="auto"/>
          <w:sz w:val="36"/>
          <w:szCs w:val="36"/>
        </w:rPr>
        <w:t>项目名称：</w:t>
      </w:r>
      <w:r>
        <w:rPr>
          <w:rFonts w:ascii="仿宋" w:hAnsi="仿宋" w:eastAsia="仿宋" w:cs="仿宋"/>
          <w:color w:val="auto"/>
          <w:sz w:val="36"/>
          <w:szCs w:val="36"/>
          <w:u w:val="single"/>
        </w:rPr>
        <w:t xml:space="preserve">              </w:t>
      </w:r>
    </w:p>
    <w:p w14:paraId="64BFEC8B">
      <w:pPr>
        <w:pStyle w:val="60"/>
        <w:spacing w:line="240" w:lineRule="auto"/>
        <w:ind w:firstLine="1452" w:firstLineChars="400"/>
        <w:rPr>
          <w:rFonts w:ascii="仿宋" w:hAnsi="仿宋" w:eastAsia="仿宋" w:cs="仿宋"/>
          <w:color w:val="auto"/>
          <w:sz w:val="36"/>
          <w:szCs w:val="36"/>
          <w:u w:val="single"/>
        </w:rPr>
      </w:pPr>
      <w:r>
        <w:rPr>
          <w:rFonts w:hint="eastAsia" w:ascii="仿宋" w:hAnsi="仿宋" w:eastAsia="仿宋" w:cs="仿宋"/>
          <w:color w:val="auto"/>
          <w:sz w:val="36"/>
          <w:szCs w:val="36"/>
        </w:rPr>
        <w:t>项目编号：</w:t>
      </w:r>
      <w:r>
        <w:rPr>
          <w:rFonts w:ascii="仿宋" w:hAnsi="仿宋" w:eastAsia="仿宋" w:cs="仿宋"/>
          <w:color w:val="auto"/>
          <w:sz w:val="36"/>
          <w:szCs w:val="36"/>
          <w:u w:val="single"/>
        </w:rPr>
        <w:t xml:space="preserve">              </w:t>
      </w:r>
    </w:p>
    <w:p w14:paraId="39494E45">
      <w:pPr>
        <w:pStyle w:val="60"/>
        <w:spacing w:line="240" w:lineRule="auto"/>
        <w:ind w:firstLine="1452" w:firstLineChars="400"/>
        <w:rPr>
          <w:rFonts w:ascii="仿宋" w:hAnsi="仿宋" w:eastAsia="仿宋" w:cs="仿宋"/>
          <w:color w:val="auto"/>
          <w:sz w:val="36"/>
          <w:szCs w:val="36"/>
        </w:rPr>
      </w:pPr>
      <w:r>
        <w:rPr>
          <w:rFonts w:hint="eastAsia" w:ascii="仿宋" w:hAnsi="仿宋" w:eastAsia="仿宋" w:cs="仿宋"/>
          <w:color w:val="auto"/>
          <w:sz w:val="36"/>
          <w:szCs w:val="36"/>
        </w:rPr>
        <w:t>供</w:t>
      </w:r>
      <w:r>
        <w:rPr>
          <w:rFonts w:ascii="仿宋" w:hAnsi="仿宋" w:eastAsia="仿宋" w:cs="仿宋"/>
          <w:color w:val="auto"/>
          <w:sz w:val="36"/>
          <w:szCs w:val="36"/>
        </w:rPr>
        <w:t xml:space="preserve"> </w:t>
      </w:r>
      <w:r>
        <w:rPr>
          <w:rFonts w:hint="eastAsia" w:ascii="仿宋" w:hAnsi="仿宋" w:eastAsia="仿宋" w:cs="仿宋"/>
          <w:color w:val="auto"/>
          <w:sz w:val="36"/>
          <w:szCs w:val="36"/>
        </w:rPr>
        <w:t>应</w:t>
      </w:r>
      <w:r>
        <w:rPr>
          <w:rFonts w:ascii="仿宋" w:hAnsi="仿宋" w:eastAsia="仿宋" w:cs="仿宋"/>
          <w:color w:val="auto"/>
          <w:sz w:val="36"/>
          <w:szCs w:val="36"/>
        </w:rPr>
        <w:t xml:space="preserve"> </w:t>
      </w:r>
      <w:r>
        <w:rPr>
          <w:rFonts w:hint="eastAsia" w:ascii="仿宋" w:hAnsi="仿宋" w:eastAsia="仿宋" w:cs="仿宋"/>
          <w:color w:val="auto"/>
          <w:sz w:val="36"/>
          <w:szCs w:val="36"/>
        </w:rPr>
        <w:t>商：</w:t>
      </w:r>
      <w:r>
        <w:rPr>
          <w:rFonts w:ascii="仿宋" w:hAnsi="仿宋" w:eastAsia="仿宋" w:cs="仿宋"/>
          <w:color w:val="auto"/>
          <w:sz w:val="36"/>
          <w:szCs w:val="36"/>
          <w:u w:val="single"/>
        </w:rPr>
        <w:t xml:space="preserve">              </w:t>
      </w:r>
      <w:r>
        <w:rPr>
          <w:rFonts w:hint="eastAsia" w:ascii="仿宋" w:hAnsi="仿宋" w:eastAsia="仿宋" w:cs="仿宋"/>
          <w:color w:val="auto"/>
          <w:sz w:val="36"/>
          <w:szCs w:val="36"/>
        </w:rPr>
        <w:t>（公章）</w:t>
      </w:r>
    </w:p>
    <w:p w14:paraId="7712BAA2">
      <w:pPr>
        <w:pStyle w:val="60"/>
        <w:spacing w:line="240" w:lineRule="auto"/>
        <w:ind w:firstLine="1452" w:firstLineChars="400"/>
        <w:rPr>
          <w:rFonts w:ascii="仿宋" w:hAnsi="仿宋" w:eastAsia="仿宋" w:cs="仿宋"/>
          <w:color w:val="auto"/>
          <w:sz w:val="36"/>
          <w:szCs w:val="36"/>
          <w:u w:val="single"/>
        </w:rPr>
      </w:pPr>
      <w:r>
        <w:rPr>
          <w:rFonts w:hint="eastAsia" w:ascii="仿宋" w:hAnsi="仿宋" w:eastAsia="仿宋" w:cs="仿宋"/>
          <w:color w:val="auto"/>
          <w:sz w:val="36"/>
          <w:szCs w:val="36"/>
        </w:rPr>
        <w:t>时　</w:t>
      </w:r>
      <w:r>
        <w:rPr>
          <w:rFonts w:ascii="仿宋" w:hAnsi="仿宋" w:eastAsia="仿宋" w:cs="仿宋"/>
          <w:color w:val="auto"/>
          <w:sz w:val="36"/>
          <w:szCs w:val="36"/>
        </w:rPr>
        <w:t xml:space="preserve">  </w:t>
      </w:r>
      <w:r>
        <w:rPr>
          <w:rFonts w:hint="eastAsia" w:ascii="仿宋" w:hAnsi="仿宋" w:eastAsia="仿宋" w:cs="仿宋"/>
          <w:color w:val="auto"/>
          <w:sz w:val="36"/>
          <w:szCs w:val="36"/>
        </w:rPr>
        <w:t>间：</w:t>
      </w:r>
      <w:r>
        <w:rPr>
          <w:rFonts w:ascii="仿宋" w:hAnsi="仿宋" w:eastAsia="仿宋" w:cs="仿宋"/>
          <w:color w:val="auto"/>
          <w:sz w:val="36"/>
          <w:szCs w:val="36"/>
          <w:u w:val="single"/>
        </w:rPr>
        <w:t xml:space="preserve">              </w:t>
      </w:r>
    </w:p>
    <w:p w14:paraId="0B5C477F">
      <w:pPr>
        <w:rPr>
          <w:rFonts w:ascii="黑体" w:hAnsi="黑体" w:eastAsia="黑体" w:cs="黑体"/>
          <w:color w:val="auto"/>
          <w:sz w:val="36"/>
          <w:szCs w:val="36"/>
        </w:rPr>
      </w:pPr>
      <w:r>
        <w:rPr>
          <w:rFonts w:hint="eastAsia" w:ascii="黑体" w:hAnsi="黑体" w:eastAsia="黑体" w:cs="黑体"/>
          <w:color w:val="auto"/>
          <w:sz w:val="36"/>
          <w:szCs w:val="36"/>
        </w:rPr>
        <w:br w:type="page"/>
      </w:r>
    </w:p>
    <w:p w14:paraId="64FDFB06">
      <w:pPr>
        <w:tabs>
          <w:tab w:val="right" w:leader="hyphen" w:pos="8504"/>
        </w:tabs>
        <w:spacing w:line="500" w:lineRule="exact"/>
        <w:ind w:left="2381" w:leftChars="200" w:right="849" w:rightChars="300" w:hanging="1815" w:hangingChars="500"/>
        <w:jc w:val="center"/>
        <w:rPr>
          <w:rFonts w:ascii="黑体" w:hAnsi="黑体" w:eastAsia="黑体" w:cs="黑体"/>
          <w:color w:val="auto"/>
          <w:sz w:val="36"/>
          <w:szCs w:val="36"/>
        </w:rPr>
      </w:pPr>
      <w:r>
        <w:rPr>
          <w:rFonts w:hint="eastAsia" w:ascii="黑体" w:hAnsi="黑体" w:eastAsia="黑体" w:cs="黑体"/>
          <w:color w:val="auto"/>
          <w:sz w:val="36"/>
          <w:szCs w:val="36"/>
        </w:rPr>
        <w:t>目  录</w:t>
      </w:r>
    </w:p>
    <w:p w14:paraId="265F7272">
      <w:pPr>
        <w:tabs>
          <w:tab w:val="right" w:leader="hyphen" w:pos="8504"/>
        </w:tabs>
        <w:spacing w:line="480" w:lineRule="exact"/>
        <w:ind w:left="1981" w:leftChars="200" w:right="849" w:rightChars="300" w:hanging="1415" w:hangingChars="500"/>
        <w:rPr>
          <w:rFonts w:ascii="黑体" w:hAnsi="黑体" w:eastAsia="黑体" w:cs="黑体"/>
          <w:color w:val="auto"/>
        </w:rPr>
      </w:pPr>
      <w:r>
        <w:rPr>
          <w:rFonts w:hint="eastAsia" w:ascii="黑体" w:hAnsi="黑体" w:eastAsia="黑体" w:cs="黑体"/>
          <w:color w:val="auto"/>
        </w:rPr>
        <w:t>第一部分  资格证明文件</w:t>
      </w:r>
      <w:r>
        <w:rPr>
          <w:rFonts w:ascii="黑体" w:hAnsi="黑体" w:eastAsia="黑体" w:cs="Times New Roman"/>
          <w:color w:val="auto"/>
        </w:rPr>
        <w:tab/>
      </w:r>
      <w:r>
        <w:rPr>
          <w:rFonts w:ascii="黑体" w:hAnsi="黑体" w:eastAsia="黑体" w:cs="黑体"/>
          <w:color w:val="auto"/>
        </w:rPr>
        <w:t>X</w:t>
      </w:r>
    </w:p>
    <w:p w14:paraId="1F50E089">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rPr>
        <w:t>一、营业执照等主体资格证明文件</w:t>
      </w:r>
      <w:r>
        <w:rPr>
          <w:rFonts w:cs="Times New Roman"/>
          <w:color w:val="auto"/>
        </w:rPr>
        <w:tab/>
      </w:r>
      <w:r>
        <w:rPr>
          <w:color w:val="auto"/>
        </w:rPr>
        <w:t>X</w:t>
      </w:r>
    </w:p>
    <w:p w14:paraId="249F1B64">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二、信用记录</w:t>
      </w:r>
      <w:r>
        <w:rPr>
          <w:rFonts w:cs="Times New Roman"/>
          <w:color w:val="auto"/>
        </w:rPr>
        <w:tab/>
      </w:r>
      <w:r>
        <w:rPr>
          <w:color w:val="auto"/>
        </w:rPr>
        <w:t>X</w:t>
      </w:r>
    </w:p>
    <w:p w14:paraId="34992389">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lang w:val="en-US" w:eastAsia="zh-CN"/>
        </w:rPr>
        <w:t>三</w:t>
      </w:r>
      <w:r>
        <w:rPr>
          <w:rFonts w:hint="eastAsia" w:ascii="华文仿宋" w:hAnsi="华文仿宋" w:cs="华文仿宋"/>
          <w:color w:val="auto"/>
        </w:rPr>
        <w:t>、</w:t>
      </w:r>
      <w:r>
        <w:rPr>
          <w:rFonts w:hint="eastAsia" w:ascii="华文仿宋" w:hAnsi="华文仿宋" w:cs="华文仿宋"/>
          <w:b w:val="0"/>
          <w:bCs w:val="0"/>
          <w:color w:val="auto"/>
          <w:kern w:val="0"/>
          <w:sz w:val="28"/>
          <w:szCs w:val="28"/>
          <w:lang w:val="en-US" w:eastAsia="zh-CN" w:bidi="ar-SA"/>
        </w:rPr>
        <w:t>财务状况、缴纳税收和社会保障资金三项符合要求的承诺函</w:t>
      </w:r>
      <w:r>
        <w:rPr>
          <w:rFonts w:cs="Times New Roman"/>
          <w:color w:val="auto"/>
        </w:rPr>
        <w:tab/>
      </w:r>
      <w:r>
        <w:rPr>
          <w:color w:val="auto"/>
        </w:rPr>
        <w:t>X</w:t>
      </w:r>
    </w:p>
    <w:p w14:paraId="1A844AC5">
      <w:pPr>
        <w:tabs>
          <w:tab w:val="right" w:leader="hyphen" w:pos="8504"/>
        </w:tabs>
        <w:spacing w:line="480" w:lineRule="exact"/>
        <w:ind w:left="1981" w:leftChars="500" w:right="849" w:rightChars="300" w:hanging="566" w:hangingChars="200"/>
        <w:rPr>
          <w:rFonts w:hint="eastAsia" w:cs="Times New Roman"/>
          <w:color w:val="auto"/>
        </w:rPr>
      </w:pPr>
      <w:r>
        <w:rPr>
          <w:rFonts w:hint="eastAsia" w:ascii="华文仿宋" w:hAnsi="华文仿宋" w:cs="华文仿宋"/>
          <w:color w:val="auto"/>
          <w:lang w:val="en-US" w:eastAsia="zh-CN"/>
        </w:rPr>
        <w:t>四、</w:t>
      </w:r>
      <w:r>
        <w:rPr>
          <w:rFonts w:hint="eastAsia" w:ascii="华文仿宋" w:hAnsi="华文仿宋" w:cs="华文仿宋"/>
          <w:color w:val="auto"/>
        </w:rPr>
        <w:t>控股管理关系</w:t>
      </w:r>
      <w:r>
        <w:rPr>
          <w:rFonts w:cs="Times New Roman"/>
          <w:color w:val="auto"/>
        </w:rPr>
        <w:tab/>
      </w:r>
      <w:r>
        <w:rPr>
          <w:rFonts w:cs="Times New Roman"/>
          <w:color w:val="auto"/>
        </w:rPr>
        <w:t>X</w:t>
      </w:r>
    </w:p>
    <w:p w14:paraId="2AFDDE6E">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五、</w:t>
      </w:r>
      <w:r>
        <w:rPr>
          <w:rFonts w:hint="eastAsia" w:cs="Times New Roman"/>
          <w:color w:val="auto"/>
        </w:rPr>
        <w:t>书面声明</w:t>
      </w:r>
      <w:r>
        <w:rPr>
          <w:rFonts w:cs="Times New Roman"/>
          <w:color w:val="auto"/>
        </w:rPr>
        <w:tab/>
      </w:r>
      <w:r>
        <w:rPr>
          <w:rFonts w:cs="Times New Roman"/>
          <w:color w:val="auto"/>
        </w:rPr>
        <w:t>X</w:t>
      </w:r>
    </w:p>
    <w:p w14:paraId="63EEB7C9">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六</w:t>
      </w:r>
      <w:r>
        <w:rPr>
          <w:rFonts w:hint="eastAsia" w:cs="Times New Roman"/>
          <w:color w:val="auto"/>
        </w:rPr>
        <w:t>、</w:t>
      </w:r>
      <w:r>
        <w:rPr>
          <w:rFonts w:hint="eastAsia" w:cs="Times New Roman"/>
          <w:color w:val="auto"/>
          <w:lang w:val="en-US" w:eastAsia="zh-CN"/>
        </w:rPr>
        <w:t>法定代表人授权书和</w:t>
      </w:r>
      <w:r>
        <w:rPr>
          <w:rFonts w:hint="eastAsia" w:cs="Times New Roman"/>
          <w:color w:val="auto"/>
        </w:rPr>
        <w:t>法定代表人证明书</w:t>
      </w:r>
      <w:r>
        <w:rPr>
          <w:rFonts w:cs="Times New Roman"/>
          <w:color w:val="auto"/>
        </w:rPr>
        <w:tab/>
      </w:r>
      <w:r>
        <w:rPr>
          <w:rFonts w:cs="Times New Roman"/>
          <w:color w:val="auto"/>
        </w:rPr>
        <w:t>X</w:t>
      </w:r>
    </w:p>
    <w:p w14:paraId="51044D01">
      <w:pPr>
        <w:tabs>
          <w:tab w:val="right" w:leader="hyphen" w:pos="8504"/>
        </w:tabs>
        <w:spacing w:line="480" w:lineRule="exact"/>
        <w:ind w:left="1981" w:leftChars="500" w:right="849" w:rightChars="300" w:hanging="566" w:hangingChars="200"/>
        <w:rPr>
          <w:rFonts w:cs="Times New Roman"/>
          <w:color w:val="auto"/>
        </w:rPr>
      </w:pPr>
      <w:r>
        <w:rPr>
          <w:rFonts w:hint="eastAsia" w:cs="Times New Roman"/>
          <w:color w:val="auto"/>
          <w:lang w:val="en-US" w:eastAsia="zh-CN"/>
        </w:rPr>
        <w:t>七、</w:t>
      </w:r>
      <w:r>
        <w:rPr>
          <w:rFonts w:hint="eastAsia" w:cs="Times New Roman"/>
          <w:color w:val="auto"/>
        </w:rPr>
        <w:t>本项目不接受联合体投标，不允许分包</w:t>
      </w:r>
      <w:r>
        <w:rPr>
          <w:rFonts w:cs="Times New Roman"/>
          <w:color w:val="auto"/>
        </w:rPr>
        <w:tab/>
      </w:r>
      <w:r>
        <w:rPr>
          <w:rFonts w:cs="Times New Roman"/>
          <w:color w:val="auto"/>
        </w:rPr>
        <w:t>X</w:t>
      </w:r>
    </w:p>
    <w:p w14:paraId="6AE42FF2">
      <w:pPr>
        <w:tabs>
          <w:tab w:val="right" w:leader="hyphen" w:pos="8504"/>
        </w:tabs>
        <w:spacing w:line="480" w:lineRule="exact"/>
        <w:ind w:left="1981" w:leftChars="500" w:right="849" w:rightChars="300" w:hanging="566" w:hangingChars="200"/>
        <w:rPr>
          <w:rFonts w:hint="default" w:eastAsia="华文仿宋" w:cs="Times New Roman"/>
          <w:color w:val="auto"/>
          <w:lang w:val="en-US" w:eastAsia="zh-CN"/>
        </w:rPr>
      </w:pPr>
      <w:r>
        <w:rPr>
          <w:rFonts w:hint="eastAsia" w:cs="Times New Roman"/>
          <w:color w:val="auto"/>
          <w:lang w:val="en-US" w:eastAsia="zh-CN"/>
        </w:rPr>
        <w:t>八、特定资格要求</w:t>
      </w:r>
      <w:r>
        <w:rPr>
          <w:rFonts w:ascii="黑体" w:hAnsi="黑体" w:eastAsia="黑体" w:cs="Times New Roman"/>
          <w:color w:val="auto"/>
        </w:rPr>
        <w:tab/>
      </w:r>
      <w:r>
        <w:rPr>
          <w:rFonts w:ascii="黑体" w:hAnsi="黑体" w:eastAsia="黑体" w:cs="黑体"/>
          <w:color w:val="auto"/>
        </w:rPr>
        <w:t>X</w:t>
      </w:r>
    </w:p>
    <w:p w14:paraId="2CC22A2F">
      <w:pPr>
        <w:pStyle w:val="17"/>
        <w:rPr>
          <w:color w:val="auto"/>
        </w:rPr>
      </w:pPr>
    </w:p>
    <w:p w14:paraId="26E78196">
      <w:pPr>
        <w:tabs>
          <w:tab w:val="right" w:leader="hyphen" w:pos="8504"/>
        </w:tabs>
        <w:spacing w:line="480" w:lineRule="exact"/>
        <w:ind w:left="1981" w:leftChars="200" w:right="849" w:rightChars="300" w:hanging="1415" w:hangingChars="500"/>
        <w:rPr>
          <w:rFonts w:ascii="华文仿宋" w:cs="Times New Roman"/>
          <w:color w:val="auto"/>
        </w:rPr>
      </w:pPr>
      <w:r>
        <w:rPr>
          <w:rFonts w:hint="eastAsia" w:ascii="黑体" w:hAnsi="黑体" w:eastAsia="黑体" w:cs="黑体"/>
          <w:color w:val="auto"/>
        </w:rPr>
        <w:t>第二部分  符合性证明文件</w:t>
      </w:r>
      <w:r>
        <w:rPr>
          <w:rFonts w:ascii="黑体" w:hAnsi="黑体" w:eastAsia="黑体" w:cs="Times New Roman"/>
          <w:color w:val="auto"/>
        </w:rPr>
        <w:tab/>
      </w:r>
      <w:r>
        <w:rPr>
          <w:rFonts w:ascii="黑体" w:hAnsi="黑体" w:eastAsia="黑体" w:cs="黑体"/>
          <w:color w:val="auto"/>
        </w:rPr>
        <w:t>X</w:t>
      </w:r>
    </w:p>
    <w:p w14:paraId="76B8B45A">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一、投标函格式</w:t>
      </w:r>
      <w:r>
        <w:rPr>
          <w:rFonts w:cs="Times New Roman"/>
          <w:color w:val="auto"/>
        </w:rPr>
        <w:tab/>
      </w:r>
      <w:r>
        <w:rPr>
          <w:color w:val="auto"/>
        </w:rPr>
        <w:t>X</w:t>
      </w:r>
    </w:p>
    <w:p w14:paraId="7A8FD125">
      <w:pPr>
        <w:tabs>
          <w:tab w:val="right" w:leader="hyphen" w:pos="8504"/>
        </w:tabs>
        <w:spacing w:line="480" w:lineRule="exact"/>
        <w:ind w:left="1981" w:leftChars="500" w:right="849" w:rightChars="300" w:hanging="566" w:hangingChars="200"/>
        <w:rPr>
          <w:rFonts w:ascii="华文仿宋" w:cs="Times New Roman"/>
          <w:color w:val="auto"/>
        </w:rPr>
      </w:pPr>
      <w:r>
        <w:rPr>
          <w:rFonts w:hint="eastAsia" w:ascii="华文仿宋" w:hAnsi="华文仿宋" w:cs="华文仿宋"/>
          <w:color w:val="auto"/>
        </w:rPr>
        <w:t>二、开标一览表</w:t>
      </w:r>
      <w:r>
        <w:rPr>
          <w:rFonts w:cs="Times New Roman"/>
          <w:color w:val="auto"/>
        </w:rPr>
        <w:tab/>
      </w:r>
      <w:r>
        <w:rPr>
          <w:color w:val="auto"/>
        </w:rPr>
        <w:t>X</w:t>
      </w:r>
    </w:p>
    <w:p w14:paraId="724453F4">
      <w:pPr>
        <w:tabs>
          <w:tab w:val="right" w:leader="hyphen" w:pos="8504"/>
        </w:tabs>
        <w:spacing w:line="480" w:lineRule="exact"/>
        <w:ind w:left="1981" w:leftChars="700" w:right="849" w:rightChars="300"/>
        <w:rPr>
          <w:rFonts w:ascii="华文仿宋" w:cs="Times New Roman"/>
          <w:color w:val="auto"/>
        </w:rPr>
      </w:pPr>
      <w:r>
        <w:rPr>
          <w:rFonts w:hint="eastAsia" w:ascii="华文仿宋" w:hAnsi="华文仿宋" w:cs="华文仿宋"/>
          <w:color w:val="auto"/>
        </w:rPr>
        <w:t>分项报价表</w:t>
      </w:r>
      <w:r>
        <w:rPr>
          <w:rFonts w:cs="Times New Roman"/>
          <w:color w:val="auto"/>
        </w:rPr>
        <w:tab/>
      </w:r>
      <w:r>
        <w:rPr>
          <w:color w:val="auto"/>
        </w:rPr>
        <w:t>X</w:t>
      </w:r>
    </w:p>
    <w:p w14:paraId="27903C86">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三、供应商承诺书</w:t>
      </w:r>
      <w:r>
        <w:rPr>
          <w:rFonts w:cs="Times New Roman"/>
          <w:color w:val="auto"/>
        </w:rPr>
        <w:tab/>
      </w:r>
      <w:r>
        <w:rPr>
          <w:color w:val="auto"/>
        </w:rPr>
        <w:t>X</w:t>
      </w:r>
    </w:p>
    <w:p w14:paraId="6594794E">
      <w:pPr>
        <w:tabs>
          <w:tab w:val="right" w:leader="hyphen" w:pos="8504"/>
        </w:tabs>
        <w:spacing w:line="480" w:lineRule="exact"/>
        <w:ind w:right="849" w:rightChars="300" w:firstLine="1981" w:firstLineChars="700"/>
        <w:rPr>
          <w:color w:val="auto"/>
        </w:rPr>
      </w:pPr>
      <w:bookmarkStart w:id="568" w:name="_Toc21662"/>
      <w:bookmarkEnd w:id="568"/>
      <w:bookmarkStart w:id="569" w:name="_Toc10918"/>
      <w:bookmarkEnd w:id="569"/>
      <w:r>
        <w:rPr>
          <w:rFonts w:hint="eastAsia"/>
          <w:color w:val="auto"/>
        </w:rPr>
        <w:t>（一）质量安全责任承诺书</w:t>
      </w:r>
      <w:r>
        <w:rPr>
          <w:color w:val="auto"/>
        </w:rPr>
        <w:tab/>
      </w:r>
      <w:r>
        <w:rPr>
          <w:color w:val="auto"/>
        </w:rPr>
        <w:t>X</w:t>
      </w:r>
    </w:p>
    <w:p w14:paraId="4CC86344">
      <w:pPr>
        <w:tabs>
          <w:tab w:val="right" w:leader="hyphen" w:pos="8504"/>
        </w:tabs>
        <w:spacing w:line="480" w:lineRule="exact"/>
        <w:ind w:right="849" w:rightChars="300" w:firstLine="1981" w:firstLineChars="700"/>
        <w:rPr>
          <w:rFonts w:ascii="华文仿宋" w:hAnsi="华文仿宋" w:cs="华文仿宋"/>
          <w:color w:val="auto"/>
        </w:rPr>
      </w:pPr>
      <w:r>
        <w:rPr>
          <w:rFonts w:hint="eastAsia"/>
          <w:color w:val="auto"/>
        </w:rPr>
        <w:t>（二）拒绝政府采购领域商业贿赂承诺书</w:t>
      </w:r>
      <w:r>
        <w:rPr>
          <w:color w:val="auto"/>
        </w:rPr>
        <w:tab/>
      </w:r>
      <w:r>
        <w:rPr>
          <w:color w:val="auto"/>
        </w:rPr>
        <w:t>X</w:t>
      </w:r>
    </w:p>
    <w:p w14:paraId="3C849359">
      <w:pPr>
        <w:tabs>
          <w:tab w:val="right" w:leader="hyphen" w:pos="8504"/>
        </w:tabs>
        <w:spacing w:line="480" w:lineRule="exact"/>
        <w:ind w:right="849" w:rightChars="300" w:firstLine="1415" w:firstLineChars="500"/>
        <w:rPr>
          <w:color w:val="auto"/>
        </w:rPr>
      </w:pPr>
      <w:r>
        <w:rPr>
          <w:rFonts w:hint="eastAsia" w:ascii="华文仿宋" w:hAnsi="华文仿宋" w:cs="华文仿宋"/>
          <w:color w:val="auto"/>
        </w:rPr>
        <w:t>四、技术服务偏差表</w:t>
      </w:r>
      <w:r>
        <w:rPr>
          <w:rFonts w:cs="Times New Roman"/>
          <w:color w:val="auto"/>
        </w:rPr>
        <w:tab/>
      </w:r>
      <w:r>
        <w:rPr>
          <w:color w:val="auto"/>
        </w:rPr>
        <w:t>X</w:t>
      </w:r>
    </w:p>
    <w:p w14:paraId="0519D6C1">
      <w:pPr>
        <w:tabs>
          <w:tab w:val="right" w:leader="hyphen" w:pos="8504"/>
        </w:tabs>
        <w:spacing w:line="480" w:lineRule="exact"/>
        <w:ind w:right="849" w:rightChars="300" w:firstLine="1981" w:firstLineChars="700"/>
        <w:rPr>
          <w:rFonts w:ascii="华文仿宋" w:hAnsi="华文仿宋" w:cs="华文仿宋"/>
          <w:color w:val="auto"/>
        </w:rPr>
      </w:pPr>
      <w:r>
        <w:rPr>
          <w:rFonts w:hint="eastAsia" w:ascii="华文仿宋" w:hAnsi="华文仿宋" w:cs="华文仿宋"/>
          <w:color w:val="auto"/>
        </w:rPr>
        <w:t>（一）实质性条款响应表</w:t>
      </w:r>
      <w:r>
        <w:rPr>
          <w:rFonts w:hint="eastAsia" w:ascii="华文仿宋" w:hAnsi="华文仿宋" w:cs="华文仿宋"/>
          <w:color w:val="auto"/>
        </w:rPr>
        <w:tab/>
      </w:r>
      <w:r>
        <w:rPr>
          <w:color w:val="auto"/>
        </w:rPr>
        <w:t>X</w:t>
      </w:r>
    </w:p>
    <w:p w14:paraId="2C1764DE">
      <w:pPr>
        <w:tabs>
          <w:tab w:val="right" w:leader="hyphen" w:pos="8504"/>
        </w:tabs>
        <w:spacing w:line="480" w:lineRule="exact"/>
        <w:ind w:right="849" w:rightChars="300" w:firstLine="1981" w:firstLineChars="700"/>
        <w:rPr>
          <w:color w:val="auto"/>
        </w:rPr>
      </w:pPr>
      <w:r>
        <w:rPr>
          <w:rFonts w:hint="eastAsia" w:ascii="华文仿宋" w:hAnsi="华文仿宋" w:cs="华文仿宋"/>
          <w:color w:val="auto"/>
        </w:rPr>
        <w:t>（二）其他资料</w:t>
      </w:r>
      <w:r>
        <w:rPr>
          <w:rFonts w:hint="eastAsia" w:ascii="华文仿宋" w:hAnsi="华文仿宋" w:cs="华文仿宋"/>
          <w:color w:val="auto"/>
        </w:rPr>
        <w:tab/>
      </w:r>
      <w:r>
        <w:rPr>
          <w:color w:val="auto"/>
        </w:rPr>
        <w:t>X</w:t>
      </w:r>
    </w:p>
    <w:p w14:paraId="3F1ABE94">
      <w:pPr>
        <w:tabs>
          <w:tab w:val="right" w:leader="hyphen" w:pos="8504"/>
        </w:tabs>
        <w:spacing w:line="480" w:lineRule="exact"/>
        <w:ind w:left="1981" w:leftChars="500" w:right="849" w:rightChars="300" w:hanging="566" w:hangingChars="200"/>
        <w:rPr>
          <w:color w:val="auto"/>
        </w:rPr>
      </w:pPr>
      <w:r>
        <w:rPr>
          <w:rFonts w:hint="eastAsia" w:ascii="华文仿宋" w:hAnsi="华文仿宋" w:cs="华文仿宋"/>
          <w:color w:val="auto"/>
        </w:rPr>
        <w:t>五、</w:t>
      </w:r>
      <w:r>
        <w:rPr>
          <w:rFonts w:hint="eastAsia" w:ascii="华文仿宋" w:hAnsi="华文仿宋" w:cs="华文仿宋"/>
          <w:color w:val="auto"/>
          <w:lang w:eastAsia="zh-CN"/>
        </w:rPr>
        <w:t>合同草案条款</w:t>
      </w:r>
      <w:r>
        <w:rPr>
          <w:rFonts w:hint="eastAsia" w:ascii="华文仿宋" w:hAnsi="华文仿宋" w:cs="华文仿宋"/>
          <w:color w:val="auto"/>
        </w:rPr>
        <w:t>响应</w:t>
      </w:r>
      <w:r>
        <w:rPr>
          <w:rFonts w:cs="Times New Roman"/>
          <w:color w:val="auto"/>
        </w:rPr>
        <w:tab/>
      </w:r>
      <w:r>
        <w:rPr>
          <w:color w:val="auto"/>
        </w:rPr>
        <w:t>X</w:t>
      </w:r>
    </w:p>
    <w:p w14:paraId="06A4794E">
      <w:pPr>
        <w:tabs>
          <w:tab w:val="right" w:leader="hyphen" w:pos="8504"/>
        </w:tabs>
        <w:spacing w:line="480" w:lineRule="exact"/>
        <w:ind w:right="849" w:rightChars="300" w:firstLine="566" w:firstLineChars="200"/>
        <w:rPr>
          <w:rFonts w:ascii="黑体" w:hAnsi="黑体" w:eastAsia="黑体" w:cs="黑体"/>
          <w:color w:val="auto"/>
        </w:rPr>
      </w:pPr>
      <w:r>
        <w:rPr>
          <w:rFonts w:hint="eastAsia" w:ascii="黑体" w:hAnsi="黑体" w:eastAsia="黑体" w:cs="黑体"/>
          <w:color w:val="auto"/>
        </w:rPr>
        <w:t>第三部分  投标方案</w:t>
      </w:r>
      <w:r>
        <w:rPr>
          <w:rFonts w:ascii="黑体" w:hAnsi="黑体" w:eastAsia="黑体" w:cs="Times New Roman"/>
          <w:color w:val="auto"/>
        </w:rPr>
        <w:tab/>
      </w:r>
      <w:r>
        <w:rPr>
          <w:rFonts w:ascii="黑体" w:hAnsi="黑体" w:eastAsia="黑体" w:cs="黑体"/>
          <w:color w:val="auto"/>
        </w:rPr>
        <w:t>X</w:t>
      </w:r>
    </w:p>
    <w:p w14:paraId="258551B7">
      <w:pPr>
        <w:tabs>
          <w:tab w:val="right" w:leader="hyphen" w:pos="8504"/>
        </w:tabs>
        <w:spacing w:line="480" w:lineRule="exact"/>
        <w:ind w:right="849" w:rightChars="300" w:firstLine="1415" w:firstLineChars="500"/>
        <w:rPr>
          <w:rFonts w:ascii="华文仿宋" w:cs="Times New Roman"/>
          <w:color w:val="auto"/>
        </w:rPr>
      </w:pPr>
      <w:r>
        <w:rPr>
          <w:rFonts w:hint="eastAsia" w:ascii="华文仿宋" w:hAnsi="华文仿宋" w:cs="华文仿宋"/>
          <w:color w:val="auto"/>
        </w:rPr>
        <w:t>一、投标人性质及</w:t>
      </w:r>
      <w:r>
        <w:rPr>
          <w:rFonts w:hint="eastAsia"/>
          <w:color w:val="auto"/>
        </w:rPr>
        <w:t>概况</w:t>
      </w:r>
      <w:r>
        <w:rPr>
          <w:rFonts w:cs="Times New Roman"/>
          <w:color w:val="auto"/>
        </w:rPr>
        <w:tab/>
      </w:r>
      <w:r>
        <w:rPr>
          <w:color w:val="auto"/>
        </w:rPr>
        <w:t>X</w:t>
      </w:r>
    </w:p>
    <w:p w14:paraId="0F9BFC71">
      <w:pPr>
        <w:numPr>
          <w:ilvl w:val="0"/>
          <w:numId w:val="0"/>
        </w:numPr>
        <w:tabs>
          <w:tab w:val="right" w:leader="hyphen" w:pos="8504"/>
        </w:tabs>
        <w:spacing w:line="480" w:lineRule="exact"/>
        <w:ind w:right="849" w:rightChars="300" w:firstLine="1415" w:firstLineChars="500"/>
        <w:rPr>
          <w:rFonts w:ascii="华文仿宋" w:cs="Times New Roman"/>
          <w:color w:val="auto"/>
        </w:rPr>
      </w:pPr>
      <w:r>
        <w:rPr>
          <w:rFonts w:hint="eastAsia" w:ascii="华文仿宋" w:cs="Times New Roman"/>
          <w:color w:val="auto"/>
          <w:kern w:val="2"/>
          <w:sz w:val="28"/>
          <w:szCs w:val="28"/>
          <w:lang w:val="en-US" w:eastAsia="zh-CN" w:bidi="ar-SA"/>
        </w:rPr>
        <w:t>二</w:t>
      </w:r>
      <w:r>
        <w:rPr>
          <w:rFonts w:hint="eastAsia" w:ascii="华文仿宋" w:hAnsi="Calibri Light" w:eastAsia="华文仿宋" w:cs="Times New Roman"/>
          <w:color w:val="auto"/>
          <w:kern w:val="2"/>
          <w:sz w:val="28"/>
          <w:szCs w:val="28"/>
          <w:lang w:val="en-US" w:eastAsia="zh-CN" w:bidi="ar-SA"/>
        </w:rPr>
        <w:t>、</w:t>
      </w:r>
      <w:r>
        <w:rPr>
          <w:rFonts w:hint="eastAsia" w:ascii="华文仿宋" w:hAnsi="华文仿宋" w:cs="华文仿宋"/>
          <w:color w:val="auto"/>
        </w:rPr>
        <w:t>投标方案</w:t>
      </w:r>
      <w:r>
        <w:rPr>
          <w:rFonts w:cs="Times New Roman"/>
          <w:color w:val="auto"/>
        </w:rPr>
        <w:tab/>
      </w:r>
      <w:r>
        <w:rPr>
          <w:color w:val="auto"/>
        </w:rPr>
        <w:t>X</w:t>
      </w:r>
    </w:p>
    <w:p w14:paraId="77B59403">
      <w:pPr>
        <w:numPr>
          <w:ilvl w:val="0"/>
          <w:numId w:val="0"/>
        </w:numPr>
        <w:tabs>
          <w:tab w:val="right" w:leader="hyphen" w:pos="8504"/>
        </w:tabs>
        <w:spacing w:line="480" w:lineRule="exact"/>
        <w:ind w:right="849" w:rightChars="300" w:firstLine="1415" w:firstLineChars="500"/>
        <w:rPr>
          <w:rFonts w:ascii="华文仿宋" w:cs="Times New Roman"/>
          <w:color w:val="auto"/>
        </w:rPr>
      </w:pPr>
      <w:r>
        <w:rPr>
          <w:rFonts w:hint="eastAsia" w:ascii="华文仿宋" w:cs="Times New Roman"/>
          <w:color w:val="auto"/>
          <w:kern w:val="2"/>
          <w:sz w:val="28"/>
          <w:szCs w:val="28"/>
          <w:lang w:val="en-US" w:eastAsia="zh-CN" w:bidi="ar-SA"/>
        </w:rPr>
        <w:t>三</w:t>
      </w:r>
      <w:r>
        <w:rPr>
          <w:rFonts w:hint="eastAsia" w:ascii="华文仿宋" w:hAnsi="Calibri Light" w:eastAsia="华文仿宋" w:cs="Times New Roman"/>
          <w:color w:val="auto"/>
          <w:kern w:val="2"/>
          <w:sz w:val="28"/>
          <w:szCs w:val="28"/>
          <w:lang w:val="en-US" w:eastAsia="zh-CN" w:bidi="ar-SA"/>
        </w:rPr>
        <w:t>、</w:t>
      </w:r>
      <w:r>
        <w:rPr>
          <w:rFonts w:hint="eastAsia" w:ascii="华文仿宋" w:hAnsi="华文仿宋" w:cs="华文仿宋"/>
          <w:color w:val="auto"/>
        </w:rPr>
        <w:t>参考样表</w:t>
      </w:r>
      <w:r>
        <w:rPr>
          <w:rFonts w:cs="Times New Roman"/>
          <w:color w:val="auto"/>
        </w:rPr>
        <w:tab/>
      </w:r>
      <w:r>
        <w:rPr>
          <w:color w:val="auto"/>
        </w:rPr>
        <w:t>X</w:t>
      </w:r>
    </w:p>
    <w:p w14:paraId="786C6126">
      <w:pPr>
        <w:rPr>
          <w:rFonts w:ascii="黑体" w:hAnsi="黑体" w:eastAsia="黑体" w:cs="黑体"/>
          <w:color w:val="auto"/>
        </w:rPr>
      </w:pPr>
      <w:bookmarkStart w:id="570" w:name="_Toc4982"/>
      <w:bookmarkStart w:id="571" w:name="_Toc6887"/>
      <w:bookmarkStart w:id="572" w:name="_Toc12653"/>
      <w:bookmarkStart w:id="573" w:name="_Toc27546"/>
      <w:bookmarkStart w:id="574" w:name="_Toc5015"/>
    </w:p>
    <w:p w14:paraId="6FFC622A">
      <w:pPr>
        <w:pStyle w:val="12"/>
        <w:rPr>
          <w:rFonts w:ascii="黑体" w:hAnsi="黑体" w:eastAsia="黑体" w:cs="黑体"/>
          <w:color w:val="auto"/>
        </w:rPr>
      </w:pPr>
    </w:p>
    <w:p w14:paraId="4B47BC61">
      <w:pPr>
        <w:rPr>
          <w:rFonts w:hint="eastAsia" w:ascii="黑体" w:hAnsi="黑体" w:eastAsia="黑体" w:cs="黑体"/>
          <w:color w:val="auto"/>
          <w:lang w:val="en-US" w:eastAsia="zh-CN"/>
        </w:rPr>
      </w:pPr>
      <w:r>
        <w:rPr>
          <w:rFonts w:hint="eastAsia" w:ascii="黑体" w:hAnsi="黑体" w:eastAsia="黑体" w:cs="黑体"/>
          <w:color w:val="auto"/>
          <w:lang w:val="en-US" w:eastAsia="zh-CN"/>
        </w:rPr>
        <w:t xml:space="preserve"> </w:t>
      </w:r>
    </w:p>
    <w:bookmarkEnd w:id="570"/>
    <w:bookmarkEnd w:id="571"/>
    <w:bookmarkEnd w:id="572"/>
    <w:bookmarkEnd w:id="573"/>
    <w:bookmarkEnd w:id="574"/>
    <w:p w14:paraId="591944EC">
      <w:pPr>
        <w:pStyle w:val="62"/>
        <w:rPr>
          <w:rFonts w:ascii="黑体" w:hAnsi="黑体" w:eastAsia="黑体" w:cs="Times New Roman"/>
          <w:b w:val="0"/>
          <w:bCs w:val="0"/>
          <w:color w:val="auto"/>
        </w:rPr>
      </w:pPr>
      <w:bookmarkStart w:id="575" w:name="_Toc18821"/>
      <w:bookmarkEnd w:id="575"/>
      <w:bookmarkStart w:id="576" w:name="_Toc1087"/>
      <w:bookmarkEnd w:id="576"/>
      <w:bookmarkStart w:id="577" w:name="_Toc26490"/>
      <w:bookmarkEnd w:id="577"/>
      <w:bookmarkStart w:id="578" w:name="_Toc25067"/>
      <w:bookmarkEnd w:id="578"/>
      <w:bookmarkStart w:id="579" w:name="_Toc21370"/>
      <w:bookmarkEnd w:id="579"/>
      <w:r>
        <w:rPr>
          <w:rFonts w:hint="eastAsia" w:ascii="黑体" w:hAnsi="黑体" w:eastAsia="黑体" w:cs="黑体"/>
          <w:b w:val="0"/>
          <w:bCs w:val="0"/>
          <w:color w:val="auto"/>
        </w:rPr>
        <w:t>第一部分  资格证明文件</w:t>
      </w:r>
    </w:p>
    <w:p w14:paraId="43CC6816">
      <w:pPr>
        <w:spacing w:line="500" w:lineRule="exact"/>
        <w:ind w:firstLine="566" w:firstLineChars="200"/>
        <w:rPr>
          <w:rFonts w:ascii="华文仿宋" w:hAnsi="华文仿宋" w:cs="华文仿宋"/>
          <w:color w:val="auto"/>
        </w:rPr>
      </w:pPr>
      <w:r>
        <w:rPr>
          <w:rFonts w:hint="eastAsia" w:cs="华文仿宋"/>
          <w:color w:val="auto"/>
        </w:rPr>
        <w:t>投标人应按照招标文件第一章第十项所列“投标人资格要求”逐一提供全</w:t>
      </w:r>
      <w:r>
        <w:rPr>
          <w:rFonts w:hint="eastAsia" w:ascii="华文仿宋" w:hAnsi="华文仿宋" w:cs="华文仿宋"/>
          <w:color w:val="auto"/>
        </w:rPr>
        <w:t xml:space="preserve">部资格证明文件。缺少其中任何一项，其投标文件将被视为无效文件。 </w:t>
      </w:r>
    </w:p>
    <w:p w14:paraId="0AEBE5F3">
      <w:pPr>
        <w:spacing w:line="500" w:lineRule="exact"/>
        <w:rPr>
          <w:rFonts w:cs="华文仿宋"/>
          <w:color w:val="auto"/>
        </w:rPr>
      </w:pPr>
      <w:r>
        <w:rPr>
          <w:rFonts w:hint="eastAsia" w:ascii="华文仿宋" w:hAnsi="华文仿宋" w:cs="华文仿宋"/>
          <w:color w:val="auto"/>
        </w:rPr>
        <w:t>其中，</w:t>
      </w:r>
      <w:r>
        <w:rPr>
          <w:rFonts w:hint="eastAsia" w:ascii="华文仿宋" w:hAnsi="华文仿宋" w:cs="华文仿宋"/>
          <w:color w:val="auto"/>
          <w:lang w:eastAsia="zh-CN"/>
        </w:rPr>
        <w:t>《</w:t>
      </w:r>
      <w:r>
        <w:rPr>
          <w:rFonts w:hint="eastAsia" w:ascii="华文仿宋" w:hAnsi="华文仿宋" w:cs="华文仿宋"/>
          <w:color w:val="auto"/>
          <w:lang w:val="en-US" w:eastAsia="zh-CN"/>
        </w:rPr>
        <w:t>承诺函</w:t>
      </w:r>
      <w:r>
        <w:rPr>
          <w:rFonts w:hint="eastAsia" w:ascii="华文仿宋" w:hAnsi="华文仿宋" w:cs="华文仿宋"/>
          <w:color w:val="auto"/>
          <w:lang w:eastAsia="zh-CN"/>
        </w:rPr>
        <w:t>》、</w:t>
      </w:r>
      <w:r>
        <w:rPr>
          <w:rFonts w:hint="eastAsia" w:ascii="华文仿宋" w:hAnsi="华文仿宋" w:cs="华文仿宋"/>
          <w:color w:val="auto"/>
        </w:rPr>
        <w:t>《供应商信用记录书面声明函》、《法定代表人授权委托书》</w:t>
      </w:r>
      <w:r>
        <w:rPr>
          <w:rFonts w:hint="eastAsia" w:ascii="华文仿宋" w:hAnsi="华文仿宋" w:cs="华文仿宋"/>
          <w:color w:val="auto"/>
          <w:lang w:eastAsia="zh-CN"/>
        </w:rPr>
        <w:t>、</w:t>
      </w:r>
      <w:r>
        <w:rPr>
          <w:rFonts w:hint="eastAsia" w:ascii="华文仿宋" w:hAnsi="华文仿宋" w:cs="华文仿宋"/>
          <w:color w:val="auto"/>
        </w:rPr>
        <w:t>《书面声明》</w:t>
      </w:r>
      <w:r>
        <w:rPr>
          <w:rFonts w:hint="eastAsia"/>
          <w:color w:val="auto"/>
        </w:rPr>
        <w:t>、《非联合体不分包投标声明》</w:t>
      </w:r>
      <w:r>
        <w:rPr>
          <w:rFonts w:hint="eastAsia" w:ascii="华文仿宋" w:hAnsi="华文仿宋" w:cs="华文仿宋"/>
          <w:color w:val="auto"/>
        </w:rPr>
        <w:t>须按下文给定格式填写。</w:t>
      </w:r>
      <w:r>
        <w:rPr>
          <w:rFonts w:hint="eastAsia"/>
          <w:color w:val="auto"/>
        </w:rPr>
        <w:t>特别说明，法定代表人亲自参加投标的，可不提供法定代表人授权委托书，但须提供其本人身份证（正反面）</w:t>
      </w:r>
      <w:r>
        <w:rPr>
          <w:rFonts w:hint="eastAsia"/>
          <w:color w:val="auto"/>
          <w:lang w:val="en-US" w:eastAsia="zh-CN"/>
        </w:rPr>
        <w:t>扫描</w:t>
      </w:r>
      <w:r>
        <w:rPr>
          <w:rFonts w:hint="eastAsia"/>
          <w:color w:val="auto"/>
        </w:rPr>
        <w:t>件。</w:t>
      </w:r>
    </w:p>
    <w:p w14:paraId="2371D942">
      <w:pPr>
        <w:spacing w:line="500" w:lineRule="exact"/>
        <w:ind w:firstLine="561"/>
        <w:outlineLvl w:val="2"/>
        <w:rPr>
          <w:rFonts w:ascii="仿宋" w:hAnsi="仿宋" w:eastAsia="仿宋" w:cs="Times New Roman"/>
          <w:b/>
          <w:bCs/>
          <w:color w:val="auto"/>
        </w:rPr>
      </w:pPr>
      <w:bookmarkStart w:id="580" w:name="_Toc19778"/>
      <w:bookmarkEnd w:id="580"/>
      <w:bookmarkStart w:id="581" w:name="_Toc4708"/>
      <w:bookmarkEnd w:id="581"/>
      <w:bookmarkStart w:id="582" w:name="_Toc31488"/>
      <w:bookmarkEnd w:id="582"/>
      <w:bookmarkStart w:id="583" w:name="_Toc11595"/>
      <w:bookmarkEnd w:id="583"/>
      <w:bookmarkStart w:id="584" w:name="_Toc30049"/>
      <w:bookmarkEnd w:id="584"/>
      <w:bookmarkStart w:id="585" w:name="_Toc15142"/>
      <w:bookmarkEnd w:id="585"/>
      <w:bookmarkStart w:id="586" w:name="_Toc27284"/>
      <w:bookmarkEnd w:id="586"/>
      <w:r>
        <w:rPr>
          <w:rFonts w:hint="eastAsia" w:ascii="仿宋" w:hAnsi="仿宋" w:eastAsia="仿宋" w:cs="仿宋"/>
          <w:b/>
          <w:bCs/>
          <w:color w:val="auto"/>
        </w:rPr>
        <w:t>一、营业执照等主体资格证明文件</w:t>
      </w:r>
    </w:p>
    <w:p w14:paraId="18B9DF63">
      <w:pPr>
        <w:spacing w:line="500" w:lineRule="exact"/>
        <w:ind w:firstLine="561"/>
        <w:outlineLvl w:val="2"/>
        <w:rPr>
          <w:rFonts w:hint="eastAsia" w:ascii="仿宋" w:hAnsi="仿宋" w:eastAsia="仿宋" w:cs="仿宋"/>
          <w:b/>
          <w:bCs/>
          <w:color w:val="auto"/>
        </w:rPr>
      </w:pPr>
      <w:bookmarkStart w:id="587" w:name="_Toc20860"/>
      <w:bookmarkStart w:id="588" w:name="_Toc22740"/>
      <w:bookmarkStart w:id="589" w:name="_Toc10604"/>
      <w:bookmarkStart w:id="590" w:name="_Toc17138"/>
      <w:bookmarkStart w:id="591" w:name="_Toc5013"/>
      <w:bookmarkStart w:id="592" w:name="_Toc28141"/>
      <w:bookmarkStart w:id="593" w:name="_Toc9048"/>
    </w:p>
    <w:p w14:paraId="4FB826EC">
      <w:pPr>
        <w:spacing w:line="500" w:lineRule="exact"/>
        <w:ind w:firstLine="561"/>
        <w:outlineLvl w:val="2"/>
        <w:rPr>
          <w:rFonts w:hint="eastAsia" w:ascii="仿宋" w:hAnsi="仿宋" w:eastAsia="仿宋" w:cs="仿宋"/>
          <w:b/>
          <w:bCs/>
          <w:color w:val="auto"/>
        </w:rPr>
      </w:pPr>
    </w:p>
    <w:p w14:paraId="09B57F36">
      <w:pPr>
        <w:spacing w:line="500" w:lineRule="exact"/>
        <w:ind w:firstLine="561"/>
        <w:outlineLvl w:val="2"/>
        <w:rPr>
          <w:rFonts w:hint="eastAsia" w:ascii="仿宋" w:hAnsi="仿宋" w:eastAsia="仿宋" w:cs="仿宋"/>
          <w:b/>
          <w:bCs/>
          <w:color w:val="auto"/>
        </w:rPr>
      </w:pPr>
    </w:p>
    <w:p w14:paraId="7426FABA">
      <w:pPr>
        <w:spacing w:line="500" w:lineRule="exact"/>
        <w:ind w:firstLine="561"/>
        <w:outlineLvl w:val="2"/>
        <w:rPr>
          <w:rFonts w:hint="eastAsia" w:ascii="仿宋" w:hAnsi="仿宋" w:eastAsia="仿宋" w:cs="仿宋"/>
          <w:b/>
          <w:bCs/>
          <w:color w:val="auto"/>
        </w:rPr>
      </w:pPr>
    </w:p>
    <w:p w14:paraId="07D50CC2">
      <w:pPr>
        <w:spacing w:line="500" w:lineRule="exact"/>
        <w:ind w:firstLine="561"/>
        <w:outlineLvl w:val="2"/>
        <w:rPr>
          <w:rFonts w:hint="eastAsia" w:ascii="仿宋" w:hAnsi="仿宋" w:eastAsia="仿宋" w:cs="仿宋"/>
          <w:b/>
          <w:bCs/>
          <w:color w:val="auto"/>
        </w:rPr>
      </w:pPr>
    </w:p>
    <w:p w14:paraId="330CC2D8">
      <w:pPr>
        <w:spacing w:line="500" w:lineRule="exact"/>
        <w:ind w:firstLine="561"/>
        <w:outlineLvl w:val="2"/>
        <w:rPr>
          <w:rFonts w:hint="eastAsia" w:ascii="仿宋" w:hAnsi="仿宋" w:eastAsia="仿宋" w:cs="仿宋"/>
          <w:b/>
          <w:bCs/>
          <w:color w:val="auto"/>
        </w:rPr>
      </w:pPr>
    </w:p>
    <w:p w14:paraId="34D1C6BE">
      <w:pPr>
        <w:spacing w:line="500" w:lineRule="exact"/>
        <w:ind w:firstLine="561"/>
        <w:outlineLvl w:val="2"/>
        <w:rPr>
          <w:rFonts w:hint="eastAsia" w:ascii="仿宋" w:hAnsi="仿宋" w:eastAsia="仿宋" w:cs="仿宋"/>
          <w:b/>
          <w:bCs/>
          <w:color w:val="auto"/>
        </w:rPr>
      </w:pPr>
    </w:p>
    <w:p w14:paraId="1E320F7D">
      <w:pPr>
        <w:spacing w:line="500" w:lineRule="exact"/>
        <w:ind w:firstLine="561"/>
        <w:outlineLvl w:val="2"/>
        <w:rPr>
          <w:rFonts w:hint="eastAsia" w:ascii="仿宋" w:hAnsi="仿宋" w:eastAsia="仿宋" w:cs="仿宋"/>
          <w:b/>
          <w:bCs/>
          <w:color w:val="auto"/>
        </w:rPr>
      </w:pPr>
    </w:p>
    <w:p w14:paraId="0E295C0B">
      <w:pPr>
        <w:spacing w:line="500" w:lineRule="exact"/>
        <w:ind w:firstLine="561"/>
        <w:outlineLvl w:val="2"/>
        <w:rPr>
          <w:rFonts w:hint="eastAsia" w:ascii="仿宋" w:hAnsi="仿宋" w:eastAsia="仿宋" w:cs="仿宋"/>
          <w:b/>
          <w:bCs/>
          <w:color w:val="auto"/>
        </w:rPr>
      </w:pPr>
    </w:p>
    <w:p w14:paraId="1780D0EF">
      <w:pPr>
        <w:spacing w:line="500" w:lineRule="exact"/>
        <w:ind w:firstLine="561"/>
        <w:outlineLvl w:val="2"/>
        <w:rPr>
          <w:rFonts w:hint="eastAsia" w:ascii="仿宋" w:hAnsi="仿宋" w:eastAsia="仿宋" w:cs="仿宋"/>
          <w:b/>
          <w:bCs/>
          <w:color w:val="auto"/>
        </w:rPr>
      </w:pPr>
    </w:p>
    <w:p w14:paraId="7D20456D">
      <w:pPr>
        <w:spacing w:line="500" w:lineRule="exact"/>
        <w:ind w:firstLine="561"/>
        <w:outlineLvl w:val="2"/>
        <w:rPr>
          <w:rFonts w:hint="eastAsia" w:ascii="仿宋" w:hAnsi="仿宋" w:eastAsia="仿宋" w:cs="仿宋"/>
          <w:b/>
          <w:bCs/>
          <w:color w:val="auto"/>
        </w:rPr>
      </w:pPr>
    </w:p>
    <w:p w14:paraId="4C4D8734">
      <w:pPr>
        <w:spacing w:line="500" w:lineRule="exact"/>
        <w:ind w:firstLine="561"/>
        <w:outlineLvl w:val="2"/>
        <w:rPr>
          <w:rFonts w:hint="eastAsia" w:ascii="仿宋" w:hAnsi="仿宋" w:eastAsia="仿宋" w:cs="仿宋"/>
          <w:b/>
          <w:bCs/>
          <w:color w:val="auto"/>
        </w:rPr>
      </w:pPr>
    </w:p>
    <w:p w14:paraId="29634281">
      <w:pPr>
        <w:spacing w:line="500" w:lineRule="exact"/>
        <w:ind w:firstLine="561"/>
        <w:outlineLvl w:val="2"/>
        <w:rPr>
          <w:rFonts w:hint="eastAsia" w:ascii="仿宋" w:hAnsi="仿宋" w:eastAsia="仿宋" w:cs="仿宋"/>
          <w:b/>
          <w:bCs/>
          <w:color w:val="auto"/>
        </w:rPr>
      </w:pPr>
    </w:p>
    <w:p w14:paraId="7F53516C">
      <w:pPr>
        <w:spacing w:line="500" w:lineRule="exact"/>
        <w:ind w:firstLine="561"/>
        <w:outlineLvl w:val="2"/>
        <w:rPr>
          <w:rFonts w:hint="eastAsia" w:ascii="仿宋" w:hAnsi="仿宋" w:eastAsia="仿宋" w:cs="仿宋"/>
          <w:b/>
          <w:bCs/>
          <w:color w:val="auto"/>
        </w:rPr>
      </w:pPr>
    </w:p>
    <w:p w14:paraId="06EEF378">
      <w:pPr>
        <w:spacing w:line="500" w:lineRule="exact"/>
        <w:ind w:firstLine="561"/>
        <w:outlineLvl w:val="2"/>
        <w:rPr>
          <w:rFonts w:hint="eastAsia" w:ascii="仿宋" w:hAnsi="仿宋" w:eastAsia="仿宋" w:cs="仿宋"/>
          <w:b/>
          <w:bCs/>
          <w:color w:val="auto"/>
        </w:rPr>
      </w:pPr>
    </w:p>
    <w:p w14:paraId="3760C2BC">
      <w:pPr>
        <w:spacing w:line="500" w:lineRule="exact"/>
        <w:ind w:firstLine="561"/>
        <w:outlineLvl w:val="2"/>
        <w:rPr>
          <w:rFonts w:hint="eastAsia" w:ascii="仿宋" w:hAnsi="仿宋" w:eastAsia="仿宋" w:cs="仿宋"/>
          <w:b/>
          <w:bCs/>
          <w:color w:val="auto"/>
        </w:rPr>
      </w:pPr>
    </w:p>
    <w:p w14:paraId="0F3AF59E">
      <w:pPr>
        <w:spacing w:line="500" w:lineRule="exact"/>
        <w:ind w:firstLine="561"/>
        <w:outlineLvl w:val="2"/>
        <w:rPr>
          <w:rFonts w:hint="eastAsia" w:ascii="仿宋" w:hAnsi="仿宋" w:eastAsia="仿宋" w:cs="仿宋"/>
          <w:b/>
          <w:bCs/>
          <w:color w:val="auto"/>
        </w:rPr>
      </w:pPr>
    </w:p>
    <w:p w14:paraId="47A4C7A8">
      <w:pPr>
        <w:spacing w:line="500" w:lineRule="exact"/>
        <w:ind w:firstLine="561"/>
        <w:outlineLvl w:val="2"/>
        <w:rPr>
          <w:rFonts w:hint="eastAsia" w:ascii="仿宋" w:hAnsi="仿宋" w:eastAsia="仿宋" w:cs="仿宋"/>
          <w:b/>
          <w:bCs/>
          <w:color w:val="auto"/>
        </w:rPr>
      </w:pPr>
    </w:p>
    <w:p w14:paraId="2C38C8AE">
      <w:pPr>
        <w:spacing w:line="500" w:lineRule="exact"/>
        <w:ind w:firstLine="561"/>
        <w:outlineLvl w:val="2"/>
        <w:rPr>
          <w:rFonts w:hint="eastAsia" w:ascii="仿宋" w:hAnsi="仿宋" w:eastAsia="仿宋" w:cs="仿宋"/>
          <w:b/>
          <w:bCs/>
          <w:color w:val="auto"/>
        </w:rPr>
      </w:pPr>
    </w:p>
    <w:bookmarkEnd w:id="587"/>
    <w:bookmarkEnd w:id="588"/>
    <w:bookmarkEnd w:id="589"/>
    <w:bookmarkEnd w:id="590"/>
    <w:bookmarkEnd w:id="591"/>
    <w:bookmarkEnd w:id="592"/>
    <w:bookmarkEnd w:id="593"/>
    <w:p w14:paraId="5787FEC6">
      <w:pPr>
        <w:spacing w:line="500" w:lineRule="exact"/>
        <w:outlineLvl w:val="2"/>
        <w:rPr>
          <w:rFonts w:hint="eastAsia" w:ascii="仿宋" w:hAnsi="仿宋" w:eastAsia="仿宋" w:cs="仿宋"/>
          <w:b/>
          <w:bCs/>
          <w:color w:val="auto"/>
        </w:rPr>
      </w:pPr>
      <w:r>
        <w:rPr>
          <w:rFonts w:hint="eastAsia" w:ascii="仿宋" w:hAnsi="仿宋" w:eastAsia="仿宋" w:cs="仿宋"/>
          <w:b/>
          <w:bCs/>
          <w:color w:val="auto"/>
        </w:rPr>
        <w:t>二、信用记录</w:t>
      </w:r>
      <w:r>
        <w:rPr>
          <w:rFonts w:hint="eastAsia" w:ascii="仿宋" w:hAnsi="仿宋" w:eastAsia="仿宋" w:cs="仿宋"/>
          <w:b/>
          <w:bCs/>
          <w:color w:val="auto"/>
        </w:rPr>
        <w:tab/>
      </w:r>
    </w:p>
    <w:p w14:paraId="6C9ECB14">
      <w:pPr>
        <w:pStyle w:val="63"/>
        <w:jc w:val="center"/>
        <w:outlineLvl w:val="9"/>
        <w:rPr>
          <w:rFonts w:cs="Times New Roman"/>
          <w:color w:val="auto"/>
          <w:sz w:val="30"/>
          <w:szCs w:val="30"/>
        </w:rPr>
      </w:pPr>
      <w:bookmarkStart w:id="594" w:name="_Toc3854"/>
      <w:bookmarkEnd w:id="594"/>
      <w:bookmarkStart w:id="595" w:name="_Toc29707"/>
      <w:bookmarkEnd w:id="595"/>
      <w:bookmarkStart w:id="596" w:name="_Toc17085"/>
      <w:bookmarkEnd w:id="596"/>
      <w:bookmarkStart w:id="597" w:name="_Toc32284"/>
      <w:bookmarkEnd w:id="597"/>
      <w:bookmarkStart w:id="598" w:name="_Toc29741"/>
      <w:bookmarkEnd w:id="598"/>
      <w:bookmarkStart w:id="599" w:name="_Toc11923"/>
      <w:bookmarkEnd w:id="599"/>
      <w:bookmarkStart w:id="600" w:name="_Toc10456"/>
      <w:bookmarkEnd w:id="600"/>
      <w:bookmarkStart w:id="601" w:name="_Toc4092"/>
      <w:bookmarkEnd w:id="601"/>
      <w:bookmarkStart w:id="602" w:name="_Toc23408"/>
      <w:bookmarkEnd w:id="602"/>
      <w:r>
        <w:rPr>
          <w:rFonts w:hint="eastAsia" w:cs="华文仿宋"/>
          <w:color w:val="auto"/>
          <w:sz w:val="30"/>
          <w:szCs w:val="30"/>
        </w:rPr>
        <w:t>供应商信用记录书面声明函</w:t>
      </w:r>
    </w:p>
    <w:p w14:paraId="07228562">
      <w:pPr>
        <w:spacing w:line="500" w:lineRule="exact"/>
        <w:rPr>
          <w:rFonts w:cs="Times New Roman"/>
          <w:color w:val="auto"/>
        </w:rPr>
      </w:pPr>
      <w:r>
        <w:rPr>
          <w:rFonts w:hint="eastAsia" w:ascii="仿宋" w:hAnsi="仿宋" w:eastAsia="仿宋" w:cs="仿宋"/>
          <w:color w:val="auto"/>
          <w:lang w:eastAsia="zh-CN"/>
        </w:rPr>
        <w:t>延安市公共资源交易中心（延安市市直单位政府采购中心）</w:t>
      </w:r>
      <w:r>
        <w:rPr>
          <w:rFonts w:hint="eastAsia" w:cs="华文仿宋"/>
          <w:color w:val="auto"/>
        </w:rPr>
        <w:t>：</w:t>
      </w:r>
    </w:p>
    <w:p w14:paraId="1787D630">
      <w:pPr>
        <w:spacing w:line="500" w:lineRule="exact"/>
        <w:ind w:right="11" w:firstLine="566" w:firstLineChars="200"/>
        <w:rPr>
          <w:rFonts w:hint="eastAsia" w:cs="华文仿宋"/>
          <w:color w:val="auto"/>
        </w:rPr>
      </w:pPr>
      <w:r>
        <w:rPr>
          <w:rFonts w:hint="eastAsia" w:ascii="华文仿宋" w:hAnsi="华文仿宋" w:cs="华文仿宋"/>
          <w:color w:val="auto"/>
        </w:rPr>
        <w:t>我方作为《</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的投标人，在此郑重声明：</w:t>
      </w:r>
    </w:p>
    <w:p w14:paraId="31B0E7F4">
      <w:pPr>
        <w:spacing w:line="500" w:lineRule="exact"/>
        <w:ind w:right="11" w:firstLine="566" w:firstLineChars="200"/>
        <w:rPr>
          <w:rFonts w:cs="Times New Roman"/>
          <w:color w:val="auto"/>
        </w:rPr>
      </w:pPr>
      <w:r>
        <w:rPr>
          <w:rFonts w:hint="eastAsia" w:ascii="仿宋" w:hAnsi="仿宋" w:eastAsia="仿宋" w:cs="仿宋"/>
          <w:color w:val="auto"/>
          <w:lang w:val="en-US" w:eastAsia="zh-CN"/>
        </w:rPr>
        <w:t>1.</w:t>
      </w:r>
      <w:r>
        <w:rPr>
          <w:rFonts w:hint="eastAsia" w:cs="华文仿宋"/>
          <w:color w:val="auto"/>
        </w:rPr>
        <w:t>在参加本次政府采购活动前</w:t>
      </w:r>
      <w:r>
        <w:rPr>
          <w:rFonts w:ascii="仿宋" w:hAnsi="仿宋" w:eastAsia="仿宋" w:cs="仿宋"/>
          <w:color w:val="auto"/>
        </w:rPr>
        <w:t>3</w:t>
      </w:r>
      <w:r>
        <w:rPr>
          <w:rFonts w:hint="eastAsia" w:cs="华文仿宋"/>
          <w:color w:val="auto"/>
        </w:rPr>
        <w:t>年内的经营活动中</w:t>
      </w:r>
      <w:r>
        <w:rPr>
          <w:color w:val="auto"/>
        </w:rPr>
        <w:t>____</w:t>
      </w:r>
      <w:r>
        <w:rPr>
          <w:rFonts w:hint="eastAsia" w:cs="华文仿宋"/>
          <w:color w:val="auto"/>
        </w:rPr>
        <w:t>（填“没有”或“有”）重大违法记录。</w:t>
      </w:r>
      <w:r>
        <w:rPr>
          <w:rFonts w:hint="eastAsia" w:cs="华文仿宋"/>
          <w:b/>
          <w:bCs/>
          <w:color w:val="auto"/>
        </w:rPr>
        <w:t>投标人在参加政府采购活动前</w:t>
      </w:r>
      <w:r>
        <w:rPr>
          <w:rFonts w:ascii="仿宋" w:hAnsi="仿宋" w:eastAsia="仿宋" w:cs="仿宋"/>
          <w:b/>
          <w:bCs/>
          <w:color w:val="auto"/>
        </w:rPr>
        <w:t>3</w:t>
      </w:r>
      <w:r>
        <w:rPr>
          <w:rFonts w:hint="eastAsia" w:cs="华文仿宋"/>
          <w:b/>
          <w:bCs/>
          <w:color w:val="auto"/>
        </w:rPr>
        <w:t>年内因违法经营被禁止在一定期限内参加政府采购活动，期限届满的，可以参加政府采购活动，但应提供期限届满的证明材料。</w:t>
      </w:r>
    </w:p>
    <w:p w14:paraId="519C02BC">
      <w:pPr>
        <w:spacing w:line="500" w:lineRule="exact"/>
        <w:ind w:right="11" w:firstLine="566"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2.我方______（填“未被列入”或“被列入”）失信被执行人名单。</w:t>
      </w:r>
    </w:p>
    <w:p w14:paraId="3142F9B6">
      <w:pPr>
        <w:spacing w:line="500" w:lineRule="exact"/>
        <w:ind w:right="11" w:firstLine="566"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3.我方______（填“未被列入”或“被列入”）重大税收违法失信主体名单。</w:t>
      </w:r>
    </w:p>
    <w:p w14:paraId="153C8630">
      <w:pPr>
        <w:spacing w:line="500" w:lineRule="exact"/>
        <w:ind w:right="11" w:firstLine="566" w:firstLineChars="200"/>
        <w:rPr>
          <w:rFonts w:hint="eastAsia" w:cs="华文仿宋"/>
          <w:color w:val="auto"/>
        </w:rPr>
      </w:pPr>
      <w:r>
        <w:rPr>
          <w:rFonts w:hint="eastAsia" w:ascii="仿宋" w:hAnsi="仿宋" w:eastAsia="仿宋" w:cs="仿宋"/>
          <w:color w:val="auto"/>
          <w:lang w:val="en-US" w:eastAsia="zh-CN"/>
        </w:rPr>
        <w:t>4.</w:t>
      </w:r>
      <w:r>
        <w:rPr>
          <w:rFonts w:hint="eastAsia" w:cs="华文仿宋"/>
          <w:color w:val="auto"/>
          <w:lang w:val="en-US" w:eastAsia="zh-CN"/>
        </w:rPr>
        <w:t>我方______（填“未被列入”或“被列入”）政府采购严重违法失信行为记</w:t>
      </w:r>
      <w:r>
        <w:rPr>
          <w:rFonts w:hint="eastAsia" w:cs="华文仿宋"/>
          <w:color w:val="auto"/>
        </w:rPr>
        <w:t>录名单。</w:t>
      </w:r>
    </w:p>
    <w:p w14:paraId="28897E97">
      <w:pPr>
        <w:spacing w:line="500" w:lineRule="exact"/>
        <w:ind w:firstLine="566" w:firstLineChars="200"/>
        <w:rPr>
          <w:rFonts w:cs="Times New Roman"/>
          <w:color w:val="auto"/>
        </w:rPr>
      </w:pPr>
      <w:r>
        <w:rPr>
          <w:rFonts w:hint="eastAsia" w:cs="华文仿宋"/>
          <w:color w:val="auto"/>
        </w:rPr>
        <w:t>如有不实，我方将无条件地退出本项目的采购活动，并遵照《政府采购法》有关“提供虚假材料的规定”接受处罚。</w:t>
      </w:r>
    </w:p>
    <w:p w14:paraId="5976321B">
      <w:pPr>
        <w:spacing w:line="500" w:lineRule="exact"/>
        <w:ind w:firstLine="566" w:firstLineChars="200"/>
        <w:rPr>
          <w:rFonts w:cs="Times New Roman"/>
          <w:color w:val="auto"/>
        </w:rPr>
      </w:pPr>
      <w:r>
        <w:rPr>
          <w:rFonts w:hint="eastAsia" w:cs="华文仿宋"/>
          <w:color w:val="auto"/>
        </w:rPr>
        <w:t>特此声明。</w:t>
      </w:r>
    </w:p>
    <w:p w14:paraId="0940A411">
      <w:pPr>
        <w:spacing w:line="500" w:lineRule="exact"/>
        <w:ind w:firstLine="4811" w:firstLineChars="17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54D96579">
      <w:pPr>
        <w:spacing w:line="500" w:lineRule="exact"/>
        <w:ind w:firstLine="5094" w:firstLineChars="1800"/>
        <w:rPr>
          <w:rFonts w:cs="Times New Roman"/>
          <w:color w:val="auto"/>
        </w:rPr>
      </w:pPr>
      <w:r>
        <w:rPr>
          <w:rFonts w:hint="eastAsia" w:cs="华文仿宋"/>
          <w:color w:val="auto"/>
        </w:rPr>
        <w:t>日期：　　年　月　日</w:t>
      </w:r>
    </w:p>
    <w:p w14:paraId="77611BE8">
      <w:pPr>
        <w:spacing w:line="500" w:lineRule="exact"/>
        <w:ind w:firstLine="426" w:firstLineChars="200"/>
        <w:rPr>
          <w:rFonts w:ascii="宋体" w:hAnsi="宋体" w:eastAsia="宋体" w:cs="Times New Roman"/>
          <w:color w:val="auto"/>
          <w:sz w:val="21"/>
          <w:szCs w:val="21"/>
        </w:rPr>
      </w:pPr>
    </w:p>
    <w:p w14:paraId="37E2383E">
      <w:pPr>
        <w:pStyle w:val="27"/>
        <w:spacing w:after="190"/>
        <w:ind w:firstLine="213"/>
        <w:rPr>
          <w:color w:val="auto"/>
        </w:rPr>
      </w:pPr>
      <w:r>
        <w:rPr>
          <w:rFonts w:hint="eastAsia" w:ascii="宋体" w:hAnsi="宋体" w:eastAsia="宋体" w:cs="宋体"/>
          <w:color w:val="auto"/>
          <w:sz w:val="21"/>
          <w:szCs w:val="21"/>
        </w:rPr>
        <w:t>备注：项目不分标段的，第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4CF978C4">
      <w:pPr>
        <w:spacing w:line="500" w:lineRule="exact"/>
        <w:ind w:firstLine="566" w:firstLineChars="200"/>
        <w:outlineLvl w:val="2"/>
        <w:rPr>
          <w:rFonts w:hint="eastAsia" w:ascii="仿宋" w:hAnsi="仿宋" w:eastAsia="仿宋" w:cs="仿宋"/>
          <w:b/>
          <w:bCs/>
          <w:color w:val="auto"/>
          <w:lang w:val="en-US" w:eastAsia="zh-CN"/>
        </w:rPr>
      </w:pPr>
      <w:bookmarkStart w:id="603" w:name="_Toc6319"/>
      <w:bookmarkStart w:id="604" w:name="_Toc24508"/>
      <w:bookmarkStart w:id="605" w:name="_Toc14054"/>
      <w:bookmarkStart w:id="606" w:name="_Toc22937"/>
      <w:bookmarkStart w:id="607" w:name="_Toc1488"/>
    </w:p>
    <w:p w14:paraId="62B19243">
      <w:pPr>
        <w:spacing w:line="500" w:lineRule="exact"/>
        <w:ind w:firstLine="566" w:firstLineChars="200"/>
        <w:outlineLvl w:val="2"/>
        <w:rPr>
          <w:rFonts w:hint="eastAsia" w:ascii="仿宋" w:hAnsi="仿宋" w:eastAsia="仿宋" w:cs="仿宋"/>
          <w:b/>
          <w:bCs/>
          <w:color w:val="auto"/>
          <w:lang w:val="en-US" w:eastAsia="zh-CN"/>
        </w:rPr>
      </w:pPr>
    </w:p>
    <w:p w14:paraId="7BB93D5B">
      <w:pPr>
        <w:spacing w:line="500" w:lineRule="exact"/>
        <w:ind w:firstLine="566" w:firstLineChars="200"/>
        <w:outlineLvl w:val="2"/>
        <w:rPr>
          <w:rFonts w:hint="eastAsia" w:ascii="仿宋" w:hAnsi="仿宋" w:eastAsia="仿宋" w:cs="仿宋"/>
          <w:b/>
          <w:bCs/>
          <w:color w:val="auto"/>
          <w:lang w:val="en-US" w:eastAsia="zh-CN"/>
        </w:rPr>
      </w:pPr>
    </w:p>
    <w:p w14:paraId="4D5BE386">
      <w:pPr>
        <w:spacing w:line="500" w:lineRule="exact"/>
        <w:ind w:firstLine="566" w:firstLineChars="200"/>
        <w:outlineLvl w:val="2"/>
        <w:rPr>
          <w:rFonts w:hint="eastAsia" w:ascii="仿宋" w:hAnsi="仿宋" w:eastAsia="仿宋" w:cs="仿宋"/>
          <w:b/>
          <w:bCs/>
          <w:color w:val="auto"/>
          <w:lang w:val="en-US" w:eastAsia="zh-CN"/>
        </w:rPr>
      </w:pPr>
    </w:p>
    <w:p w14:paraId="2E8317F9">
      <w:pPr>
        <w:spacing w:line="500" w:lineRule="exact"/>
        <w:ind w:firstLine="566" w:firstLineChars="200"/>
        <w:outlineLvl w:val="2"/>
        <w:rPr>
          <w:rFonts w:hint="eastAsia" w:ascii="仿宋" w:hAnsi="仿宋" w:eastAsia="仿宋" w:cs="仿宋"/>
          <w:b/>
          <w:bCs/>
          <w:color w:val="auto"/>
          <w:lang w:val="en-US" w:eastAsia="zh-CN"/>
        </w:rPr>
      </w:pPr>
    </w:p>
    <w:p w14:paraId="6506F4BF">
      <w:pPr>
        <w:spacing w:line="500" w:lineRule="exact"/>
        <w:ind w:firstLine="566" w:firstLineChars="200"/>
        <w:outlineLvl w:val="2"/>
        <w:rPr>
          <w:rFonts w:hint="eastAsia" w:ascii="仿宋" w:hAnsi="仿宋" w:eastAsia="仿宋" w:cs="仿宋"/>
          <w:b/>
          <w:bCs/>
          <w:color w:val="auto"/>
          <w:lang w:val="en-US" w:eastAsia="zh-CN"/>
        </w:rPr>
      </w:pPr>
    </w:p>
    <w:p w14:paraId="062EC399">
      <w:pPr>
        <w:spacing w:line="500" w:lineRule="exact"/>
        <w:ind w:firstLine="566" w:firstLineChars="200"/>
        <w:outlineLvl w:val="2"/>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三</w:t>
      </w:r>
      <w:r>
        <w:rPr>
          <w:rFonts w:hint="eastAsia" w:ascii="仿宋" w:hAnsi="仿宋" w:eastAsia="仿宋" w:cs="仿宋"/>
          <w:b/>
          <w:bCs/>
          <w:color w:val="auto"/>
        </w:rPr>
        <w:t>、</w:t>
      </w:r>
      <w:r>
        <w:rPr>
          <w:rFonts w:hint="eastAsia" w:ascii="仿宋" w:hAnsi="仿宋" w:eastAsia="仿宋" w:cs="仿宋"/>
          <w:b/>
          <w:bCs/>
          <w:color w:val="auto"/>
          <w:lang w:val="en-US" w:eastAsia="zh-CN"/>
        </w:rPr>
        <w:t>财务状况、缴纳税收和社会保障资金三项符合要求的承诺函</w:t>
      </w:r>
    </w:p>
    <w:p w14:paraId="0510DB19">
      <w:pPr>
        <w:spacing w:line="360" w:lineRule="atLeast"/>
        <w:jc w:val="center"/>
        <w:rPr>
          <w:rFonts w:hint="eastAsia" w:ascii="宋体" w:hAnsi="宋体" w:eastAsia="宋体" w:cs="Times New Roman"/>
          <w:b/>
          <w:sz w:val="32"/>
          <w:szCs w:val="32"/>
          <w:lang w:val="en-US" w:eastAsia="zh-CN"/>
        </w:rPr>
      </w:pPr>
    </w:p>
    <w:p w14:paraId="0360CD7E">
      <w:pPr>
        <w:spacing w:line="360" w:lineRule="atLeast"/>
        <w:jc w:val="center"/>
        <w:rPr>
          <w:rFonts w:hint="eastAsia" w:ascii="华文仿宋" w:hAnsi="华文仿宋" w:eastAsia="华文仿宋" w:cs="华文仿宋"/>
          <w:sz w:val="28"/>
          <w:szCs w:val="28"/>
          <w:lang w:val="en-US" w:eastAsia="zh-CN"/>
        </w:rPr>
      </w:pPr>
      <w:r>
        <w:rPr>
          <w:rFonts w:hint="eastAsia" w:ascii="宋体" w:hAnsi="宋体" w:eastAsia="宋体" w:cs="Times New Roman"/>
          <w:b/>
          <w:sz w:val="32"/>
          <w:szCs w:val="32"/>
          <w:lang w:val="en-US" w:eastAsia="zh-CN"/>
        </w:rPr>
        <w:t>承诺函</w:t>
      </w:r>
    </w:p>
    <w:p w14:paraId="7BD7EB1B">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我公司承诺，我公司财务状况、依法缴纳税收和社会保障资金良好。</w:t>
      </w:r>
    </w:p>
    <w:p w14:paraId="2653C6B4">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如有隐瞒实情，愿承担一切责任及后果。</w:t>
      </w:r>
    </w:p>
    <w:p w14:paraId="253AC07C">
      <w:pPr>
        <w:spacing w:line="360" w:lineRule="auto"/>
        <w:ind w:firstLine="424" w:firstLineChars="150"/>
        <w:rPr>
          <w:rFonts w:hint="eastAsia" w:ascii="华文仿宋" w:hAnsi="华文仿宋" w:eastAsia="华文仿宋" w:cs="华文仿宋"/>
          <w:sz w:val="28"/>
          <w:szCs w:val="28"/>
          <w:lang w:val="en-US" w:eastAsia="zh-CN"/>
        </w:rPr>
      </w:pPr>
    </w:p>
    <w:p w14:paraId="760A6043">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承诺单位：（盖章）</w:t>
      </w:r>
    </w:p>
    <w:p w14:paraId="3BA1D96D">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法定代表人或全权代表：</w:t>
      </w:r>
      <w:r>
        <w:rPr>
          <w:rFonts w:hint="eastAsia" w:ascii="华文仿宋" w:hAnsi="华文仿宋" w:eastAsia="华文仿宋" w:cs="华文仿宋"/>
          <w:b/>
          <w:bCs/>
          <w:sz w:val="28"/>
          <w:szCs w:val="28"/>
          <w:lang w:val="en-US" w:eastAsia="zh-CN"/>
        </w:rPr>
        <w:t>（签字</w:t>
      </w:r>
      <w:r>
        <w:rPr>
          <w:rFonts w:hint="eastAsia" w:ascii="华文仿宋" w:hAnsi="华文仿宋" w:cs="华文仿宋"/>
          <w:b/>
          <w:bCs/>
          <w:sz w:val="28"/>
          <w:szCs w:val="28"/>
          <w:lang w:val="en-US" w:eastAsia="zh-CN"/>
        </w:rPr>
        <w:t>或</w:t>
      </w:r>
      <w:r>
        <w:rPr>
          <w:rFonts w:hint="eastAsia" w:ascii="华文仿宋" w:hAnsi="华文仿宋" w:eastAsia="华文仿宋" w:cs="华文仿宋"/>
          <w:b/>
          <w:bCs/>
          <w:sz w:val="28"/>
          <w:szCs w:val="28"/>
          <w:lang w:val="en-US" w:eastAsia="zh-CN"/>
        </w:rPr>
        <w:t>盖章）</w:t>
      </w:r>
    </w:p>
    <w:p w14:paraId="4873B689">
      <w:pPr>
        <w:spacing w:line="360" w:lineRule="auto"/>
        <w:ind w:firstLine="424" w:firstLineChars="150"/>
        <w:rPr>
          <w:rFonts w:hint="eastAsia" w:ascii="华文仿宋" w:hAnsi="华文仿宋" w:eastAsia="华文仿宋" w:cs="华文仿宋"/>
          <w:sz w:val="28"/>
          <w:szCs w:val="28"/>
          <w:lang w:val="en-US" w:eastAsia="zh-CN"/>
        </w:rPr>
      </w:pPr>
    </w:p>
    <w:p w14:paraId="7598F6E4">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地址：                   </w:t>
      </w:r>
    </w:p>
    <w:p w14:paraId="4C7E5488">
      <w:pPr>
        <w:spacing w:line="360" w:lineRule="auto"/>
        <w:ind w:firstLine="424" w:firstLineChars="150"/>
        <w:rPr>
          <w:rFonts w:hint="eastAsia" w:ascii="华文仿宋" w:hAnsi="华文仿宋" w:eastAsia="华文仿宋" w:cs="华文仿宋"/>
          <w:sz w:val="28"/>
          <w:szCs w:val="28"/>
          <w:lang w:val="en-US" w:eastAsia="zh-CN"/>
        </w:rPr>
      </w:pPr>
    </w:p>
    <w:p w14:paraId="50229F17">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邮编：</w:t>
      </w:r>
    </w:p>
    <w:p w14:paraId="191CA086">
      <w:pPr>
        <w:spacing w:line="360" w:lineRule="auto"/>
        <w:ind w:firstLine="424" w:firstLineChars="150"/>
        <w:rPr>
          <w:rFonts w:hint="eastAsia" w:ascii="华文仿宋" w:hAnsi="华文仿宋" w:eastAsia="华文仿宋" w:cs="华文仿宋"/>
          <w:sz w:val="28"/>
          <w:szCs w:val="28"/>
          <w:lang w:val="en-US" w:eastAsia="zh-CN"/>
        </w:rPr>
      </w:pPr>
    </w:p>
    <w:p w14:paraId="4C1ABCCE">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电话：</w:t>
      </w:r>
    </w:p>
    <w:p w14:paraId="0904F533">
      <w:pPr>
        <w:spacing w:line="360" w:lineRule="auto"/>
        <w:ind w:firstLine="424" w:firstLineChars="150"/>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                                             年  月  日</w:t>
      </w:r>
    </w:p>
    <w:p w14:paraId="2B1C342B">
      <w:pPr>
        <w:pStyle w:val="4"/>
        <w:rPr>
          <w:rFonts w:hint="eastAsia"/>
          <w:lang w:val="en-US" w:eastAsia="zh-CN"/>
        </w:rPr>
      </w:pPr>
    </w:p>
    <w:p w14:paraId="7B87F3BF">
      <w:pPr>
        <w:pStyle w:val="4"/>
        <w:jc w:val="both"/>
        <w:rPr>
          <w:rFonts w:hint="eastAsia"/>
          <w:lang w:val="en-US" w:eastAsia="zh-CN"/>
        </w:rPr>
      </w:pPr>
    </w:p>
    <w:p w14:paraId="50CF2D21">
      <w:pPr>
        <w:pStyle w:val="27"/>
        <w:numPr>
          <w:ilvl w:val="0"/>
          <w:numId w:val="0"/>
        </w:numPr>
        <w:spacing w:after="190"/>
        <w:ind w:firstLine="606" w:firstLineChars="200"/>
        <w:outlineLvl w:val="2"/>
        <w:rPr>
          <w:rFonts w:hint="eastAsia" w:ascii="仿宋" w:hAnsi="仿宋" w:eastAsia="仿宋" w:cs="仿宋"/>
          <w:b/>
          <w:bCs/>
          <w:color w:val="auto"/>
          <w:kern w:val="2"/>
          <w:sz w:val="30"/>
          <w:szCs w:val="30"/>
          <w:lang w:val="en-US" w:eastAsia="zh-CN" w:bidi="ar-SA"/>
        </w:rPr>
      </w:pPr>
    </w:p>
    <w:p w14:paraId="02294992">
      <w:pPr>
        <w:pStyle w:val="27"/>
        <w:numPr>
          <w:ilvl w:val="0"/>
          <w:numId w:val="0"/>
        </w:numPr>
        <w:spacing w:after="190"/>
        <w:ind w:firstLine="606" w:firstLineChars="200"/>
        <w:outlineLvl w:val="2"/>
        <w:rPr>
          <w:rFonts w:hint="eastAsia" w:ascii="仿宋" w:hAnsi="仿宋" w:eastAsia="仿宋" w:cs="仿宋"/>
          <w:b/>
          <w:bCs/>
          <w:color w:val="auto"/>
          <w:kern w:val="2"/>
          <w:sz w:val="30"/>
          <w:szCs w:val="30"/>
          <w:lang w:val="en-US" w:eastAsia="zh-CN" w:bidi="ar-SA"/>
        </w:rPr>
      </w:pPr>
    </w:p>
    <w:bookmarkEnd w:id="603"/>
    <w:bookmarkEnd w:id="604"/>
    <w:bookmarkEnd w:id="605"/>
    <w:bookmarkEnd w:id="606"/>
    <w:bookmarkEnd w:id="607"/>
    <w:p w14:paraId="0115492F">
      <w:pPr>
        <w:pStyle w:val="27"/>
        <w:numPr>
          <w:ilvl w:val="0"/>
          <w:numId w:val="0"/>
        </w:numPr>
        <w:spacing w:after="190"/>
        <w:ind w:firstLine="606" w:firstLineChars="200"/>
        <w:outlineLvl w:val="2"/>
        <w:rPr>
          <w:rFonts w:ascii="仿宋" w:hAnsi="仿宋" w:eastAsia="仿宋" w:cs="仿宋"/>
          <w:b/>
          <w:bCs/>
          <w:color w:val="auto"/>
          <w:sz w:val="30"/>
          <w:szCs w:val="30"/>
        </w:rPr>
      </w:pPr>
      <w:bookmarkStart w:id="608" w:name="_Toc15868"/>
      <w:bookmarkEnd w:id="608"/>
      <w:bookmarkStart w:id="609" w:name="_Toc25524"/>
      <w:bookmarkEnd w:id="609"/>
      <w:bookmarkStart w:id="610" w:name="_Toc9165"/>
      <w:bookmarkEnd w:id="610"/>
      <w:bookmarkStart w:id="611" w:name="_Toc20662"/>
      <w:bookmarkEnd w:id="611"/>
      <w:bookmarkStart w:id="612" w:name="_Toc7084"/>
      <w:bookmarkEnd w:id="612"/>
      <w:bookmarkStart w:id="613" w:name="_Toc4561"/>
      <w:bookmarkEnd w:id="613"/>
      <w:bookmarkStart w:id="614" w:name="_Toc1517"/>
      <w:bookmarkEnd w:id="614"/>
      <w:bookmarkStart w:id="615" w:name="_Toc32331"/>
      <w:bookmarkEnd w:id="615"/>
      <w:r>
        <w:rPr>
          <w:rFonts w:hint="eastAsia" w:ascii="仿宋" w:hAnsi="仿宋" w:eastAsia="仿宋" w:cs="仿宋"/>
          <w:b/>
          <w:bCs/>
          <w:color w:val="auto"/>
          <w:kern w:val="2"/>
          <w:sz w:val="30"/>
          <w:szCs w:val="30"/>
          <w:lang w:val="en-US" w:eastAsia="zh-CN" w:bidi="ar-SA"/>
        </w:rPr>
        <w:t>四、</w:t>
      </w:r>
      <w:r>
        <w:rPr>
          <w:rFonts w:hint="eastAsia" w:ascii="仿宋" w:hAnsi="仿宋" w:eastAsia="仿宋" w:cs="仿宋"/>
          <w:b/>
          <w:bCs/>
          <w:color w:val="auto"/>
          <w:sz w:val="30"/>
          <w:szCs w:val="30"/>
        </w:rPr>
        <w:t>控股管理关系</w:t>
      </w:r>
    </w:p>
    <w:p w14:paraId="3520DAD1">
      <w:pPr>
        <w:pStyle w:val="27"/>
        <w:keepNext w:val="0"/>
        <w:keepLines w:val="0"/>
        <w:pageBreakBefore w:val="0"/>
        <w:widowControl/>
        <w:kinsoku/>
        <w:wordWrap/>
        <w:overflowPunct/>
        <w:topLinePunct w:val="0"/>
        <w:autoSpaceDE/>
        <w:autoSpaceDN/>
        <w:bidi w:val="0"/>
        <w:adjustRightInd/>
        <w:snapToGrid/>
        <w:spacing w:afterLines="0"/>
        <w:ind w:firstLine="606" w:firstLineChars="200"/>
        <w:rPr>
          <w:rFonts w:ascii="仿宋" w:hAnsi="仿宋" w:eastAsia="仿宋" w:cs="仿宋"/>
          <w:b/>
          <w:bCs/>
          <w:color w:val="auto"/>
          <w:sz w:val="30"/>
          <w:szCs w:val="30"/>
        </w:rPr>
      </w:pPr>
      <w:bookmarkStart w:id="616" w:name="_Toc13090"/>
      <w:bookmarkEnd w:id="616"/>
      <w:bookmarkStart w:id="617" w:name="_Toc15773"/>
      <w:bookmarkEnd w:id="617"/>
      <w:bookmarkStart w:id="618" w:name="_Toc25983"/>
      <w:bookmarkEnd w:id="618"/>
      <w:bookmarkStart w:id="619" w:name="_Toc12264"/>
      <w:bookmarkEnd w:id="619"/>
      <w:bookmarkStart w:id="620" w:name="_Toc23076"/>
      <w:bookmarkEnd w:id="620"/>
      <w:bookmarkStart w:id="621" w:name="_Toc12007"/>
      <w:bookmarkEnd w:id="621"/>
      <w:r>
        <w:rPr>
          <w:rFonts w:hint="eastAsia" w:ascii="仿宋" w:hAnsi="仿宋" w:eastAsia="仿宋" w:cs="仿宋"/>
          <w:b/>
          <w:bCs/>
          <w:color w:val="auto"/>
          <w:sz w:val="30"/>
          <w:szCs w:val="30"/>
        </w:rPr>
        <w:t>投标人提供直接控股和管理关系清单，格式不限。</w:t>
      </w:r>
    </w:p>
    <w:p w14:paraId="0E5714D5">
      <w:pPr>
        <w:pStyle w:val="27"/>
        <w:keepNext w:val="0"/>
        <w:keepLines w:val="0"/>
        <w:pageBreakBefore w:val="0"/>
        <w:widowControl/>
        <w:kinsoku/>
        <w:wordWrap/>
        <w:overflowPunct/>
        <w:topLinePunct w:val="0"/>
        <w:autoSpaceDE/>
        <w:autoSpaceDN/>
        <w:bidi w:val="0"/>
        <w:adjustRightInd/>
        <w:snapToGrid/>
        <w:spacing w:afterLines="0"/>
        <w:ind w:firstLine="606" w:firstLineChars="200"/>
        <w:jc w:val="center"/>
        <w:rPr>
          <w:rFonts w:ascii="仿宋" w:hAnsi="仿宋" w:eastAsia="仿宋" w:cs="仿宋"/>
          <w:b/>
          <w:bCs/>
          <w:color w:val="auto"/>
          <w:sz w:val="30"/>
          <w:szCs w:val="30"/>
        </w:rPr>
      </w:pPr>
      <w:bookmarkStart w:id="622" w:name="_Toc952"/>
      <w:bookmarkEnd w:id="622"/>
      <w:bookmarkStart w:id="623" w:name="_Toc21260"/>
      <w:bookmarkEnd w:id="623"/>
      <w:bookmarkStart w:id="624" w:name="_Toc15131"/>
      <w:bookmarkEnd w:id="624"/>
      <w:bookmarkStart w:id="625" w:name="_Toc10651"/>
      <w:bookmarkEnd w:id="625"/>
      <w:bookmarkStart w:id="626" w:name="_Toc26760"/>
      <w:bookmarkEnd w:id="626"/>
      <w:bookmarkStart w:id="627" w:name="_Toc22023"/>
      <w:bookmarkEnd w:id="627"/>
      <w:r>
        <w:rPr>
          <w:rFonts w:hint="eastAsia" w:ascii="仿宋" w:hAnsi="仿宋" w:eastAsia="仿宋" w:cs="仿宋"/>
          <w:b/>
          <w:bCs/>
          <w:color w:val="auto"/>
          <w:sz w:val="30"/>
          <w:szCs w:val="30"/>
        </w:rPr>
        <w:t>控股管理关系（样表）</w:t>
      </w:r>
    </w:p>
    <w:p w14:paraId="29161CB9">
      <w:pPr>
        <w:spacing w:line="500" w:lineRule="exact"/>
        <w:rPr>
          <w:rFonts w:ascii="仿宋" w:hAnsi="仿宋" w:eastAsia="仿宋" w:cs="仿宋"/>
          <w:color w:val="auto"/>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rPr>
        <w:t>：</w:t>
      </w:r>
    </w:p>
    <w:p w14:paraId="627C32B6">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我方与以下投标人存在直接控股、管理关系：</w:t>
      </w:r>
    </w:p>
    <w:tbl>
      <w:tblPr>
        <w:tblStyle w:val="2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13226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0657DC45">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2A6839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21B971F">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919" w:type="dxa"/>
            <w:tcBorders>
              <w:right w:val="single" w:color="auto" w:sz="4" w:space="0"/>
            </w:tcBorders>
            <w:noWrap/>
            <w:vAlign w:val="center"/>
          </w:tcPr>
          <w:p w14:paraId="367D923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910" w:type="dxa"/>
            <w:tcBorders>
              <w:left w:val="single" w:color="auto" w:sz="4" w:space="0"/>
              <w:right w:val="single" w:color="auto" w:sz="4" w:space="0"/>
            </w:tcBorders>
            <w:noWrap/>
            <w:vAlign w:val="center"/>
          </w:tcPr>
          <w:p w14:paraId="0A14BDD5">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665" w:type="dxa"/>
            <w:tcBorders>
              <w:left w:val="single" w:color="auto" w:sz="4" w:space="0"/>
              <w:right w:val="single" w:color="auto" w:sz="12" w:space="0"/>
            </w:tcBorders>
            <w:noWrap/>
            <w:vAlign w:val="center"/>
          </w:tcPr>
          <w:p w14:paraId="13C3E6D6">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7BC0AF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C1256E5">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919" w:type="dxa"/>
            <w:tcBorders>
              <w:right w:val="single" w:color="auto" w:sz="4" w:space="0"/>
            </w:tcBorders>
            <w:noWrap/>
            <w:vAlign w:val="center"/>
          </w:tcPr>
          <w:p w14:paraId="4631598D">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43557220">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15EBDD24">
            <w:pPr>
              <w:autoSpaceDE w:val="0"/>
              <w:autoSpaceDN w:val="0"/>
              <w:adjustRightInd w:val="0"/>
              <w:spacing w:line="320" w:lineRule="exact"/>
              <w:rPr>
                <w:rFonts w:ascii="仿宋" w:hAnsi="仿宋" w:eastAsia="仿宋" w:cs="仿宋"/>
                <w:bCs/>
                <w:color w:val="auto"/>
                <w:kern w:val="0"/>
                <w:sz w:val="24"/>
                <w:szCs w:val="24"/>
              </w:rPr>
            </w:pPr>
          </w:p>
        </w:tc>
      </w:tr>
      <w:tr w14:paraId="64B57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276904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919" w:type="dxa"/>
            <w:tcBorders>
              <w:right w:val="single" w:color="auto" w:sz="4" w:space="0"/>
            </w:tcBorders>
            <w:noWrap/>
            <w:vAlign w:val="center"/>
          </w:tcPr>
          <w:p w14:paraId="31029155">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5DF9B3F9">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09493264">
            <w:pPr>
              <w:autoSpaceDE w:val="0"/>
              <w:autoSpaceDN w:val="0"/>
              <w:adjustRightInd w:val="0"/>
              <w:spacing w:line="320" w:lineRule="exact"/>
              <w:rPr>
                <w:rFonts w:ascii="仿宋" w:hAnsi="仿宋" w:eastAsia="仿宋" w:cs="仿宋"/>
                <w:bCs/>
                <w:color w:val="auto"/>
                <w:kern w:val="0"/>
                <w:sz w:val="24"/>
                <w:szCs w:val="24"/>
              </w:rPr>
            </w:pPr>
          </w:p>
        </w:tc>
      </w:tr>
      <w:tr w14:paraId="7882D8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8855E47">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919" w:type="dxa"/>
            <w:tcBorders>
              <w:right w:val="single" w:color="auto" w:sz="4" w:space="0"/>
            </w:tcBorders>
            <w:noWrap/>
            <w:vAlign w:val="center"/>
          </w:tcPr>
          <w:p w14:paraId="56354505">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7CFAE886">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565B6114">
            <w:pPr>
              <w:autoSpaceDE w:val="0"/>
              <w:autoSpaceDN w:val="0"/>
              <w:adjustRightInd w:val="0"/>
              <w:spacing w:line="320" w:lineRule="exact"/>
              <w:rPr>
                <w:rFonts w:ascii="仿宋" w:hAnsi="仿宋" w:eastAsia="仿宋" w:cs="仿宋"/>
                <w:bCs/>
                <w:color w:val="auto"/>
                <w:kern w:val="0"/>
                <w:sz w:val="24"/>
                <w:szCs w:val="24"/>
              </w:rPr>
            </w:pPr>
          </w:p>
        </w:tc>
      </w:tr>
      <w:tr w14:paraId="62509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B301F4F">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auto"/>
                <w:kern w:val="0"/>
                <w:sz w:val="24"/>
              </w:rPr>
              <w:t>……</w:t>
            </w:r>
          </w:p>
        </w:tc>
        <w:tc>
          <w:tcPr>
            <w:tcW w:w="2919" w:type="dxa"/>
            <w:tcBorders>
              <w:right w:val="single" w:color="auto" w:sz="4" w:space="0"/>
            </w:tcBorders>
            <w:noWrap/>
            <w:vAlign w:val="center"/>
          </w:tcPr>
          <w:p w14:paraId="21327001">
            <w:pPr>
              <w:autoSpaceDE w:val="0"/>
              <w:autoSpaceDN w:val="0"/>
              <w:adjustRightInd w:val="0"/>
              <w:spacing w:line="320" w:lineRule="exact"/>
              <w:rPr>
                <w:rFonts w:ascii="仿宋" w:hAnsi="仿宋" w:eastAsia="仿宋" w:cs="仿宋"/>
                <w:bCs/>
                <w:color w:val="auto"/>
                <w:kern w:val="0"/>
                <w:sz w:val="24"/>
                <w:szCs w:val="24"/>
              </w:rPr>
            </w:pPr>
          </w:p>
        </w:tc>
        <w:tc>
          <w:tcPr>
            <w:tcW w:w="2910" w:type="dxa"/>
            <w:tcBorders>
              <w:left w:val="single" w:color="auto" w:sz="4" w:space="0"/>
              <w:right w:val="single" w:color="auto" w:sz="4" w:space="0"/>
            </w:tcBorders>
            <w:noWrap/>
            <w:vAlign w:val="center"/>
          </w:tcPr>
          <w:p w14:paraId="176DED67">
            <w:pPr>
              <w:autoSpaceDE w:val="0"/>
              <w:autoSpaceDN w:val="0"/>
              <w:adjustRightInd w:val="0"/>
              <w:spacing w:line="320" w:lineRule="exact"/>
              <w:rPr>
                <w:rFonts w:ascii="仿宋" w:hAnsi="仿宋" w:eastAsia="仿宋" w:cs="仿宋"/>
                <w:bCs/>
                <w:color w:val="auto"/>
                <w:kern w:val="0"/>
                <w:sz w:val="24"/>
                <w:szCs w:val="24"/>
              </w:rPr>
            </w:pPr>
          </w:p>
        </w:tc>
        <w:tc>
          <w:tcPr>
            <w:tcW w:w="1665" w:type="dxa"/>
            <w:tcBorders>
              <w:left w:val="single" w:color="auto" w:sz="4" w:space="0"/>
              <w:right w:val="single" w:color="auto" w:sz="12" w:space="0"/>
            </w:tcBorders>
            <w:noWrap/>
            <w:vAlign w:val="center"/>
          </w:tcPr>
          <w:p w14:paraId="610289F2">
            <w:pPr>
              <w:autoSpaceDE w:val="0"/>
              <w:autoSpaceDN w:val="0"/>
              <w:adjustRightInd w:val="0"/>
              <w:spacing w:line="320" w:lineRule="exact"/>
              <w:rPr>
                <w:rFonts w:ascii="仿宋" w:hAnsi="仿宋" w:eastAsia="仿宋" w:cs="仿宋"/>
                <w:bCs/>
                <w:color w:val="auto"/>
                <w:kern w:val="0"/>
                <w:sz w:val="24"/>
                <w:szCs w:val="24"/>
              </w:rPr>
            </w:pPr>
          </w:p>
        </w:tc>
      </w:tr>
    </w:tbl>
    <w:p w14:paraId="50A73677">
      <w:pPr>
        <w:spacing w:line="500" w:lineRule="exact"/>
        <w:ind w:firstLine="4528" w:firstLineChars="1600"/>
        <w:rPr>
          <w:rFonts w:ascii="仿宋" w:hAnsi="仿宋" w:eastAsia="仿宋" w:cs="仿宋"/>
          <w:color w:val="auto"/>
        </w:rPr>
      </w:pPr>
    </w:p>
    <w:p w14:paraId="5D15D95D">
      <w:pPr>
        <w:spacing w:line="500" w:lineRule="exact"/>
        <w:ind w:firstLine="4528" w:firstLineChars="1600"/>
        <w:rPr>
          <w:rFonts w:ascii="仿宋" w:hAnsi="仿宋" w:eastAsia="仿宋" w:cs="仿宋"/>
          <w:color w:val="auto"/>
        </w:rPr>
      </w:pPr>
      <w:r>
        <w:rPr>
          <w:rFonts w:hint="eastAsia" w:ascii="仿宋" w:hAnsi="仿宋" w:eastAsia="仿宋" w:cs="仿宋"/>
          <w:color w:val="auto"/>
        </w:rPr>
        <w:t xml:space="preserve">投标人： </w:t>
      </w:r>
      <w:r>
        <w:rPr>
          <w:rFonts w:hint="eastAsia" w:ascii="仿宋" w:hAnsi="仿宋" w:eastAsia="仿宋" w:cs="仿宋"/>
          <w:color w:val="auto"/>
          <w:u w:val="single"/>
        </w:rPr>
        <w:t>名称</w:t>
      </w:r>
      <w:r>
        <w:rPr>
          <w:rFonts w:hint="eastAsia" w:ascii="仿宋" w:hAnsi="仿宋" w:eastAsia="仿宋" w:cs="仿宋"/>
          <w:color w:val="auto"/>
        </w:rPr>
        <w:t>（加盖公章）</w:t>
      </w:r>
    </w:p>
    <w:p w14:paraId="75EB0181">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128B09B5">
      <w:pPr>
        <w:pStyle w:val="7"/>
        <w:rPr>
          <w:rFonts w:ascii="仿宋" w:hAnsi="仿宋" w:eastAsia="仿宋" w:cs="仿宋"/>
          <w:color w:val="auto"/>
        </w:rPr>
      </w:pPr>
    </w:p>
    <w:p w14:paraId="5D04DAEE">
      <w:pPr>
        <w:pStyle w:val="27"/>
        <w:wordWrap w:val="0"/>
        <w:spacing w:after="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2D0F8ACC">
      <w:pPr>
        <w:pStyle w:val="27"/>
        <w:numPr>
          <w:ilvl w:val="-1"/>
          <w:numId w:val="0"/>
        </w:numPr>
        <w:wordWrap w:val="0"/>
        <w:spacing w:after="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7F0514E">
      <w:pPr>
        <w:pStyle w:val="27"/>
        <w:numPr>
          <w:ilvl w:val="-1"/>
          <w:numId w:val="0"/>
        </w:numPr>
        <w:wordWrap w:val="0"/>
        <w:spacing w:after="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3C0BA531">
      <w:pPr>
        <w:pStyle w:val="27"/>
        <w:wordWrap w:val="0"/>
        <w:spacing w:after="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E9DB230">
      <w:pPr>
        <w:pStyle w:val="27"/>
        <w:wordWrap w:val="0"/>
        <w:spacing w:after="0" w:line="400" w:lineRule="exact"/>
        <w:ind w:firstLine="426" w:firstLineChars="200"/>
        <w:rPr>
          <w:rFonts w:ascii="仿宋" w:hAnsi="仿宋" w:eastAsia="仿宋" w:cs="仿宋"/>
          <w:color w:val="auto"/>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72FBABC9">
      <w:pPr>
        <w:spacing w:line="500" w:lineRule="exact"/>
        <w:ind w:firstLine="606" w:firstLineChars="200"/>
        <w:outlineLvl w:val="2"/>
        <w:rPr>
          <w:rFonts w:ascii="仿宋" w:hAnsi="仿宋" w:eastAsia="仿宋" w:cs="仿宋"/>
          <w:b/>
          <w:bCs/>
          <w:color w:val="auto"/>
          <w:sz w:val="30"/>
          <w:szCs w:val="30"/>
        </w:rPr>
      </w:pPr>
      <w:bookmarkStart w:id="628" w:name="_Toc18882"/>
      <w:bookmarkEnd w:id="628"/>
      <w:bookmarkStart w:id="629" w:name="_Toc13961"/>
      <w:bookmarkEnd w:id="629"/>
      <w:bookmarkStart w:id="630" w:name="_Toc10330"/>
      <w:bookmarkEnd w:id="630"/>
      <w:bookmarkStart w:id="631" w:name="_Toc21910"/>
      <w:bookmarkEnd w:id="631"/>
      <w:bookmarkStart w:id="632" w:name="_Toc24547"/>
      <w:bookmarkEnd w:id="632"/>
      <w:r>
        <w:rPr>
          <w:rFonts w:hint="eastAsia" w:ascii="仿宋" w:hAnsi="仿宋" w:eastAsia="仿宋" w:cs="仿宋"/>
          <w:b/>
          <w:bCs/>
          <w:color w:val="auto"/>
          <w:sz w:val="30"/>
          <w:szCs w:val="30"/>
          <w:lang w:val="en-US" w:eastAsia="zh-CN"/>
        </w:rPr>
        <w:t>五</w:t>
      </w:r>
      <w:r>
        <w:rPr>
          <w:rFonts w:hint="eastAsia" w:ascii="仿宋" w:hAnsi="仿宋" w:eastAsia="仿宋" w:cs="仿宋"/>
          <w:b/>
          <w:bCs/>
          <w:color w:val="auto"/>
          <w:sz w:val="30"/>
          <w:szCs w:val="30"/>
        </w:rPr>
        <w:t>、书面声明</w:t>
      </w:r>
    </w:p>
    <w:p w14:paraId="461CE538">
      <w:pPr>
        <w:spacing w:line="500" w:lineRule="exact"/>
        <w:jc w:val="center"/>
        <w:rPr>
          <w:rFonts w:ascii="仿宋" w:hAnsi="仿宋" w:eastAsia="仿宋" w:cs="仿宋"/>
          <w:b/>
          <w:bCs/>
          <w:color w:val="auto"/>
          <w:sz w:val="30"/>
          <w:szCs w:val="30"/>
        </w:rPr>
      </w:pPr>
      <w:r>
        <w:rPr>
          <w:rFonts w:hint="eastAsia" w:ascii="仿宋" w:hAnsi="仿宋" w:eastAsia="仿宋" w:cs="仿宋"/>
          <w:b/>
          <w:bCs/>
          <w:color w:val="auto"/>
          <w:sz w:val="30"/>
          <w:szCs w:val="30"/>
        </w:rPr>
        <w:t>书面声明（格式）</w:t>
      </w:r>
    </w:p>
    <w:p w14:paraId="1201DC95">
      <w:pPr>
        <w:spacing w:line="500" w:lineRule="exact"/>
        <w:rPr>
          <w:rFonts w:ascii="仿宋" w:hAnsi="仿宋" w:eastAsia="仿宋" w:cs="仿宋"/>
          <w:color w:val="auto"/>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rPr>
        <w:t>：</w:t>
      </w:r>
    </w:p>
    <w:p w14:paraId="57EF32F0">
      <w:pPr>
        <w:spacing w:line="500" w:lineRule="exact"/>
        <w:ind w:firstLine="566" w:firstLineChars="200"/>
        <w:rPr>
          <w:rFonts w:ascii="仿宋" w:hAnsi="仿宋" w:eastAsia="仿宋" w:cs="仿宋"/>
          <w:color w:val="auto"/>
        </w:rPr>
      </w:pPr>
      <w:r>
        <w:rPr>
          <w:rFonts w:hint="eastAsia" w:ascii="仿宋" w:hAnsi="仿宋" w:eastAsia="仿宋" w:cs="仿宋"/>
          <w:color w:val="auto"/>
        </w:rPr>
        <w:t>我方作为</w:t>
      </w:r>
      <w:r>
        <w:rPr>
          <w:rFonts w:hint="eastAsia" w:ascii="仿宋" w:hAnsi="仿宋" w:eastAsia="仿宋" w:cs="仿宋"/>
          <w:color w:val="auto"/>
          <w:u w:val="single"/>
        </w:rPr>
        <w:t>项目名称</w:t>
      </w:r>
      <w:r>
        <w:rPr>
          <w:rFonts w:hint="eastAsia" w:ascii="仿宋" w:hAnsi="仿宋" w:eastAsia="仿宋" w:cs="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u w:val="single"/>
          <w:lang w:val="en-US" w:eastAsia="zh-CN"/>
        </w:rPr>
        <w:t xml:space="preserve">    </w:t>
      </w:r>
      <w:r>
        <w:rPr>
          <w:rFonts w:hint="eastAsia" w:ascii="华文仿宋" w:hAnsi="华文仿宋" w:cs="华文仿宋"/>
          <w:color w:val="auto"/>
          <w:u w:val="single"/>
        </w:rPr>
        <w:t xml:space="preserve"> </w:t>
      </w:r>
      <w:r>
        <w:rPr>
          <w:rFonts w:hint="eastAsia" w:ascii="仿宋" w:hAnsi="仿宋" w:eastAsia="仿宋" w:cs="仿宋"/>
          <w:color w:val="auto"/>
        </w:rPr>
        <w:t>）第</w:t>
      </w:r>
      <w:r>
        <w:rPr>
          <w:rFonts w:hint="eastAsia" w:ascii="仿宋" w:hAnsi="仿宋" w:eastAsia="仿宋" w:cs="仿宋"/>
          <w:color w:val="auto"/>
          <w:u w:val="single"/>
        </w:rPr>
        <w:t xml:space="preserve">   </w:t>
      </w:r>
      <w:r>
        <w:rPr>
          <w:rFonts w:hint="eastAsia" w:ascii="仿宋" w:hAnsi="仿宋" w:eastAsia="仿宋" w:cs="仿宋"/>
          <w:color w:val="auto"/>
        </w:rPr>
        <w:t>标段的投标人，在此郑重声明：</w:t>
      </w:r>
    </w:p>
    <w:p w14:paraId="7D7C566E">
      <w:pPr>
        <w:numPr>
          <w:ilvl w:val="0"/>
          <w:numId w:val="0"/>
        </w:numPr>
        <w:spacing w:line="500" w:lineRule="exact"/>
        <w:ind w:firstLine="566" w:firstLineChars="200"/>
        <w:rPr>
          <w:rFonts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我方具备履行合同所必须的设备和专业技术能力。</w:t>
      </w:r>
    </w:p>
    <w:p w14:paraId="3BB1E0A4">
      <w:pPr>
        <w:spacing w:line="500" w:lineRule="exact"/>
        <w:ind w:firstLine="566" w:firstLineChars="200"/>
        <w:rPr>
          <w:rFonts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ascii="仿宋" w:hAnsi="仿宋" w:eastAsia="仿宋" w:cs="仿宋"/>
          <w:color w:val="auto"/>
        </w:rPr>
        <w:t>我方未为本项目提供整体设计、规范编制或者项目管理、监理、检测等服务。</w:t>
      </w:r>
    </w:p>
    <w:p w14:paraId="1A2DA719">
      <w:pPr>
        <w:spacing w:line="500" w:lineRule="exact"/>
        <w:ind w:firstLine="566" w:firstLineChars="200"/>
        <w:rPr>
          <w:rFonts w:ascii="仿宋" w:hAnsi="仿宋" w:eastAsia="仿宋" w:cs="仿宋"/>
          <w:color w:val="auto"/>
        </w:rPr>
      </w:pPr>
      <w:r>
        <w:rPr>
          <w:rFonts w:hint="eastAsia" w:ascii="仿宋" w:hAnsi="仿宋" w:eastAsia="仿宋" w:cs="仿宋"/>
          <w:color w:val="auto"/>
        </w:rPr>
        <w:t>如有不实，我方将无条件地退出本项目的采购活动，并遵照《政府采购法》有关“提供虚假材料的规定”接受处罚。</w:t>
      </w:r>
    </w:p>
    <w:p w14:paraId="05D88550">
      <w:pPr>
        <w:spacing w:line="500" w:lineRule="exact"/>
        <w:rPr>
          <w:rFonts w:ascii="仿宋" w:hAnsi="仿宋" w:eastAsia="仿宋" w:cs="仿宋"/>
          <w:color w:val="auto"/>
        </w:rPr>
      </w:pPr>
      <w:r>
        <w:rPr>
          <w:rFonts w:hint="eastAsia" w:ascii="仿宋" w:hAnsi="仿宋" w:eastAsia="仿宋" w:cs="仿宋"/>
          <w:color w:val="auto"/>
        </w:rPr>
        <w:t>特此声明。</w:t>
      </w:r>
    </w:p>
    <w:p w14:paraId="0A9904DB">
      <w:pPr>
        <w:spacing w:line="500" w:lineRule="exact"/>
        <w:ind w:firstLine="4528" w:firstLineChars="1600"/>
        <w:rPr>
          <w:rFonts w:ascii="仿宋" w:hAnsi="仿宋" w:eastAsia="仿宋" w:cs="仿宋"/>
          <w:color w:val="auto"/>
        </w:rPr>
      </w:pPr>
      <w:r>
        <w:rPr>
          <w:rFonts w:hint="eastAsia" w:ascii="仿宋" w:hAnsi="仿宋" w:eastAsia="仿宋" w:cs="仿宋"/>
          <w:color w:val="auto"/>
        </w:rPr>
        <w:t xml:space="preserve">投标人： </w:t>
      </w:r>
      <w:r>
        <w:rPr>
          <w:rFonts w:hint="eastAsia" w:ascii="仿宋" w:hAnsi="仿宋" w:eastAsia="仿宋" w:cs="仿宋"/>
          <w:color w:val="auto"/>
          <w:u w:val="single"/>
        </w:rPr>
        <w:t>名称</w:t>
      </w:r>
      <w:r>
        <w:rPr>
          <w:rFonts w:hint="eastAsia" w:ascii="仿宋" w:hAnsi="仿宋" w:eastAsia="仿宋" w:cs="仿宋"/>
          <w:color w:val="auto"/>
        </w:rPr>
        <w:t>（加盖公章）</w:t>
      </w:r>
    </w:p>
    <w:p w14:paraId="54D02DAC">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0665C9AE">
      <w:pPr>
        <w:pStyle w:val="7"/>
        <w:rPr>
          <w:rFonts w:ascii="仿宋" w:hAnsi="仿宋" w:eastAsia="仿宋" w:cs="仿宋"/>
          <w:color w:val="auto"/>
        </w:rPr>
      </w:pPr>
    </w:p>
    <w:p w14:paraId="0514A7DE">
      <w:pPr>
        <w:pStyle w:val="7"/>
        <w:rPr>
          <w:rFonts w:ascii="仿宋" w:hAnsi="仿宋" w:eastAsia="仿宋" w:cs="仿宋"/>
          <w:color w:val="auto"/>
        </w:rPr>
      </w:pPr>
    </w:p>
    <w:p w14:paraId="6D1F7D54">
      <w:pPr>
        <w:spacing w:line="500" w:lineRule="exact"/>
        <w:rPr>
          <w:rFonts w:ascii="仿宋" w:hAnsi="仿宋" w:eastAsia="宋体" w:cs="仿宋"/>
          <w:b/>
          <w:bCs/>
          <w:color w:val="auto"/>
          <w:sz w:val="30"/>
          <w:szCs w:val="30"/>
        </w:rPr>
      </w:pPr>
      <w:r>
        <w:rPr>
          <w:rFonts w:hint="eastAsia" w:ascii="宋体" w:hAnsi="宋体" w:eastAsia="宋体" w:cs="宋体"/>
          <w:color w:val="auto"/>
          <w:sz w:val="21"/>
          <w:szCs w:val="21"/>
        </w:rPr>
        <w:t xml:space="preserve">备注：项目不分标段的，第标段空白处填写“/”。 </w:t>
      </w:r>
    </w:p>
    <w:p w14:paraId="5FB3585B">
      <w:pPr>
        <w:pStyle w:val="63"/>
        <w:rPr>
          <w:rFonts w:hint="default" w:eastAsia="华文仿宋" w:cs="Times New Roman"/>
          <w:color w:val="auto"/>
          <w:lang w:val="en-US" w:eastAsia="zh-CN"/>
        </w:rPr>
      </w:pPr>
      <w:bookmarkStart w:id="633" w:name="_Toc8498"/>
      <w:bookmarkEnd w:id="633"/>
      <w:bookmarkStart w:id="634" w:name="_Toc27365"/>
      <w:bookmarkEnd w:id="634"/>
      <w:bookmarkStart w:id="635" w:name="_Toc23161"/>
      <w:bookmarkEnd w:id="635"/>
      <w:bookmarkStart w:id="636" w:name="_Toc21964"/>
      <w:bookmarkEnd w:id="636"/>
      <w:bookmarkStart w:id="637" w:name="_Toc14500"/>
      <w:bookmarkEnd w:id="637"/>
      <w:bookmarkStart w:id="638" w:name="_Toc30400"/>
      <w:bookmarkEnd w:id="638"/>
      <w:bookmarkStart w:id="639" w:name="_Toc8642"/>
      <w:bookmarkEnd w:id="639"/>
      <w:bookmarkStart w:id="640" w:name="_Toc19370"/>
      <w:bookmarkEnd w:id="640"/>
      <w:bookmarkStart w:id="641" w:name="_Toc30190"/>
      <w:bookmarkEnd w:id="641"/>
      <w:bookmarkStart w:id="642" w:name="_Toc16233"/>
      <w:bookmarkEnd w:id="642"/>
      <w:bookmarkStart w:id="643" w:name="_Toc4405"/>
      <w:bookmarkEnd w:id="643"/>
      <w:bookmarkStart w:id="644" w:name="_Toc23152"/>
      <w:bookmarkEnd w:id="644"/>
      <w:bookmarkStart w:id="645" w:name="_Toc22384"/>
      <w:bookmarkEnd w:id="645"/>
      <w:r>
        <w:rPr>
          <w:rFonts w:hint="eastAsia" w:ascii="仿宋" w:hAnsi="仿宋" w:eastAsia="仿宋" w:cs="仿宋"/>
          <w:color w:val="auto"/>
        </w:rPr>
        <w:br w:type="page"/>
      </w:r>
      <w:r>
        <w:rPr>
          <w:rFonts w:hint="eastAsia" w:ascii="仿宋" w:hAnsi="仿宋" w:eastAsia="仿宋" w:cs="仿宋"/>
          <w:color w:val="auto"/>
          <w:lang w:val="en-US" w:eastAsia="zh-CN"/>
        </w:rPr>
        <w:t xml:space="preserve">  六、</w:t>
      </w:r>
      <w:r>
        <w:rPr>
          <w:rFonts w:hint="eastAsia" w:cs="华文仿宋"/>
          <w:color w:val="auto"/>
          <w:sz w:val="30"/>
          <w:szCs w:val="30"/>
        </w:rPr>
        <w:t>法定代表人授权委托书</w:t>
      </w:r>
      <w:r>
        <w:rPr>
          <w:rFonts w:hint="eastAsia" w:cs="华文仿宋"/>
          <w:color w:val="auto"/>
          <w:sz w:val="30"/>
          <w:szCs w:val="30"/>
          <w:lang w:val="en-US" w:eastAsia="zh-CN"/>
        </w:rPr>
        <w:t>和法定代表人证明书</w:t>
      </w:r>
    </w:p>
    <w:p w14:paraId="5A5F6F91">
      <w:pPr>
        <w:pStyle w:val="63"/>
        <w:keepNext/>
        <w:keepLines/>
        <w:pageBreakBefore w:val="0"/>
        <w:widowControl/>
        <w:kinsoku/>
        <w:wordWrap/>
        <w:overflowPunct/>
        <w:topLinePunct w:val="0"/>
        <w:autoSpaceDE/>
        <w:autoSpaceDN/>
        <w:bidi w:val="0"/>
        <w:adjustRightInd/>
        <w:snapToGrid/>
        <w:spacing w:line="500" w:lineRule="atLeast"/>
        <w:jc w:val="center"/>
        <w:outlineLvl w:val="9"/>
        <w:rPr>
          <w:rFonts w:cs="Times New Roman"/>
          <w:color w:val="auto"/>
          <w:sz w:val="30"/>
          <w:szCs w:val="30"/>
        </w:rPr>
      </w:pPr>
      <w:bookmarkStart w:id="646" w:name="_Toc22011"/>
      <w:bookmarkEnd w:id="646"/>
      <w:bookmarkStart w:id="647" w:name="_Toc5073"/>
      <w:bookmarkEnd w:id="647"/>
      <w:bookmarkStart w:id="648" w:name="_Toc23520"/>
      <w:bookmarkEnd w:id="648"/>
      <w:bookmarkStart w:id="649" w:name="_Toc22164"/>
      <w:bookmarkEnd w:id="649"/>
      <w:r>
        <w:rPr>
          <w:rFonts w:hint="eastAsia" w:cs="华文仿宋"/>
          <w:color w:val="auto"/>
          <w:sz w:val="30"/>
          <w:szCs w:val="30"/>
        </w:rPr>
        <w:t>法定代表人授权委托书</w:t>
      </w:r>
      <w:r>
        <w:rPr>
          <w:rFonts w:hint="eastAsia" w:ascii="仿宋" w:hAnsi="仿宋" w:eastAsia="仿宋" w:cs="仿宋"/>
          <w:color w:val="auto"/>
          <w:sz w:val="30"/>
          <w:szCs w:val="30"/>
        </w:rPr>
        <w:t>（格式）</w:t>
      </w:r>
    </w:p>
    <w:p w14:paraId="47C5DA34">
      <w:pPr>
        <w:snapToGrid w:val="0"/>
        <w:spacing w:line="500" w:lineRule="exact"/>
        <w:rPr>
          <w:rFonts w:ascii="华文仿宋" w:hAnsi="华文仿宋" w:cs="华文仿宋"/>
          <w:color w:val="auto"/>
        </w:rPr>
      </w:pP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rPr>
        <w:t>：</w:t>
      </w:r>
    </w:p>
    <w:p w14:paraId="472BBC5C">
      <w:pPr>
        <w:spacing w:line="460" w:lineRule="exact"/>
        <w:ind w:firstLine="566" w:firstLineChars="200"/>
        <w:rPr>
          <w:rFonts w:cs="Times New Roman"/>
          <w:color w:val="auto"/>
        </w:rPr>
      </w:pPr>
      <w:r>
        <w:rPr>
          <w:rFonts w:hint="eastAsia" w:cs="华文仿宋"/>
          <w:color w:val="auto"/>
        </w:rPr>
        <w:t>现委派（</w:t>
      </w:r>
      <w:r>
        <w:rPr>
          <w:rFonts w:hint="eastAsia" w:ascii="华文仿宋" w:hAnsi="华文仿宋" w:cs="华文仿宋"/>
          <w:color w:val="auto"/>
          <w:u w:val="single"/>
        </w:rPr>
        <w:t>被授权代表姓名</w:t>
      </w:r>
      <w:r>
        <w:rPr>
          <w:rFonts w:hint="eastAsia" w:cs="华文仿宋"/>
          <w:color w:val="auto"/>
        </w:rPr>
        <w:t>）（身份证号：</w:t>
      </w:r>
      <w:r>
        <w:rPr>
          <w:rFonts w:hint="eastAsia" w:cs="华文仿宋"/>
          <w:color w:val="auto"/>
          <w:u w:val="single"/>
        </w:rPr>
        <w:t xml:space="preserve">    </w:t>
      </w:r>
      <w:r>
        <w:rPr>
          <w:rFonts w:hint="eastAsia" w:cs="华文仿宋"/>
          <w:color w:val="auto"/>
        </w:rPr>
        <w:t>）为本公司的被授权代表，参加贵中心组织的《</w:t>
      </w:r>
      <w:r>
        <w:rPr>
          <w:rFonts w:hint="eastAsia" w:ascii="华文仿宋" w:hAnsi="华文仿宋" w:cs="华文仿宋"/>
          <w:color w:val="auto"/>
          <w:u w:val="single"/>
        </w:rPr>
        <w:t>项目名称</w:t>
      </w:r>
      <w:r>
        <w:rPr>
          <w:rFonts w:hint="eastAsia" w:cs="华文仿宋"/>
          <w:color w:val="auto"/>
        </w:rPr>
        <w:t>》</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政府采购活动，就该项目的投标及合同的执行和完成，以本公司的名义处理一切与之有关的事宜。本授权自开标之日起生效，有效期与投标文件有效期一致。</w:t>
      </w:r>
    </w:p>
    <w:p w14:paraId="1A8E7A67">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rPr>
          <w:rFonts w:ascii="华文仿宋" w:cs="Times New Roman"/>
          <w:color w:val="auto"/>
        </w:rPr>
      </w:pPr>
      <w:r>
        <w:rPr>
          <w:rFonts w:hint="eastAsia" w:ascii="华文仿宋" w:hAnsi="华文仿宋" w:cs="华文仿宋"/>
          <w:color w:val="auto"/>
        </w:rPr>
        <w:t>被授权代表职务：</w:t>
      </w:r>
      <w:r>
        <w:rPr>
          <w:rFonts w:ascii="华文仿宋" w:hAnsi="华文仿宋" w:cs="华文仿宋"/>
          <w:color w:val="auto"/>
        </w:rPr>
        <w:t xml:space="preserve">________________   </w:t>
      </w:r>
      <w:r>
        <w:rPr>
          <w:rFonts w:hint="eastAsia" w:ascii="华文仿宋" w:hAnsi="华文仿宋" w:cs="华文仿宋"/>
          <w:color w:val="auto"/>
        </w:rPr>
        <w:t>性别：</w:t>
      </w:r>
      <w:r>
        <w:rPr>
          <w:rFonts w:ascii="华文仿宋" w:hAnsi="华文仿宋" w:cs="华文仿宋"/>
          <w:color w:val="auto"/>
        </w:rPr>
        <w:t>______</w:t>
      </w:r>
    </w:p>
    <w:p w14:paraId="2D7A20B0">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566" w:firstLineChars="200"/>
        <w:rPr>
          <w:rFonts w:ascii="华文仿宋" w:cs="Times New Roman"/>
          <w:strike/>
          <w:color w:val="auto"/>
        </w:rPr>
      </w:pPr>
      <w:r>
        <w:rPr>
          <w:rFonts w:hint="eastAsia" w:ascii="华文仿宋" w:hAnsi="华文仿宋" w:cs="华文仿宋"/>
          <w:color w:val="auto"/>
        </w:rPr>
        <w:t>电话：</w:t>
      </w:r>
      <w:r>
        <w:rPr>
          <w:rFonts w:ascii="华文仿宋" w:hAnsi="华文仿宋" w:cs="华文仿宋"/>
          <w:color w:val="auto"/>
        </w:rPr>
        <w:t>________________</w:t>
      </w:r>
      <w:r>
        <w:rPr>
          <w:rFonts w:hint="eastAsia" w:ascii="华文仿宋" w:hAnsi="华文仿宋" w:cs="华文仿宋"/>
          <w:color w:val="auto"/>
        </w:rPr>
        <w:t xml:space="preserve">             通讯地址：</w:t>
      </w:r>
      <w:r>
        <w:rPr>
          <w:rFonts w:ascii="华文仿宋" w:hAnsi="华文仿宋" w:cs="华文仿宋"/>
          <w:color w:val="auto"/>
        </w:rPr>
        <w:t>__________</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2C4E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noWrap/>
            <w:vAlign w:val="center"/>
          </w:tcPr>
          <w:p w14:paraId="1D325D19">
            <w:pPr>
              <w:keepNext w:val="0"/>
              <w:keepLines w:val="0"/>
              <w:pageBreakBefore w:val="0"/>
              <w:widowControl/>
              <w:kinsoku/>
              <w:wordWrap/>
              <w:overflowPunct/>
              <w:topLinePunct w:val="0"/>
              <w:autoSpaceDE/>
              <w:autoSpaceDN/>
              <w:bidi w:val="0"/>
              <w:adjustRightInd/>
              <w:snapToGrid/>
              <w:ind w:firstLine="8" w:firstLineChars="3"/>
              <w:jc w:val="center"/>
              <w:rPr>
                <w:rFonts w:cs="Times New Roman"/>
                <w:color w:val="auto"/>
              </w:rPr>
            </w:pPr>
            <w:r>
              <w:rPr>
                <w:rFonts w:hint="eastAsia" w:cs="华文仿宋"/>
                <w:color w:val="auto"/>
              </w:rPr>
              <w:t>法定代表人身份证扫描件</w:t>
            </w:r>
          </w:p>
          <w:p w14:paraId="4D43A1BB">
            <w:pPr>
              <w:keepNext w:val="0"/>
              <w:keepLines w:val="0"/>
              <w:pageBreakBefore w:val="0"/>
              <w:widowControl/>
              <w:kinsoku/>
              <w:wordWrap/>
              <w:overflowPunct/>
              <w:topLinePunct w:val="0"/>
              <w:autoSpaceDE/>
              <w:autoSpaceDN/>
              <w:bidi w:val="0"/>
              <w:adjustRightInd/>
              <w:snapToGrid/>
              <w:ind w:firstLine="8" w:firstLineChars="3"/>
              <w:jc w:val="center"/>
              <w:rPr>
                <w:rFonts w:cs="Times New Roman"/>
                <w:color w:val="auto"/>
              </w:rPr>
            </w:pPr>
            <w:r>
              <w:rPr>
                <w:rFonts w:hint="eastAsia" w:cs="华文仿宋"/>
                <w:color w:val="auto"/>
              </w:rPr>
              <w:t>（有人像面）</w:t>
            </w:r>
          </w:p>
        </w:tc>
        <w:tc>
          <w:tcPr>
            <w:tcW w:w="4098" w:type="dxa"/>
            <w:noWrap/>
            <w:vAlign w:val="center"/>
          </w:tcPr>
          <w:p w14:paraId="5A467448">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被授权代表</w:t>
            </w:r>
          </w:p>
          <w:p w14:paraId="201F10E1">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身份证扫描件</w:t>
            </w:r>
          </w:p>
          <w:p w14:paraId="4430037E">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（有人像面）</w:t>
            </w:r>
          </w:p>
        </w:tc>
      </w:tr>
      <w:tr w14:paraId="19D1E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ign w:val="center"/>
          </w:tcPr>
          <w:p w14:paraId="4E67C989">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法定代表人身份证扫描件</w:t>
            </w:r>
          </w:p>
          <w:p w14:paraId="6B5BD84E">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（有国徽面）</w:t>
            </w:r>
          </w:p>
        </w:tc>
        <w:tc>
          <w:tcPr>
            <w:tcW w:w="4098" w:type="dxa"/>
            <w:noWrap/>
            <w:vAlign w:val="center"/>
          </w:tcPr>
          <w:p w14:paraId="53FDB2EA">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被授权代表</w:t>
            </w:r>
          </w:p>
          <w:p w14:paraId="5242A66D">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身份证扫描件</w:t>
            </w:r>
          </w:p>
          <w:p w14:paraId="0A0B2F6D">
            <w:pPr>
              <w:keepNext w:val="0"/>
              <w:keepLines w:val="0"/>
              <w:pageBreakBefore w:val="0"/>
              <w:widowControl/>
              <w:kinsoku/>
              <w:wordWrap/>
              <w:overflowPunct/>
              <w:topLinePunct w:val="0"/>
              <w:autoSpaceDE/>
              <w:autoSpaceDN/>
              <w:bidi w:val="0"/>
              <w:adjustRightInd/>
              <w:snapToGrid/>
              <w:jc w:val="center"/>
              <w:rPr>
                <w:rFonts w:cs="Times New Roman"/>
                <w:color w:val="auto"/>
              </w:rPr>
            </w:pPr>
            <w:r>
              <w:rPr>
                <w:rFonts w:hint="eastAsia" w:cs="华文仿宋"/>
                <w:color w:val="auto"/>
              </w:rPr>
              <w:t>（有国徽面）</w:t>
            </w:r>
          </w:p>
        </w:tc>
      </w:tr>
    </w:tbl>
    <w:p w14:paraId="71E09C86">
      <w:pPr>
        <w:tabs>
          <w:tab w:val="right" w:pos="8931"/>
        </w:tabs>
        <w:ind w:firstLine="566" w:firstLineChars="2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（加盖公章）法定代表人：（</w:t>
      </w:r>
      <w:r>
        <w:rPr>
          <w:rFonts w:hint="eastAsia" w:ascii="仿宋" w:hAnsi="仿宋" w:eastAsia="仿宋" w:cs="仿宋"/>
          <w:color w:val="auto"/>
        </w:rPr>
        <w:t>签字或</w:t>
      </w:r>
      <w:r>
        <w:rPr>
          <w:rFonts w:hint="eastAsia" w:cs="华文仿宋"/>
          <w:color w:val="auto"/>
        </w:rPr>
        <w:t>盖章）</w:t>
      </w:r>
    </w:p>
    <w:p w14:paraId="3C4AB3A7">
      <w:pPr>
        <w:spacing w:line="440" w:lineRule="exact"/>
        <w:ind w:firstLine="5789" w:firstLineChars="2046"/>
        <w:rPr>
          <w:rFonts w:cs="Times New Roman"/>
          <w:color w:val="auto"/>
        </w:rPr>
      </w:pPr>
      <w:r>
        <w:rPr>
          <w:rFonts w:hint="eastAsia" w:cs="华文仿宋"/>
          <w:color w:val="auto"/>
        </w:rPr>
        <w:t>日期：　年　月　日</w:t>
      </w:r>
    </w:p>
    <w:p w14:paraId="16DCAD65">
      <w:pPr>
        <w:keepNext w:val="0"/>
        <w:keepLines w:val="0"/>
        <w:pageBreakBefore w:val="0"/>
        <w:widowControl/>
        <w:kinsoku/>
        <w:wordWrap/>
        <w:overflowPunct/>
        <w:topLinePunct w:val="0"/>
        <w:autoSpaceDE/>
        <w:autoSpaceDN/>
        <w:bidi w:val="0"/>
        <w:adjustRightInd/>
        <w:snapToGrid/>
        <w:spacing w:line="360" w:lineRule="exact"/>
        <w:rPr>
          <w:rFonts w:ascii="宋体" w:hAnsi="宋体" w:eastAsia="宋体" w:cs="Times New Roman"/>
          <w:color w:val="auto"/>
          <w:sz w:val="21"/>
          <w:szCs w:val="21"/>
        </w:rPr>
      </w:pPr>
      <w:r>
        <w:rPr>
          <w:rFonts w:hint="eastAsia" w:ascii="宋体" w:hAnsi="宋体" w:eastAsia="宋体" w:cs="宋体"/>
          <w:color w:val="auto"/>
          <w:sz w:val="21"/>
          <w:szCs w:val="21"/>
        </w:rPr>
        <w:t>备注：</w:t>
      </w:r>
      <w:r>
        <w:rPr>
          <w:rFonts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463335FA">
      <w:pPr>
        <w:pStyle w:val="27"/>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r>
        <w:rPr>
          <w:rFonts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法定代表人亲自参加投标的，无需提供该委托授权书，但须提供法定代表人本人身份证（正反面）</w:t>
      </w:r>
      <w:r>
        <w:rPr>
          <w:rFonts w:hint="eastAsia" w:ascii="宋体" w:hAnsi="宋体" w:eastAsia="宋体" w:cs="宋体"/>
          <w:b/>
          <w:bCs/>
          <w:color w:val="auto"/>
          <w:sz w:val="21"/>
          <w:szCs w:val="21"/>
          <w:lang w:val="en-US" w:eastAsia="zh-CN"/>
        </w:rPr>
        <w:t>扫描</w:t>
      </w:r>
      <w:r>
        <w:rPr>
          <w:rFonts w:hint="eastAsia" w:ascii="宋体" w:hAnsi="宋体" w:eastAsia="宋体" w:cs="宋体"/>
          <w:b/>
          <w:bCs/>
          <w:color w:val="auto"/>
          <w:sz w:val="21"/>
          <w:szCs w:val="21"/>
        </w:rPr>
        <w:t>件，并在</w:t>
      </w:r>
      <w:r>
        <w:rPr>
          <w:rFonts w:hint="eastAsia" w:ascii="宋体" w:hAnsi="宋体" w:eastAsia="宋体" w:cs="宋体"/>
          <w:b/>
          <w:bCs/>
          <w:color w:val="auto"/>
          <w:sz w:val="21"/>
          <w:szCs w:val="21"/>
          <w:lang w:val="en-US" w:eastAsia="zh-CN"/>
        </w:rPr>
        <w:t>扫描</w:t>
      </w:r>
      <w:r>
        <w:rPr>
          <w:rFonts w:hint="eastAsia" w:ascii="宋体" w:hAnsi="宋体" w:eastAsia="宋体" w:cs="宋体"/>
          <w:b/>
          <w:bCs/>
          <w:color w:val="auto"/>
          <w:sz w:val="21"/>
          <w:szCs w:val="21"/>
        </w:rPr>
        <w:t>件中注明联系方式。</w:t>
      </w:r>
    </w:p>
    <w:p w14:paraId="7C030E45">
      <w:pPr>
        <w:pStyle w:val="27"/>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r>
        <w:rPr>
          <w:rFonts w:ascii="宋体" w:hAnsi="宋体" w:eastAsia="宋体" w:cs="宋体"/>
          <w:color w:val="auto"/>
          <w:sz w:val="21"/>
          <w:szCs w:val="21"/>
        </w:rPr>
        <w:t>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法定代表人签字或盖章可采用纸质签字或盖章后，上传至电子投标文件，也可使用法定代表人</w:t>
      </w:r>
      <w:r>
        <w:rPr>
          <w:rFonts w:ascii="宋体" w:hAnsi="宋体" w:eastAsia="宋体" w:cs="宋体"/>
          <w:color w:val="auto"/>
          <w:sz w:val="21"/>
          <w:szCs w:val="21"/>
        </w:rPr>
        <w:t>CA</w:t>
      </w:r>
      <w:r>
        <w:rPr>
          <w:rFonts w:hint="eastAsia" w:ascii="宋体" w:hAnsi="宋体" w:eastAsia="宋体" w:cs="宋体"/>
          <w:color w:val="auto"/>
          <w:sz w:val="21"/>
          <w:szCs w:val="21"/>
        </w:rPr>
        <w:t>锁在电子投标文件制作软件中签章。</w:t>
      </w:r>
    </w:p>
    <w:p w14:paraId="76A245C8">
      <w:pPr>
        <w:pStyle w:val="27"/>
        <w:keepNext w:val="0"/>
        <w:keepLines w:val="0"/>
        <w:pageBreakBefore w:val="0"/>
        <w:widowControl/>
        <w:kinsoku/>
        <w:wordWrap/>
        <w:overflowPunct/>
        <w:topLinePunct w:val="0"/>
        <w:autoSpaceDE/>
        <w:autoSpaceDN/>
        <w:bidi w:val="0"/>
        <w:adjustRightInd/>
        <w:snapToGrid/>
        <w:spacing w:afterLines="0" w:line="360" w:lineRule="exact"/>
        <w:ind w:firstLine="639" w:firstLineChars="300"/>
        <w:rPr>
          <w:rFonts w:ascii="宋体" w:hAnsi="宋体" w:eastAsia="宋体"/>
          <w:color w:val="auto"/>
          <w:sz w:val="21"/>
          <w:szCs w:val="21"/>
        </w:rPr>
      </w:pPr>
      <w:bookmarkStart w:id="650" w:name="_Toc4050"/>
      <w:bookmarkStart w:id="651" w:name="_Toc2556"/>
      <w:bookmarkStart w:id="652" w:name="_Toc26876"/>
      <w:bookmarkStart w:id="653" w:name="_Toc15794"/>
      <w:bookmarkStart w:id="654" w:name="_Toc7264"/>
      <w:bookmarkStart w:id="655" w:name="_Toc5624"/>
      <w:bookmarkStart w:id="656" w:name="_Toc14776"/>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法人的</w:t>
      </w:r>
      <w:r>
        <w:rPr>
          <w:rFonts w:hint="eastAsia" w:ascii="宋体" w:hAnsi="宋体" w:eastAsia="宋体" w:cs="宋体"/>
          <w:color w:val="auto"/>
          <w:sz w:val="21"/>
          <w:szCs w:val="21"/>
        </w:rPr>
        <w:t>分支机构参与投标时，</w:t>
      </w:r>
      <w:r>
        <w:rPr>
          <w:rFonts w:hint="eastAsia" w:ascii="宋体" w:hAnsi="宋体" w:eastAsia="宋体" w:cs="宋体"/>
          <w:color w:val="auto"/>
          <w:sz w:val="21"/>
          <w:szCs w:val="21"/>
          <w:lang w:eastAsia="zh-CN"/>
        </w:rPr>
        <w:t>除提供《</w:t>
      </w:r>
      <w:r>
        <w:rPr>
          <w:rFonts w:hint="eastAsia" w:ascii="宋体" w:hAnsi="宋体" w:eastAsia="宋体" w:cs="宋体"/>
          <w:color w:val="auto"/>
          <w:sz w:val="21"/>
          <w:szCs w:val="21"/>
        </w:rPr>
        <w:t>法定代表人授权委托书</w:t>
      </w:r>
      <w:r>
        <w:rPr>
          <w:rFonts w:hint="eastAsia" w:ascii="宋体" w:hAnsi="宋体" w:eastAsia="宋体" w:cs="宋体"/>
          <w:color w:val="auto"/>
          <w:sz w:val="21"/>
          <w:szCs w:val="21"/>
          <w:lang w:eastAsia="zh-CN"/>
        </w:rPr>
        <w:t>》外，还须同时提供法人给分支机构</w:t>
      </w:r>
      <w:r>
        <w:rPr>
          <w:rFonts w:hint="eastAsia" w:ascii="宋体" w:hAnsi="宋体" w:eastAsia="宋体" w:cs="宋体"/>
          <w:color w:val="auto"/>
          <w:sz w:val="21"/>
          <w:szCs w:val="21"/>
        </w:rPr>
        <w:t>出具的授权书。</w:t>
      </w:r>
    </w:p>
    <w:bookmarkEnd w:id="650"/>
    <w:bookmarkEnd w:id="651"/>
    <w:bookmarkEnd w:id="652"/>
    <w:bookmarkEnd w:id="653"/>
    <w:bookmarkEnd w:id="654"/>
    <w:bookmarkEnd w:id="655"/>
    <w:p w14:paraId="5B134194">
      <w:pPr>
        <w:tabs>
          <w:tab w:val="left" w:pos="210"/>
        </w:tabs>
        <w:spacing w:line="320" w:lineRule="exact"/>
        <w:jc w:val="center"/>
        <w:rPr>
          <w:rFonts w:hint="eastAsia" w:ascii="宋体" w:hAnsi="宋体" w:eastAsia="华文仿宋" w:cs="Arial"/>
          <w:b/>
          <w:bCs/>
          <w:color w:val="000000"/>
          <w:kern w:val="0"/>
          <w:sz w:val="32"/>
          <w:szCs w:val="32"/>
          <w:lang w:eastAsia="zh-CN"/>
        </w:rPr>
      </w:pPr>
      <w:bookmarkStart w:id="657" w:name="_Toc22488"/>
      <w:bookmarkStart w:id="658" w:name="_Toc9973"/>
      <w:bookmarkStart w:id="659" w:name="_Toc2465"/>
      <w:bookmarkStart w:id="660" w:name="_Toc32069"/>
      <w:r>
        <w:rPr>
          <w:rFonts w:hint="eastAsia" w:ascii="华文仿宋" w:hAnsi="华文仿宋" w:cs="华文仿宋"/>
          <w:color w:val="auto"/>
        </w:rPr>
        <w:br w:type="page"/>
      </w:r>
      <w:r>
        <w:rPr>
          <w:rFonts w:hint="eastAsia" w:ascii="宋体" w:hAnsi="宋体" w:cs="Arial"/>
          <w:b/>
          <w:bCs/>
          <w:color w:val="000000"/>
          <w:kern w:val="0"/>
          <w:sz w:val="32"/>
          <w:szCs w:val="32"/>
        </w:rPr>
        <w:t>法定代表人证明书</w:t>
      </w:r>
      <w:r>
        <w:rPr>
          <w:rFonts w:hint="eastAsia" w:ascii="宋体" w:hAnsi="宋体" w:cs="Arial"/>
          <w:b/>
          <w:bCs/>
          <w:color w:val="000000"/>
          <w:kern w:val="0"/>
          <w:sz w:val="32"/>
          <w:szCs w:val="32"/>
          <w:lang w:eastAsia="zh-CN"/>
        </w:rPr>
        <w:t>（</w:t>
      </w:r>
      <w:r>
        <w:rPr>
          <w:rFonts w:hint="eastAsia" w:ascii="宋体" w:hAnsi="宋体" w:cs="Arial"/>
          <w:b/>
          <w:bCs/>
          <w:color w:val="000000"/>
          <w:kern w:val="0"/>
          <w:sz w:val="32"/>
          <w:szCs w:val="32"/>
          <w:lang w:val="en-US" w:eastAsia="zh-CN"/>
        </w:rPr>
        <w:t>格式</w:t>
      </w:r>
      <w:r>
        <w:rPr>
          <w:rFonts w:hint="eastAsia" w:ascii="宋体" w:hAnsi="宋体" w:cs="Arial"/>
          <w:b/>
          <w:bCs/>
          <w:color w:val="000000"/>
          <w:kern w:val="0"/>
          <w:sz w:val="32"/>
          <w:szCs w:val="32"/>
          <w:lang w:eastAsia="zh-CN"/>
        </w:rPr>
        <w:t>）</w:t>
      </w:r>
    </w:p>
    <w:p w14:paraId="04414274">
      <w:pPr>
        <w:tabs>
          <w:tab w:val="left" w:pos="210"/>
        </w:tabs>
        <w:spacing w:line="320" w:lineRule="exact"/>
        <w:jc w:val="center"/>
        <w:rPr>
          <w:rFonts w:hint="eastAsia" w:ascii="宋体" w:hAnsi="宋体" w:cs="Arial"/>
          <w:b/>
          <w:color w:val="000000"/>
          <w:kern w:val="0"/>
          <w:sz w:val="32"/>
          <w:szCs w:val="32"/>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5EB6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0028F0">
            <w:pPr>
              <w:tabs>
                <w:tab w:val="left" w:pos="210"/>
              </w:tabs>
              <w:spacing w:line="320" w:lineRule="exac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致：</w:t>
            </w:r>
            <w:r>
              <w:rPr>
                <w:rFonts w:hint="eastAsia" w:ascii="宋体" w:hAnsi="宋体" w:eastAsia="宋体" w:cs="宋体"/>
                <w:spacing w:val="-6"/>
                <w:sz w:val="24"/>
                <w:lang w:eastAsia="zh-CN"/>
              </w:rPr>
              <w:t>延安市公共资源交易中心（延安市市直单位政府采购中心）</w:t>
            </w:r>
          </w:p>
        </w:tc>
      </w:tr>
      <w:tr w14:paraId="7779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DE36638">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w:t>
            </w:r>
          </w:p>
          <w:p w14:paraId="67C807B2">
            <w:pPr>
              <w:tabs>
                <w:tab w:val="left" w:pos="210"/>
              </w:tabs>
              <w:spacing w:line="320" w:lineRule="exact"/>
              <w:jc w:val="center"/>
              <w:rPr>
                <w:rFonts w:hint="eastAsia" w:ascii="宋体" w:hAnsi="宋体" w:eastAsia="宋体" w:cs="宋体"/>
                <w:color w:val="000000"/>
                <w:kern w:val="0"/>
                <w:sz w:val="24"/>
              </w:rPr>
            </w:pPr>
          </w:p>
          <w:p w14:paraId="58100DC2">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业</w:t>
            </w:r>
          </w:p>
          <w:p w14:paraId="68CB95BF">
            <w:pPr>
              <w:tabs>
                <w:tab w:val="left" w:pos="210"/>
              </w:tabs>
              <w:spacing w:line="320" w:lineRule="exact"/>
              <w:jc w:val="center"/>
              <w:rPr>
                <w:rFonts w:hint="eastAsia" w:ascii="宋体" w:hAnsi="宋体" w:eastAsia="宋体" w:cs="宋体"/>
                <w:color w:val="000000"/>
                <w:kern w:val="0"/>
                <w:sz w:val="24"/>
              </w:rPr>
            </w:pPr>
          </w:p>
          <w:p w14:paraId="74B4EE8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w:t>
            </w:r>
          </w:p>
          <w:p w14:paraId="2356231B">
            <w:pPr>
              <w:tabs>
                <w:tab w:val="left" w:pos="210"/>
              </w:tabs>
              <w:spacing w:line="320" w:lineRule="exact"/>
              <w:jc w:val="center"/>
              <w:rPr>
                <w:rFonts w:hint="eastAsia" w:ascii="宋体" w:hAnsi="宋体" w:eastAsia="宋体" w:cs="宋体"/>
                <w:color w:val="000000"/>
                <w:kern w:val="0"/>
                <w:sz w:val="24"/>
              </w:rPr>
            </w:pPr>
          </w:p>
          <w:p w14:paraId="106F1D6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人</w:t>
            </w:r>
          </w:p>
        </w:tc>
        <w:tc>
          <w:tcPr>
            <w:tcW w:w="2160" w:type="dxa"/>
            <w:noWrap w:val="0"/>
            <w:vAlign w:val="center"/>
          </w:tcPr>
          <w:p w14:paraId="1D23BD91">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企业名称</w:t>
            </w:r>
          </w:p>
        </w:tc>
        <w:tc>
          <w:tcPr>
            <w:tcW w:w="6656" w:type="dxa"/>
            <w:gridSpan w:val="4"/>
            <w:noWrap w:val="0"/>
            <w:vAlign w:val="center"/>
          </w:tcPr>
          <w:p w14:paraId="385899E9">
            <w:pPr>
              <w:tabs>
                <w:tab w:val="left" w:pos="210"/>
              </w:tabs>
              <w:spacing w:line="320" w:lineRule="exact"/>
              <w:jc w:val="center"/>
              <w:rPr>
                <w:rFonts w:hint="eastAsia" w:ascii="宋体" w:hAnsi="宋体" w:eastAsia="宋体" w:cs="宋体"/>
                <w:color w:val="000000"/>
                <w:kern w:val="0"/>
                <w:sz w:val="24"/>
              </w:rPr>
            </w:pPr>
          </w:p>
        </w:tc>
      </w:tr>
      <w:tr w14:paraId="4E4B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BDEB588">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60BB2B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法定地址</w:t>
            </w:r>
          </w:p>
        </w:tc>
        <w:tc>
          <w:tcPr>
            <w:tcW w:w="6656" w:type="dxa"/>
            <w:gridSpan w:val="4"/>
            <w:noWrap w:val="0"/>
            <w:vAlign w:val="center"/>
          </w:tcPr>
          <w:p w14:paraId="603732D4">
            <w:pPr>
              <w:tabs>
                <w:tab w:val="left" w:pos="210"/>
              </w:tabs>
              <w:spacing w:line="320" w:lineRule="exact"/>
              <w:jc w:val="center"/>
              <w:rPr>
                <w:rFonts w:hint="eastAsia" w:ascii="宋体" w:hAnsi="宋体" w:eastAsia="宋体" w:cs="宋体"/>
                <w:color w:val="000000"/>
                <w:kern w:val="0"/>
                <w:sz w:val="24"/>
              </w:rPr>
            </w:pPr>
          </w:p>
        </w:tc>
      </w:tr>
      <w:tr w14:paraId="711C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74EEE65">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72058AB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邮政编码</w:t>
            </w:r>
          </w:p>
        </w:tc>
        <w:tc>
          <w:tcPr>
            <w:tcW w:w="6656" w:type="dxa"/>
            <w:gridSpan w:val="4"/>
            <w:noWrap w:val="0"/>
            <w:vAlign w:val="center"/>
          </w:tcPr>
          <w:p w14:paraId="624F86A6">
            <w:pPr>
              <w:tabs>
                <w:tab w:val="left" w:pos="210"/>
              </w:tabs>
              <w:spacing w:line="320" w:lineRule="exact"/>
              <w:jc w:val="center"/>
              <w:rPr>
                <w:rFonts w:hint="eastAsia" w:ascii="宋体" w:hAnsi="宋体" w:eastAsia="宋体" w:cs="宋体"/>
                <w:color w:val="000000"/>
                <w:kern w:val="0"/>
                <w:sz w:val="24"/>
              </w:rPr>
            </w:pPr>
          </w:p>
        </w:tc>
      </w:tr>
      <w:tr w14:paraId="4762A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915BB3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6F7E0012">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工商登记机关</w:t>
            </w:r>
          </w:p>
        </w:tc>
        <w:tc>
          <w:tcPr>
            <w:tcW w:w="6656" w:type="dxa"/>
            <w:gridSpan w:val="4"/>
            <w:noWrap w:val="0"/>
            <w:vAlign w:val="center"/>
          </w:tcPr>
          <w:p w14:paraId="69C1E8CD">
            <w:pPr>
              <w:tabs>
                <w:tab w:val="left" w:pos="210"/>
              </w:tabs>
              <w:spacing w:line="320" w:lineRule="exact"/>
              <w:jc w:val="center"/>
              <w:rPr>
                <w:rFonts w:hint="eastAsia" w:ascii="宋体" w:hAnsi="宋体" w:eastAsia="宋体" w:cs="宋体"/>
                <w:color w:val="000000"/>
                <w:kern w:val="0"/>
                <w:sz w:val="24"/>
              </w:rPr>
            </w:pPr>
          </w:p>
        </w:tc>
      </w:tr>
      <w:tr w14:paraId="5E04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00" w:type="dxa"/>
            <w:vMerge w:val="continue"/>
            <w:noWrap w:val="0"/>
            <w:vAlign w:val="center"/>
          </w:tcPr>
          <w:p w14:paraId="0E8AFC7F">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7577AB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税务登记机关</w:t>
            </w:r>
          </w:p>
        </w:tc>
        <w:tc>
          <w:tcPr>
            <w:tcW w:w="6656" w:type="dxa"/>
            <w:gridSpan w:val="4"/>
            <w:noWrap w:val="0"/>
            <w:vAlign w:val="center"/>
          </w:tcPr>
          <w:p w14:paraId="5E07CAEE">
            <w:pPr>
              <w:tabs>
                <w:tab w:val="left" w:pos="210"/>
              </w:tabs>
              <w:spacing w:line="320" w:lineRule="exact"/>
              <w:rPr>
                <w:rFonts w:hint="eastAsia" w:ascii="宋体" w:hAnsi="宋体" w:eastAsia="宋体" w:cs="宋体"/>
                <w:color w:val="000000"/>
                <w:kern w:val="0"/>
                <w:sz w:val="24"/>
              </w:rPr>
            </w:pPr>
          </w:p>
        </w:tc>
      </w:tr>
      <w:tr w14:paraId="6452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21C9A8FB">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0B8F5C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机构代码证号</w:t>
            </w:r>
          </w:p>
        </w:tc>
        <w:tc>
          <w:tcPr>
            <w:tcW w:w="6656" w:type="dxa"/>
            <w:gridSpan w:val="4"/>
            <w:noWrap w:val="0"/>
            <w:vAlign w:val="center"/>
          </w:tcPr>
          <w:p w14:paraId="26363A9A">
            <w:pPr>
              <w:tabs>
                <w:tab w:val="left" w:pos="210"/>
              </w:tabs>
              <w:spacing w:line="320" w:lineRule="exact"/>
              <w:jc w:val="center"/>
              <w:rPr>
                <w:rFonts w:hint="eastAsia" w:ascii="宋体" w:hAnsi="宋体" w:eastAsia="宋体" w:cs="宋体"/>
                <w:color w:val="000000"/>
                <w:kern w:val="0"/>
                <w:sz w:val="24"/>
              </w:rPr>
            </w:pPr>
          </w:p>
        </w:tc>
      </w:tr>
      <w:tr w14:paraId="7D55E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9DE5D9C">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w:t>
            </w:r>
          </w:p>
        </w:tc>
        <w:tc>
          <w:tcPr>
            <w:tcW w:w="2160" w:type="dxa"/>
            <w:noWrap w:val="0"/>
            <w:vAlign w:val="center"/>
          </w:tcPr>
          <w:p w14:paraId="1186A95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姓名</w:t>
            </w:r>
          </w:p>
        </w:tc>
        <w:tc>
          <w:tcPr>
            <w:tcW w:w="2340" w:type="dxa"/>
            <w:gridSpan w:val="2"/>
            <w:noWrap w:val="0"/>
            <w:vAlign w:val="center"/>
          </w:tcPr>
          <w:p w14:paraId="7CF0639D">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1603E787">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性别</w:t>
            </w:r>
          </w:p>
        </w:tc>
        <w:tc>
          <w:tcPr>
            <w:tcW w:w="2160" w:type="dxa"/>
            <w:noWrap w:val="0"/>
            <w:vAlign w:val="center"/>
          </w:tcPr>
          <w:p w14:paraId="6D443111">
            <w:pPr>
              <w:tabs>
                <w:tab w:val="left" w:pos="210"/>
              </w:tabs>
              <w:spacing w:line="320" w:lineRule="exact"/>
              <w:jc w:val="center"/>
              <w:rPr>
                <w:rFonts w:hint="eastAsia" w:ascii="宋体" w:hAnsi="宋体" w:eastAsia="宋体" w:cs="宋体"/>
                <w:color w:val="000000"/>
                <w:kern w:val="0"/>
                <w:sz w:val="24"/>
              </w:rPr>
            </w:pPr>
          </w:p>
        </w:tc>
      </w:tr>
      <w:tr w14:paraId="2B99C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4482378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34AD8841">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职务</w:t>
            </w:r>
          </w:p>
        </w:tc>
        <w:tc>
          <w:tcPr>
            <w:tcW w:w="2340" w:type="dxa"/>
            <w:gridSpan w:val="2"/>
            <w:noWrap w:val="0"/>
            <w:vAlign w:val="center"/>
          </w:tcPr>
          <w:p w14:paraId="25972B80">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19DA495B">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联系电话</w:t>
            </w:r>
          </w:p>
        </w:tc>
        <w:tc>
          <w:tcPr>
            <w:tcW w:w="2160" w:type="dxa"/>
            <w:noWrap w:val="0"/>
            <w:vAlign w:val="center"/>
          </w:tcPr>
          <w:p w14:paraId="7AF0DB69">
            <w:pPr>
              <w:tabs>
                <w:tab w:val="left" w:pos="210"/>
              </w:tabs>
              <w:spacing w:line="320" w:lineRule="exact"/>
              <w:jc w:val="center"/>
              <w:rPr>
                <w:rFonts w:hint="eastAsia" w:ascii="宋体" w:hAnsi="宋体" w:eastAsia="宋体" w:cs="宋体"/>
                <w:color w:val="000000"/>
                <w:kern w:val="0"/>
                <w:sz w:val="24"/>
              </w:rPr>
            </w:pPr>
          </w:p>
        </w:tc>
      </w:tr>
      <w:tr w14:paraId="6596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0AB61E84">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44C9CA14">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传真</w:t>
            </w:r>
          </w:p>
        </w:tc>
        <w:tc>
          <w:tcPr>
            <w:tcW w:w="6656" w:type="dxa"/>
            <w:gridSpan w:val="4"/>
            <w:noWrap w:val="0"/>
            <w:vAlign w:val="center"/>
          </w:tcPr>
          <w:p w14:paraId="5494A633">
            <w:pPr>
              <w:tabs>
                <w:tab w:val="left" w:pos="210"/>
              </w:tabs>
              <w:spacing w:line="320" w:lineRule="exact"/>
              <w:jc w:val="center"/>
              <w:rPr>
                <w:rFonts w:hint="eastAsia" w:ascii="宋体" w:hAnsi="宋体" w:eastAsia="宋体" w:cs="宋体"/>
                <w:color w:val="000000"/>
                <w:kern w:val="0"/>
                <w:sz w:val="24"/>
              </w:rPr>
            </w:pPr>
          </w:p>
        </w:tc>
      </w:tr>
      <w:tr w14:paraId="6B13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108B93CA">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法定代表人身份证扫描件</w:t>
            </w:r>
          </w:p>
        </w:tc>
        <w:tc>
          <w:tcPr>
            <w:tcW w:w="4316" w:type="dxa"/>
            <w:gridSpan w:val="2"/>
            <w:vMerge w:val="restart"/>
            <w:noWrap w:val="0"/>
            <w:vAlign w:val="center"/>
          </w:tcPr>
          <w:p w14:paraId="01A9F2D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（粘贴处）</w:t>
            </w:r>
          </w:p>
        </w:tc>
        <w:tc>
          <w:tcPr>
            <w:tcW w:w="4500" w:type="dxa"/>
            <w:gridSpan w:val="3"/>
            <w:noWrap w:val="0"/>
            <w:vAlign w:val="center"/>
          </w:tcPr>
          <w:p w14:paraId="4EA77CFE">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法定代表人签字</w:t>
            </w:r>
          </w:p>
        </w:tc>
      </w:tr>
      <w:tr w14:paraId="336E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6593EC89">
            <w:pPr>
              <w:tabs>
                <w:tab w:val="left" w:pos="210"/>
              </w:tabs>
              <w:spacing w:line="320" w:lineRule="exact"/>
              <w:jc w:val="center"/>
              <w:rPr>
                <w:rFonts w:hint="eastAsia" w:ascii="宋体" w:hAnsi="宋体" w:eastAsia="宋体" w:cs="宋体"/>
                <w:color w:val="000000"/>
                <w:kern w:val="0"/>
                <w:sz w:val="24"/>
              </w:rPr>
            </w:pPr>
          </w:p>
        </w:tc>
        <w:tc>
          <w:tcPr>
            <w:tcW w:w="4316" w:type="dxa"/>
            <w:gridSpan w:val="2"/>
            <w:vMerge w:val="continue"/>
            <w:noWrap w:val="0"/>
            <w:vAlign w:val="center"/>
          </w:tcPr>
          <w:p w14:paraId="3F6D150D">
            <w:pPr>
              <w:tabs>
                <w:tab w:val="left" w:pos="210"/>
              </w:tabs>
              <w:spacing w:line="320" w:lineRule="exact"/>
              <w:jc w:val="center"/>
              <w:rPr>
                <w:rFonts w:hint="eastAsia" w:ascii="宋体" w:hAnsi="宋体" w:eastAsia="宋体" w:cs="宋体"/>
                <w:color w:val="000000"/>
                <w:kern w:val="0"/>
                <w:sz w:val="24"/>
              </w:rPr>
            </w:pPr>
          </w:p>
        </w:tc>
        <w:tc>
          <w:tcPr>
            <w:tcW w:w="4500" w:type="dxa"/>
            <w:gridSpan w:val="3"/>
            <w:noWrap w:val="0"/>
            <w:vAlign w:val="bottom"/>
          </w:tcPr>
          <w:p w14:paraId="60198EC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（公章）</w:t>
            </w:r>
          </w:p>
          <w:p w14:paraId="6D2C4C7D">
            <w:pPr>
              <w:tabs>
                <w:tab w:val="left" w:pos="210"/>
              </w:tabs>
              <w:spacing w:line="320" w:lineRule="exact"/>
              <w:jc w:val="center"/>
              <w:rPr>
                <w:rFonts w:hint="eastAsia" w:ascii="宋体" w:hAnsi="宋体" w:eastAsia="宋体" w:cs="宋体"/>
                <w:color w:val="000000"/>
                <w:kern w:val="0"/>
                <w:sz w:val="24"/>
              </w:rPr>
            </w:pPr>
          </w:p>
          <w:p w14:paraId="39C37790">
            <w:pPr>
              <w:tabs>
                <w:tab w:val="left" w:pos="210"/>
              </w:tabs>
              <w:spacing w:line="320" w:lineRule="exact"/>
              <w:jc w:val="center"/>
              <w:rPr>
                <w:rFonts w:hint="eastAsia" w:ascii="宋体" w:hAnsi="宋体" w:eastAsia="宋体" w:cs="宋体"/>
                <w:color w:val="000000"/>
                <w:kern w:val="0"/>
                <w:sz w:val="24"/>
              </w:rPr>
            </w:pPr>
          </w:p>
          <w:p w14:paraId="5A991A43">
            <w:pPr>
              <w:tabs>
                <w:tab w:val="left" w:pos="210"/>
              </w:tabs>
              <w:spacing w:line="320" w:lineRule="exact"/>
              <w:jc w:val="center"/>
              <w:rPr>
                <w:rFonts w:hint="eastAsia" w:ascii="宋体" w:hAnsi="宋体" w:eastAsia="宋体" w:cs="宋体"/>
                <w:color w:val="000000"/>
                <w:kern w:val="0"/>
                <w:sz w:val="24"/>
              </w:rPr>
            </w:pPr>
          </w:p>
          <w:p w14:paraId="0D13F701">
            <w:pPr>
              <w:tabs>
                <w:tab w:val="left" w:pos="210"/>
              </w:tabs>
              <w:wordWrap w:val="0"/>
              <w:spacing w:line="320" w:lineRule="exact"/>
              <w:jc w:val="right"/>
              <w:rPr>
                <w:rFonts w:hint="eastAsia" w:ascii="宋体" w:hAnsi="宋体" w:eastAsia="宋体" w:cs="宋体"/>
                <w:color w:val="000000"/>
                <w:kern w:val="0"/>
                <w:sz w:val="24"/>
              </w:rPr>
            </w:pPr>
            <w:r>
              <w:rPr>
                <w:rFonts w:hint="eastAsia" w:ascii="宋体" w:hAnsi="宋体" w:eastAsia="宋体" w:cs="宋体"/>
                <w:color w:val="000000"/>
                <w:kern w:val="0"/>
                <w:sz w:val="24"/>
              </w:rPr>
              <w:t xml:space="preserve">年  月  日 </w:t>
            </w:r>
          </w:p>
        </w:tc>
      </w:tr>
    </w:tbl>
    <w:p w14:paraId="45041EE0">
      <w:pPr>
        <w:tabs>
          <w:tab w:val="left" w:pos="210"/>
        </w:tabs>
        <w:spacing w:line="320" w:lineRule="exact"/>
        <w:ind w:firstLine="751" w:firstLineChars="248"/>
        <w:rPr>
          <w:rFonts w:hint="eastAsia" w:ascii="宋体" w:hAnsi="宋体" w:cs="Arial"/>
          <w:b/>
          <w:color w:val="000000"/>
          <w:kern w:val="0"/>
          <w:sz w:val="30"/>
          <w:szCs w:val="30"/>
        </w:rPr>
      </w:pPr>
      <w:r>
        <w:rPr>
          <w:rFonts w:hint="eastAsia" w:ascii="宋体" w:hAnsi="宋体" w:cs="Arial"/>
          <w:b/>
          <w:color w:val="000000"/>
          <w:kern w:val="0"/>
          <w:sz w:val="30"/>
          <w:szCs w:val="30"/>
        </w:rPr>
        <w:t>注：供应商持三证合一营业执照时，本表不填写“税务登记机关”和“机构代码证号”栏目。</w:t>
      </w:r>
    </w:p>
    <w:p w14:paraId="0B57F663">
      <w:pPr>
        <w:numPr>
          <w:ilvl w:val="0"/>
          <w:numId w:val="0"/>
        </w:numPr>
        <w:spacing w:line="500" w:lineRule="exact"/>
        <w:ind w:firstLine="646" w:firstLineChars="200"/>
        <w:rPr>
          <w:rFonts w:hint="eastAsia" w:ascii="宋体" w:hAnsi="宋体" w:cs="Arial"/>
          <w:b/>
          <w:color w:val="000000"/>
          <w:kern w:val="0"/>
          <w:sz w:val="30"/>
          <w:szCs w:val="30"/>
          <w:lang w:val="en-US" w:eastAsia="zh-CN"/>
        </w:rPr>
      </w:pPr>
      <w:r>
        <w:rPr>
          <w:rFonts w:ascii="宋体" w:hAnsi="宋体" w:cs="Arial"/>
          <w:b/>
          <w:color w:val="000000"/>
          <w:kern w:val="0"/>
          <w:sz w:val="32"/>
          <w:szCs w:val="32"/>
        </w:rPr>
        <w:br w:type="page"/>
      </w:r>
    </w:p>
    <w:bookmarkEnd w:id="657"/>
    <w:bookmarkEnd w:id="658"/>
    <w:bookmarkEnd w:id="659"/>
    <w:bookmarkEnd w:id="660"/>
    <w:p w14:paraId="6B5FDA10">
      <w:pPr>
        <w:rPr>
          <w:rFonts w:cs="Times New Roman"/>
          <w:color w:val="auto"/>
        </w:rPr>
      </w:pPr>
      <w:r>
        <w:rPr>
          <w:rFonts w:hint="eastAsia" w:ascii="宋体" w:hAnsi="宋体" w:cs="Arial"/>
          <w:b/>
          <w:color w:val="000000"/>
          <w:kern w:val="0"/>
          <w:sz w:val="32"/>
          <w:szCs w:val="32"/>
          <w:lang w:val="en-US" w:eastAsia="zh-CN"/>
        </w:rPr>
        <w:t>七</w:t>
      </w:r>
      <w:r>
        <w:rPr>
          <w:rFonts w:hint="eastAsia" w:cs="华文仿宋"/>
          <w:b/>
          <w:bCs/>
          <w:color w:val="auto"/>
          <w:sz w:val="30"/>
          <w:szCs w:val="30"/>
          <w:lang w:val="en-US" w:eastAsia="zh-CN"/>
        </w:rPr>
        <w:t>、</w:t>
      </w:r>
      <w:r>
        <w:rPr>
          <w:rFonts w:hint="eastAsia" w:cs="华文仿宋"/>
          <w:b/>
          <w:bCs/>
          <w:color w:val="auto"/>
          <w:sz w:val="30"/>
          <w:szCs w:val="30"/>
        </w:rPr>
        <w:t>本项目不接受联合体投标，不允许分包</w:t>
      </w:r>
    </w:p>
    <w:p w14:paraId="5EE1D982">
      <w:pPr>
        <w:pStyle w:val="7"/>
        <w:jc w:val="center"/>
        <w:rPr>
          <w:rFonts w:hint="eastAsia" w:ascii="华文仿宋" w:hAnsi="华文仿宋" w:cs="华文仿宋"/>
          <w:b/>
          <w:bCs/>
          <w:color w:val="auto"/>
        </w:rPr>
      </w:pPr>
    </w:p>
    <w:p w14:paraId="069C3D93">
      <w:pPr>
        <w:pStyle w:val="7"/>
        <w:jc w:val="center"/>
        <w:rPr>
          <w:rFonts w:ascii="华文仿宋" w:hAnsi="华文仿宋" w:cs="华文仿宋"/>
          <w:b/>
          <w:bCs/>
          <w:color w:val="auto"/>
        </w:rPr>
      </w:pPr>
      <w:r>
        <w:rPr>
          <w:rFonts w:hint="eastAsia" w:ascii="华文仿宋" w:hAnsi="华文仿宋" w:cs="华文仿宋"/>
          <w:b/>
          <w:bCs/>
          <w:color w:val="auto"/>
        </w:rPr>
        <w:t>非联合体不分包投标声明（格式）</w:t>
      </w:r>
    </w:p>
    <w:p w14:paraId="75B50188">
      <w:pPr>
        <w:spacing w:line="500" w:lineRule="exact"/>
        <w:ind w:firstLine="566" w:firstLineChars="200"/>
        <w:rPr>
          <w:rFonts w:ascii="华文仿宋" w:hAnsi="华文仿宋" w:cs="华文仿宋"/>
          <w:color w:val="auto"/>
        </w:rPr>
      </w:pPr>
    </w:p>
    <w:p w14:paraId="4B5AB3E3">
      <w:pPr>
        <w:spacing w:line="500" w:lineRule="exact"/>
        <w:ind w:firstLine="566" w:firstLineChars="200"/>
        <w:rPr>
          <w:rFonts w:ascii="华文仿宋" w:hAnsi="华文仿宋" w:cs="华文仿宋"/>
          <w:color w:val="auto"/>
        </w:rPr>
      </w:pPr>
      <w:r>
        <w:rPr>
          <w:rFonts w:hint="eastAsia" w:ascii="华文仿宋" w:hAnsi="华文仿宋" w:cs="华文仿宋"/>
          <w:color w:val="auto"/>
        </w:rPr>
        <w:t>本单位郑重声明，参加</w:t>
      </w:r>
      <w:r>
        <w:rPr>
          <w:rFonts w:hint="eastAsia" w:ascii="华文仿宋" w:hAnsi="华文仿宋" w:cs="华文仿宋"/>
          <w:color w:val="auto"/>
          <w:lang w:eastAsia="zh-CN"/>
        </w:rPr>
        <w:t>延安市公共资源交易中心（延安市市直单位政府采购中心）</w:t>
      </w:r>
      <w:r>
        <w:rPr>
          <w:rFonts w:hint="eastAsia" w:ascii="华文仿宋" w:hAnsi="华文仿宋" w:cs="华文仿宋"/>
          <w:color w:val="auto"/>
        </w:rPr>
        <w:t>的</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标段采购活动，为非联合体投标，本项目实施过程由本单位独立承担。</w:t>
      </w:r>
    </w:p>
    <w:p w14:paraId="14BCBA84">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rPr>
        <w:t>本单位对上述声明的真实性负责。如有虚假，将依法承担相应责任。</w:t>
      </w:r>
    </w:p>
    <w:p w14:paraId="7282137A">
      <w:pPr>
        <w:spacing w:line="500" w:lineRule="exact"/>
        <w:ind w:firstLine="566" w:firstLineChars="200"/>
        <w:jc w:val="left"/>
        <w:rPr>
          <w:rFonts w:ascii="华文仿宋" w:hAnsi="华文仿宋" w:cs="华文仿宋"/>
          <w:color w:val="auto"/>
        </w:rPr>
      </w:pPr>
    </w:p>
    <w:p w14:paraId="1CEAC07E">
      <w:pPr>
        <w:pStyle w:val="7"/>
        <w:rPr>
          <w:rFonts w:ascii="华文仿宋" w:hAnsi="华文仿宋" w:cs="华文仿宋"/>
          <w:color w:val="auto"/>
        </w:rPr>
      </w:pPr>
    </w:p>
    <w:p w14:paraId="38EFEA92">
      <w:pPr>
        <w:spacing w:line="500" w:lineRule="exact"/>
        <w:ind w:firstLine="5094" w:firstLineChars="1800"/>
        <w:rPr>
          <w:rFonts w:ascii="华文仿宋" w:hAnsi="华文仿宋" w:cs="华文仿宋"/>
          <w:color w:val="auto"/>
        </w:rPr>
      </w:pPr>
      <w:r>
        <w:rPr>
          <w:rFonts w:hint="eastAsia" w:ascii="华文仿宋" w:hAnsi="华文仿宋" w:cs="华文仿宋"/>
          <w:color w:val="auto"/>
        </w:rPr>
        <w:t>投标人：</w:t>
      </w:r>
      <w:r>
        <w:rPr>
          <w:rFonts w:hint="eastAsia" w:ascii="华文仿宋" w:hAnsi="华文仿宋" w:cs="华文仿宋"/>
          <w:color w:val="auto"/>
          <w:u w:val="single"/>
        </w:rPr>
        <w:t>名称</w:t>
      </w:r>
      <w:r>
        <w:rPr>
          <w:rFonts w:hint="eastAsia" w:ascii="华文仿宋" w:hAnsi="华文仿宋" w:cs="华文仿宋"/>
          <w:color w:val="auto"/>
        </w:rPr>
        <w:t>（加盖公章）</w:t>
      </w:r>
    </w:p>
    <w:p w14:paraId="65512D9B">
      <w:pPr>
        <w:tabs>
          <w:tab w:val="left" w:pos="5670"/>
        </w:tabs>
        <w:spacing w:line="500" w:lineRule="exact"/>
        <w:ind w:firstLine="5377" w:firstLineChars="1900"/>
        <w:jc w:val="left"/>
        <w:rPr>
          <w:rFonts w:ascii="华文仿宋" w:hAnsi="华文仿宋" w:cs="华文仿宋"/>
          <w:color w:val="auto"/>
        </w:rPr>
      </w:pPr>
      <w:r>
        <w:rPr>
          <w:rFonts w:hint="eastAsia" w:ascii="华文仿宋" w:hAnsi="华文仿宋" w:cs="华文仿宋"/>
          <w:color w:val="auto"/>
        </w:rPr>
        <w:t>日期：　　年　月　日</w:t>
      </w:r>
    </w:p>
    <w:p w14:paraId="24CD7945">
      <w:pPr>
        <w:pStyle w:val="27"/>
        <w:spacing w:after="190"/>
        <w:ind w:firstLine="183"/>
        <w:rPr>
          <w:rFonts w:ascii="华文仿宋"/>
          <w:color w:val="auto"/>
        </w:rPr>
      </w:pPr>
    </w:p>
    <w:p w14:paraId="1E3A9B4C">
      <w:pPr>
        <w:rPr>
          <w:rFonts w:ascii="华文仿宋" w:cs="Times New Roman"/>
          <w:color w:val="auto"/>
        </w:rPr>
      </w:pPr>
      <w:r>
        <w:rPr>
          <w:rFonts w:hint="eastAsia" w:ascii="宋体" w:hAnsi="宋体" w:eastAsia="宋体" w:cs="宋体"/>
          <w:b/>
          <w:bCs/>
          <w:color w:val="auto"/>
          <w:sz w:val="21"/>
          <w:szCs w:val="21"/>
        </w:rPr>
        <w:t>备注：</w:t>
      </w:r>
      <w:r>
        <w:rPr>
          <w:rFonts w:hint="eastAsia" w:ascii="宋体" w:hAnsi="宋体" w:eastAsia="宋体" w:cs="宋体"/>
          <w:color w:val="auto"/>
          <w:sz w:val="21"/>
          <w:szCs w:val="21"/>
        </w:rPr>
        <w:t>项目不分标段的，第___标段空白处填写“/”。</w:t>
      </w:r>
    </w:p>
    <w:p w14:paraId="08E776A1">
      <w:pPr>
        <w:rPr>
          <w:rFonts w:ascii="华文仿宋" w:cs="Times New Roman"/>
          <w:color w:val="auto"/>
        </w:rPr>
      </w:pPr>
    </w:p>
    <w:p w14:paraId="6A24E5D8">
      <w:pPr>
        <w:rPr>
          <w:rFonts w:ascii="华文仿宋" w:cs="Times New Roman"/>
          <w:color w:val="auto"/>
        </w:rPr>
      </w:pPr>
    </w:p>
    <w:p w14:paraId="1AF4B8BA">
      <w:pPr>
        <w:rPr>
          <w:rFonts w:ascii="华文仿宋" w:cs="Times New Roman"/>
          <w:color w:val="auto"/>
        </w:rPr>
      </w:pPr>
    </w:p>
    <w:p w14:paraId="29CFAEDD">
      <w:pPr>
        <w:rPr>
          <w:rFonts w:ascii="华文仿宋" w:cs="Times New Roman"/>
          <w:color w:val="auto"/>
        </w:rPr>
      </w:pPr>
    </w:p>
    <w:p w14:paraId="598383B3">
      <w:pPr>
        <w:rPr>
          <w:rFonts w:ascii="华文仿宋" w:cs="Times New Roman"/>
          <w:color w:val="auto"/>
        </w:rPr>
      </w:pPr>
    </w:p>
    <w:p w14:paraId="3EB8CF5D">
      <w:pPr>
        <w:rPr>
          <w:rFonts w:ascii="华文仿宋" w:cs="Times New Roman"/>
          <w:color w:val="auto"/>
        </w:rPr>
      </w:pPr>
    </w:p>
    <w:p w14:paraId="3545CABC">
      <w:pPr>
        <w:rPr>
          <w:rFonts w:ascii="华文仿宋" w:cs="Times New Roman"/>
          <w:color w:val="auto"/>
        </w:rPr>
      </w:pPr>
    </w:p>
    <w:p w14:paraId="5602859C">
      <w:pPr>
        <w:rPr>
          <w:rFonts w:ascii="华文仿宋" w:cs="Times New Roman"/>
          <w:color w:val="auto"/>
        </w:rPr>
      </w:pPr>
    </w:p>
    <w:p w14:paraId="64D6C246">
      <w:pPr>
        <w:rPr>
          <w:rFonts w:hint="default" w:ascii="宋体" w:hAnsi="宋体" w:cs="Arial"/>
          <w:b w:val="0"/>
          <w:bCs/>
          <w:color w:val="000000"/>
          <w:kern w:val="0"/>
          <w:sz w:val="32"/>
          <w:szCs w:val="32"/>
          <w:lang w:val="en-US" w:eastAsia="zh-CN"/>
        </w:rPr>
      </w:pPr>
      <w:r>
        <w:rPr>
          <w:rFonts w:hint="eastAsia" w:ascii="宋体" w:hAnsi="宋体" w:cs="Arial"/>
          <w:b/>
          <w:color w:val="000000"/>
          <w:kern w:val="0"/>
          <w:sz w:val="32"/>
          <w:szCs w:val="32"/>
          <w:lang w:val="en-US" w:eastAsia="zh-CN"/>
        </w:rPr>
        <w:t>八、特定资格要求：</w:t>
      </w:r>
      <w:r>
        <w:rPr>
          <w:rFonts w:hint="eastAsia" w:ascii="宋体" w:hAnsi="宋体" w:cs="Arial"/>
          <w:b w:val="0"/>
          <w:bCs/>
          <w:color w:val="000000"/>
          <w:kern w:val="0"/>
          <w:sz w:val="32"/>
          <w:szCs w:val="32"/>
          <w:lang w:val="en-US" w:eastAsia="zh-CN"/>
        </w:rPr>
        <w:t>需提供省级测绘地理信息局出具的乙级及以上测绘资质证书。</w:t>
      </w:r>
    </w:p>
    <w:p w14:paraId="1E7610FB">
      <w:pPr>
        <w:pStyle w:val="27"/>
        <w:spacing w:after="190"/>
        <w:ind w:firstLine="183"/>
        <w:rPr>
          <w:rFonts w:ascii="华文仿宋"/>
          <w:color w:val="auto"/>
        </w:rPr>
      </w:pPr>
    </w:p>
    <w:p w14:paraId="071CBEC1">
      <w:pPr>
        <w:pStyle w:val="27"/>
        <w:spacing w:after="190"/>
        <w:ind w:firstLine="183"/>
        <w:rPr>
          <w:rFonts w:ascii="华文仿宋"/>
          <w:color w:val="auto"/>
        </w:rPr>
      </w:pPr>
    </w:p>
    <w:p w14:paraId="259DF5D4">
      <w:pPr>
        <w:pStyle w:val="27"/>
        <w:spacing w:after="190"/>
        <w:ind w:firstLine="183"/>
        <w:rPr>
          <w:rFonts w:ascii="华文仿宋"/>
          <w:color w:val="auto"/>
        </w:rPr>
      </w:pPr>
    </w:p>
    <w:p w14:paraId="7458ED16">
      <w:pPr>
        <w:pStyle w:val="27"/>
        <w:spacing w:after="190"/>
        <w:ind w:firstLine="183"/>
        <w:rPr>
          <w:rFonts w:ascii="华文仿宋"/>
          <w:color w:val="auto"/>
        </w:rPr>
      </w:pPr>
    </w:p>
    <w:p w14:paraId="1CF34AE6">
      <w:pPr>
        <w:pStyle w:val="27"/>
        <w:spacing w:after="190"/>
        <w:ind w:firstLine="183"/>
        <w:rPr>
          <w:rFonts w:ascii="华文仿宋"/>
          <w:color w:val="auto"/>
        </w:rPr>
      </w:pPr>
    </w:p>
    <w:p w14:paraId="5376271F">
      <w:pPr>
        <w:pStyle w:val="27"/>
        <w:spacing w:after="190"/>
        <w:ind w:firstLine="183"/>
        <w:rPr>
          <w:rFonts w:ascii="华文仿宋"/>
          <w:color w:val="auto"/>
        </w:rPr>
      </w:pPr>
    </w:p>
    <w:bookmarkEnd w:id="656"/>
    <w:p w14:paraId="3B4ABC2C">
      <w:pPr>
        <w:pStyle w:val="62"/>
        <w:rPr>
          <w:rFonts w:ascii="黑体" w:hAnsi="黑体" w:eastAsia="黑体" w:cs="Times New Roman"/>
          <w:b w:val="0"/>
          <w:bCs w:val="0"/>
          <w:color w:val="auto"/>
        </w:rPr>
      </w:pPr>
      <w:bookmarkStart w:id="661" w:name="_Toc23476"/>
      <w:bookmarkEnd w:id="661"/>
      <w:bookmarkStart w:id="662" w:name="_Toc25329"/>
      <w:bookmarkEnd w:id="662"/>
      <w:bookmarkStart w:id="663" w:name="_Toc29332"/>
      <w:bookmarkEnd w:id="663"/>
      <w:bookmarkStart w:id="664" w:name="_Toc28788"/>
      <w:bookmarkEnd w:id="664"/>
      <w:bookmarkStart w:id="665" w:name="_Toc15231"/>
      <w:bookmarkEnd w:id="665"/>
      <w:bookmarkStart w:id="666" w:name="_Toc30135"/>
      <w:bookmarkEnd w:id="666"/>
      <w:bookmarkStart w:id="667" w:name="_Toc2952"/>
      <w:bookmarkEnd w:id="667"/>
      <w:bookmarkStart w:id="668" w:name="_Toc10876"/>
      <w:bookmarkEnd w:id="668"/>
      <w:bookmarkStart w:id="669" w:name="_Toc26404"/>
      <w:bookmarkEnd w:id="669"/>
      <w:r>
        <w:rPr>
          <w:rFonts w:hint="eastAsia" w:ascii="黑体" w:hAnsi="黑体" w:eastAsia="黑体" w:cs="黑体"/>
          <w:b w:val="0"/>
          <w:bCs w:val="0"/>
          <w:color w:val="auto"/>
        </w:rPr>
        <w:t>第二部分  符合性证明文件</w:t>
      </w:r>
    </w:p>
    <w:p w14:paraId="2493CAC5">
      <w:pPr>
        <w:pStyle w:val="62"/>
        <w:jc w:val="both"/>
        <w:outlineLvl w:val="2"/>
        <w:rPr>
          <w:rFonts w:ascii="仿宋" w:hAnsi="仿宋" w:eastAsia="仿宋" w:cs="Times New Roman"/>
          <w:color w:val="auto"/>
        </w:rPr>
      </w:pPr>
      <w:bookmarkStart w:id="670" w:name="_Toc19939"/>
      <w:bookmarkEnd w:id="670"/>
      <w:bookmarkStart w:id="671" w:name="_Toc28894"/>
      <w:bookmarkEnd w:id="671"/>
      <w:bookmarkStart w:id="672" w:name="_Toc32108"/>
      <w:bookmarkEnd w:id="672"/>
      <w:bookmarkStart w:id="673" w:name="_Toc26378"/>
      <w:bookmarkEnd w:id="673"/>
      <w:bookmarkStart w:id="674" w:name="_Toc17687"/>
      <w:bookmarkEnd w:id="674"/>
      <w:bookmarkStart w:id="675" w:name="_Toc25013"/>
      <w:bookmarkEnd w:id="675"/>
      <w:bookmarkStart w:id="676" w:name="_Toc1167"/>
      <w:bookmarkEnd w:id="676"/>
      <w:bookmarkStart w:id="677" w:name="_Toc12655"/>
      <w:bookmarkEnd w:id="677"/>
      <w:bookmarkStart w:id="678" w:name="_Toc4366"/>
      <w:bookmarkEnd w:id="678"/>
      <w:bookmarkStart w:id="679" w:name="_Toc26064"/>
      <w:bookmarkEnd w:id="679"/>
      <w:bookmarkStart w:id="680" w:name="_Toc19165"/>
      <w:bookmarkEnd w:id="680"/>
      <w:bookmarkStart w:id="681" w:name="_Toc23035"/>
      <w:bookmarkEnd w:id="681"/>
      <w:bookmarkStart w:id="682" w:name="_Toc15939"/>
      <w:bookmarkEnd w:id="682"/>
      <w:bookmarkStart w:id="683" w:name="_Toc29952"/>
      <w:bookmarkEnd w:id="683"/>
      <w:bookmarkStart w:id="684" w:name="_Toc5204"/>
      <w:bookmarkEnd w:id="684"/>
      <w:bookmarkStart w:id="685" w:name="_Toc31044"/>
      <w:bookmarkEnd w:id="685"/>
      <w:bookmarkStart w:id="686" w:name="_Toc4834"/>
      <w:bookmarkEnd w:id="686"/>
      <w:bookmarkStart w:id="687" w:name="_Toc30414"/>
      <w:bookmarkEnd w:id="687"/>
      <w:bookmarkStart w:id="688" w:name="_Toc14176"/>
      <w:bookmarkEnd w:id="688"/>
      <w:bookmarkStart w:id="689" w:name="_Toc32493"/>
      <w:bookmarkEnd w:id="689"/>
      <w:bookmarkStart w:id="690" w:name="_Toc16590"/>
      <w:bookmarkEnd w:id="690"/>
      <w:r>
        <w:rPr>
          <w:rFonts w:hint="eastAsia" w:ascii="仿宋" w:hAnsi="仿宋" w:eastAsia="仿宋" w:cs="仿宋"/>
          <w:color w:val="auto"/>
        </w:rPr>
        <w:t>一、投标函格式</w:t>
      </w:r>
    </w:p>
    <w:p w14:paraId="317E0CA5">
      <w:pPr>
        <w:pStyle w:val="62"/>
        <w:outlineLvl w:val="9"/>
        <w:rPr>
          <w:rFonts w:ascii="黑体" w:hAnsi="黑体" w:eastAsia="黑体" w:cs="Times New Roman"/>
          <w:b w:val="0"/>
          <w:bCs w:val="0"/>
          <w:color w:val="auto"/>
        </w:rPr>
      </w:pPr>
      <w:bookmarkStart w:id="691" w:name="_Toc7906"/>
      <w:bookmarkEnd w:id="691"/>
      <w:bookmarkStart w:id="692" w:name="_Toc2961"/>
      <w:bookmarkEnd w:id="692"/>
      <w:bookmarkStart w:id="693" w:name="_Toc4061"/>
      <w:bookmarkEnd w:id="693"/>
      <w:bookmarkStart w:id="694" w:name="_Toc12888"/>
      <w:bookmarkEnd w:id="694"/>
      <w:r>
        <w:rPr>
          <w:rFonts w:hint="eastAsia" w:ascii="黑体" w:hAnsi="黑体" w:eastAsia="黑体" w:cs="黑体"/>
          <w:b w:val="0"/>
          <w:bCs w:val="0"/>
          <w:color w:val="auto"/>
        </w:rPr>
        <w:t>投标函</w:t>
      </w:r>
    </w:p>
    <w:p w14:paraId="0975ECCA">
      <w:pPr>
        <w:pStyle w:val="60"/>
        <w:spacing w:line="500" w:lineRule="exact"/>
        <w:ind w:firstLine="0" w:firstLineChars="0"/>
        <w:rPr>
          <w:rFonts w:ascii="仿宋" w:hAnsi="仿宋" w:eastAsia="仿宋" w:cs="Times New Roman"/>
          <w:color w:val="auto"/>
          <w:lang w:val="zh-CN"/>
        </w:rPr>
      </w:pPr>
      <w:r>
        <w:rPr>
          <w:rFonts w:hint="eastAsia" w:ascii="仿宋" w:hAnsi="仿宋" w:eastAsia="仿宋" w:cs="仿宋"/>
          <w:color w:val="auto"/>
          <w:lang w:eastAsia="zh-CN"/>
        </w:rPr>
        <w:t>延安市公共资源交易中心（延安市市直单位政府采购中心）</w:t>
      </w:r>
      <w:r>
        <w:rPr>
          <w:rFonts w:hint="eastAsia" w:ascii="仿宋" w:hAnsi="仿宋" w:eastAsia="仿宋" w:cs="仿宋"/>
          <w:color w:val="auto"/>
          <w:lang w:val="zh-CN"/>
        </w:rPr>
        <w:t>：</w:t>
      </w:r>
    </w:p>
    <w:p w14:paraId="69F33132">
      <w:pPr>
        <w:spacing w:line="500" w:lineRule="exact"/>
        <w:ind w:right="11" w:firstLine="566" w:firstLineChars="200"/>
        <w:rPr>
          <w:rFonts w:ascii="仿宋" w:hAnsi="仿宋" w:eastAsia="仿宋" w:cs="Times New Roman"/>
          <w:color w:val="auto"/>
        </w:rPr>
      </w:pPr>
      <w:r>
        <w:rPr>
          <w:rFonts w:hint="eastAsia" w:ascii="仿宋" w:hAnsi="仿宋" w:eastAsia="仿宋" w:cs="仿宋"/>
          <w:color w:val="auto"/>
        </w:rPr>
        <w:t>我方收到贵中心发布的</w:t>
      </w:r>
      <w:r>
        <w:rPr>
          <w:rFonts w:hint="eastAsia" w:ascii="华文仿宋" w:hAnsi="华文仿宋" w:cs="华文仿宋"/>
          <w:color w:val="auto"/>
        </w:rPr>
        <w:t>《</w:t>
      </w:r>
      <w:r>
        <w:rPr>
          <w:rFonts w:hint="eastAsia" w:ascii="华文仿宋" w:hAnsi="华文仿宋" w:cs="华文仿宋"/>
          <w:color w:val="auto"/>
          <w:u w:val="single"/>
        </w:rPr>
        <w:t>项目名称</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ascii="仿宋" w:hAnsi="仿宋" w:eastAsia="仿宋" w:cs="仿宋"/>
          <w:color w:val="auto"/>
        </w:rPr>
        <w:t>招标文件，经详细研究，我方决定参加该项目第</w:t>
      </w:r>
      <w:r>
        <w:rPr>
          <w:rFonts w:hint="eastAsia" w:ascii="华文仿宋" w:hAnsi="华文仿宋" w:cs="华文仿宋"/>
          <w:color w:val="auto"/>
          <w:u w:val="single"/>
        </w:rPr>
        <w:t xml:space="preserve">    </w:t>
      </w:r>
      <w:r>
        <w:rPr>
          <w:rFonts w:hint="eastAsia" w:ascii="仿宋" w:hAnsi="仿宋" w:eastAsia="仿宋" w:cs="仿宋"/>
          <w:color w:val="auto"/>
        </w:rPr>
        <w:t>标段招标活动。为此，我方郑重声明以下诸点，并负法律责任。</w:t>
      </w:r>
    </w:p>
    <w:p w14:paraId="457D53E8">
      <w:pPr>
        <w:pStyle w:val="60"/>
        <w:spacing w:line="500" w:lineRule="exact"/>
        <w:ind w:firstLine="567"/>
        <w:rPr>
          <w:rFonts w:cs="Times New Roman"/>
          <w:color w:val="auto"/>
        </w:rPr>
      </w:pPr>
      <w:r>
        <w:rPr>
          <w:rFonts w:hint="eastAsia" w:cs="华文仿宋"/>
          <w:color w:val="auto"/>
        </w:rPr>
        <w:t>一、我方已详细阅读了招标文件，完全理解并同意招标文件的所有事项及内容。</w:t>
      </w:r>
    </w:p>
    <w:p w14:paraId="67A361D6">
      <w:pPr>
        <w:pStyle w:val="60"/>
        <w:spacing w:line="500" w:lineRule="exact"/>
        <w:ind w:firstLine="567"/>
        <w:rPr>
          <w:rFonts w:ascii="仿宋" w:hAnsi="仿宋" w:eastAsia="仿宋" w:cs="Times New Roman"/>
          <w:color w:val="auto"/>
        </w:rPr>
      </w:pPr>
      <w:r>
        <w:rPr>
          <w:rFonts w:hint="eastAsia" w:ascii="仿宋" w:hAnsi="仿宋" w:eastAsia="仿宋" w:cs="仿宋"/>
          <w:color w:val="auto"/>
        </w:rPr>
        <w:t>二、我方已悉知并关注了贵方在政府采购信息发布媒体（详见招标文件第二章第三条中的“招标文件的修改、澄清”）上发布的关于本项目的有关变更公告（包括但不限于对招标文件做出的修改或澄清、答疑纪要，以及项目暂停、重启、延期、终止等）。</w:t>
      </w:r>
    </w:p>
    <w:p w14:paraId="57CD18C6">
      <w:pPr>
        <w:pStyle w:val="60"/>
        <w:spacing w:line="500" w:lineRule="exact"/>
        <w:ind w:firstLine="567"/>
        <w:rPr>
          <w:rFonts w:cs="Times New Roman"/>
          <w:color w:val="auto"/>
        </w:rPr>
      </w:pPr>
      <w:r>
        <w:rPr>
          <w:rFonts w:hint="eastAsia" w:cs="华文仿宋"/>
          <w:color w:val="auto"/>
        </w:rPr>
        <w:t>三、</w:t>
      </w:r>
      <w:r>
        <w:rPr>
          <w:rFonts w:hint="eastAsia" w:ascii="仿宋" w:hAnsi="仿宋" w:eastAsia="仿宋" w:cs="仿宋"/>
          <w:color w:val="auto"/>
        </w:rPr>
        <w:t>我方</w:t>
      </w:r>
      <w:r>
        <w:rPr>
          <w:rFonts w:hint="eastAsia" w:cs="华文仿宋"/>
          <w:color w:val="auto"/>
        </w:rPr>
        <w:t>同意向贵方提供与本投标有关的任何证明材料，保证所提交的证明材料真实、合法、有效。我方理解最低价不是中标的唯一条件，并尊重评标委员会的评审结果。</w:t>
      </w:r>
    </w:p>
    <w:p w14:paraId="3D51A26D">
      <w:pPr>
        <w:pStyle w:val="60"/>
        <w:spacing w:line="500" w:lineRule="exact"/>
        <w:ind w:firstLine="567"/>
        <w:rPr>
          <w:rFonts w:cs="Times New Roman"/>
          <w:color w:val="auto"/>
        </w:rPr>
      </w:pPr>
      <w:r>
        <w:rPr>
          <w:rFonts w:hint="eastAsia" w:cs="华文仿宋"/>
          <w:color w:val="auto"/>
        </w:rPr>
        <w:t>四、</w:t>
      </w:r>
      <w:r>
        <w:rPr>
          <w:rFonts w:hint="eastAsia" w:ascii="仿宋" w:hAnsi="仿宋" w:eastAsia="仿宋" w:cs="仿宋"/>
          <w:color w:val="auto"/>
        </w:rPr>
        <w:t>我方</w:t>
      </w:r>
      <w:r>
        <w:rPr>
          <w:rFonts w:hint="eastAsia" w:cs="华文仿宋"/>
          <w:color w:val="auto"/>
        </w:rPr>
        <w:t>愿意按照招标文件中的一切要求，完成本项目</w:t>
      </w:r>
      <w:r>
        <w:rPr>
          <w:rFonts w:hint="eastAsia" w:ascii="仿宋" w:hAnsi="仿宋" w:eastAsia="仿宋" w:cs="仿宋"/>
          <w:color w:val="auto"/>
        </w:rPr>
        <w:t>合同责任和义务</w:t>
      </w:r>
      <w:r>
        <w:rPr>
          <w:rFonts w:hint="eastAsia" w:cs="华文仿宋"/>
          <w:color w:val="auto"/>
        </w:rPr>
        <w:t>。</w:t>
      </w:r>
    </w:p>
    <w:p w14:paraId="750F1E01">
      <w:pPr>
        <w:pStyle w:val="25"/>
        <w:wordWrap w:val="0"/>
        <w:spacing w:beforeAutospacing="0" w:afterAutospacing="0" w:line="500" w:lineRule="exact"/>
        <w:ind w:firstLine="566" w:firstLineChars="200"/>
        <w:rPr>
          <w:rFonts w:cs="华文仿宋"/>
          <w:color w:val="auto"/>
          <w:kern w:val="2"/>
          <w:sz w:val="28"/>
          <w:szCs w:val="28"/>
        </w:rPr>
      </w:pPr>
      <w:r>
        <w:rPr>
          <w:rFonts w:hint="eastAsia" w:cs="华文仿宋"/>
          <w:color w:val="auto"/>
          <w:kern w:val="2"/>
          <w:sz w:val="28"/>
          <w:szCs w:val="28"/>
        </w:rPr>
        <w:t>五、按招标文件的规定，完成本项目采购内容并验收合格的投标报价以开标一览表为准。</w:t>
      </w:r>
    </w:p>
    <w:p w14:paraId="21A71912">
      <w:pPr>
        <w:pStyle w:val="25"/>
        <w:wordWrap w:val="0"/>
        <w:spacing w:beforeAutospacing="0" w:afterAutospacing="0" w:line="500" w:lineRule="exact"/>
        <w:ind w:firstLine="566" w:firstLineChars="200"/>
        <w:rPr>
          <w:rFonts w:cs="Times New Roman"/>
          <w:color w:val="auto"/>
          <w:kern w:val="2"/>
          <w:sz w:val="28"/>
          <w:szCs w:val="28"/>
        </w:rPr>
      </w:pPr>
      <w:r>
        <w:rPr>
          <w:rFonts w:hint="eastAsia" w:cs="华文仿宋"/>
          <w:color w:val="auto"/>
          <w:kern w:val="2"/>
          <w:sz w:val="28"/>
          <w:szCs w:val="28"/>
        </w:rPr>
        <w:t>六、我方提交的</w:t>
      </w:r>
      <w:r>
        <w:rPr>
          <w:rFonts w:hint="eastAsia" w:cs="华文仿宋"/>
          <w:b/>
          <w:bCs/>
          <w:color w:val="auto"/>
          <w:kern w:val="2"/>
          <w:sz w:val="28"/>
          <w:szCs w:val="28"/>
        </w:rPr>
        <w:t>电子投标文件</w:t>
      </w:r>
      <w:r>
        <w:rPr>
          <w:rFonts w:hint="eastAsia" w:ascii="仿宋" w:hAnsi="仿宋" w:eastAsia="仿宋" w:cs="仿宋"/>
          <w:b/>
          <w:bCs/>
          <w:color w:val="auto"/>
          <w:kern w:val="2"/>
          <w:sz w:val="28"/>
          <w:szCs w:val="28"/>
          <w:u w:val="single"/>
        </w:rPr>
        <w:t>1</w:t>
      </w:r>
      <w:r>
        <w:rPr>
          <w:rFonts w:hint="eastAsia" w:cs="华文仿宋"/>
          <w:b/>
          <w:bCs/>
          <w:color w:val="auto"/>
          <w:kern w:val="2"/>
          <w:sz w:val="28"/>
          <w:szCs w:val="28"/>
        </w:rPr>
        <w:t>份。</w:t>
      </w:r>
    </w:p>
    <w:p w14:paraId="0BDE7650">
      <w:pPr>
        <w:pStyle w:val="60"/>
        <w:spacing w:line="500" w:lineRule="exact"/>
        <w:ind w:firstLine="567"/>
        <w:rPr>
          <w:rFonts w:cs="Times New Roman"/>
          <w:color w:val="auto"/>
        </w:rPr>
      </w:pPr>
      <w:r>
        <w:rPr>
          <w:rFonts w:hint="eastAsia" w:cs="华文仿宋"/>
          <w:color w:val="auto"/>
        </w:rPr>
        <w:t>七、开标后在规定的投标有效期内撤回投标，我们愿接受政府采购的有关处罚决定。</w:t>
      </w:r>
    </w:p>
    <w:p w14:paraId="63A4359C">
      <w:pPr>
        <w:autoSpaceDE w:val="0"/>
        <w:autoSpaceDN w:val="0"/>
        <w:adjustRightInd w:val="0"/>
        <w:spacing w:line="500" w:lineRule="exact"/>
        <w:ind w:firstLine="566" w:firstLineChars="200"/>
        <w:rPr>
          <w:rFonts w:cs="Times New Roman"/>
          <w:color w:val="auto"/>
        </w:rPr>
      </w:pPr>
      <w:r>
        <w:rPr>
          <w:rFonts w:hint="eastAsia" w:cs="华文仿宋"/>
          <w:color w:val="auto"/>
        </w:rPr>
        <w:t>八、我方的投标文件在开标之日起</w:t>
      </w:r>
      <w:r>
        <w:rPr>
          <w:rFonts w:hint="eastAsia" w:ascii="仿宋" w:hAnsi="仿宋" w:eastAsia="仿宋" w:cs="仿宋"/>
          <w:b/>
          <w:bCs/>
          <w:color w:val="auto"/>
          <w:u w:val="single"/>
        </w:rPr>
        <w:t>90</w:t>
      </w:r>
      <w:r>
        <w:rPr>
          <w:rFonts w:hint="eastAsia" w:cs="华文仿宋"/>
          <w:color w:val="auto"/>
        </w:rPr>
        <w:t>个日历日内有效，如中标，延长至合同执行完毕时止。</w:t>
      </w:r>
    </w:p>
    <w:p w14:paraId="30AB7388">
      <w:pPr>
        <w:pStyle w:val="60"/>
        <w:spacing w:line="500" w:lineRule="exact"/>
        <w:ind w:firstLine="567"/>
        <w:rPr>
          <w:rFonts w:cs="Times New Roman"/>
          <w:color w:val="auto"/>
        </w:rPr>
      </w:pPr>
      <w:r>
        <w:rPr>
          <w:rFonts w:hint="eastAsia" w:cs="华文仿宋"/>
          <w:color w:val="auto"/>
        </w:rPr>
        <w:t>九、所有关于此次招标活动的函电，请按下列地址联系：</w:t>
      </w:r>
    </w:p>
    <w:p w14:paraId="3D8A1CA8">
      <w:pPr>
        <w:pStyle w:val="60"/>
        <w:spacing w:line="500" w:lineRule="exact"/>
        <w:ind w:firstLine="0" w:firstLineChars="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33DF7E5E">
      <w:pPr>
        <w:pStyle w:val="60"/>
        <w:spacing w:line="500" w:lineRule="exact"/>
        <w:ind w:firstLine="567"/>
        <w:rPr>
          <w:rFonts w:cs="Times New Roman"/>
          <w:color w:val="auto"/>
        </w:rPr>
      </w:pPr>
      <w:r>
        <w:rPr>
          <w:rFonts w:hint="eastAsia" w:cs="华文仿宋"/>
          <w:color w:val="auto"/>
        </w:rPr>
        <w:t>地址：</w:t>
      </w:r>
    </w:p>
    <w:p w14:paraId="2A59B45B">
      <w:pPr>
        <w:pStyle w:val="60"/>
        <w:spacing w:line="500" w:lineRule="exact"/>
        <w:ind w:firstLine="567"/>
        <w:rPr>
          <w:rFonts w:cs="Times New Roman"/>
          <w:color w:val="auto"/>
        </w:rPr>
      </w:pPr>
      <w:r>
        <w:rPr>
          <w:rFonts w:hint="eastAsia" w:cs="华文仿宋"/>
          <w:color w:val="auto"/>
        </w:rPr>
        <w:t>开户银行：</w:t>
      </w:r>
    </w:p>
    <w:p w14:paraId="00AA42E4">
      <w:pPr>
        <w:pStyle w:val="60"/>
        <w:spacing w:line="500" w:lineRule="exact"/>
        <w:ind w:firstLine="567"/>
        <w:rPr>
          <w:rFonts w:cs="Times New Roman"/>
          <w:color w:val="auto"/>
        </w:rPr>
      </w:pPr>
      <w:r>
        <w:rPr>
          <w:rFonts w:hint="eastAsia" w:cs="华文仿宋"/>
          <w:color w:val="auto"/>
        </w:rPr>
        <w:t>账号：</w:t>
      </w:r>
    </w:p>
    <w:p w14:paraId="67DCD4DE">
      <w:pPr>
        <w:pStyle w:val="60"/>
        <w:spacing w:line="500" w:lineRule="exact"/>
        <w:ind w:firstLine="567"/>
        <w:rPr>
          <w:rFonts w:cs="Times New Roman"/>
          <w:color w:val="auto"/>
        </w:rPr>
      </w:pPr>
      <w:r>
        <w:rPr>
          <w:rFonts w:hint="eastAsia" w:cs="华文仿宋"/>
          <w:color w:val="auto"/>
        </w:rPr>
        <w:t>电话：</w:t>
      </w:r>
    </w:p>
    <w:p w14:paraId="4CE75619">
      <w:pPr>
        <w:pStyle w:val="60"/>
        <w:spacing w:line="500" w:lineRule="exact"/>
        <w:ind w:firstLine="567"/>
        <w:rPr>
          <w:rFonts w:cs="Times New Roman"/>
          <w:color w:val="auto"/>
        </w:rPr>
      </w:pPr>
      <w:r>
        <w:rPr>
          <w:rFonts w:hint="eastAsia" w:cs="华文仿宋"/>
          <w:color w:val="auto"/>
        </w:rPr>
        <w:t>传真：</w:t>
      </w:r>
    </w:p>
    <w:p w14:paraId="0AD7B4B9">
      <w:pPr>
        <w:pStyle w:val="60"/>
        <w:spacing w:line="500" w:lineRule="exact"/>
        <w:ind w:firstLine="567"/>
        <w:rPr>
          <w:rFonts w:cs="Times New Roman"/>
          <w:color w:val="auto"/>
        </w:rPr>
      </w:pPr>
      <w:r>
        <w:rPr>
          <w:rFonts w:hint="eastAsia" w:cs="华文仿宋"/>
          <w:color w:val="auto"/>
        </w:rPr>
        <w:t>邮编：</w:t>
      </w:r>
    </w:p>
    <w:p w14:paraId="55534A1D">
      <w:pPr>
        <w:pStyle w:val="60"/>
        <w:spacing w:line="500" w:lineRule="exact"/>
        <w:ind w:firstLine="567"/>
        <w:rPr>
          <w:rFonts w:cs="Times New Roman"/>
          <w:color w:val="auto"/>
        </w:rPr>
      </w:pPr>
      <w:r>
        <w:rPr>
          <w:rFonts w:hint="eastAsia" w:cs="华文仿宋"/>
          <w:color w:val="auto"/>
        </w:rPr>
        <w:t>电子邮箱：</w:t>
      </w:r>
    </w:p>
    <w:p w14:paraId="16E43E10">
      <w:pPr>
        <w:pStyle w:val="60"/>
        <w:spacing w:line="500" w:lineRule="exact"/>
        <w:ind w:firstLine="567"/>
        <w:rPr>
          <w:rFonts w:cs="Times New Roman"/>
          <w:color w:val="auto"/>
        </w:rPr>
      </w:pPr>
      <w:r>
        <w:rPr>
          <w:rFonts w:hint="eastAsia" w:cs="华文仿宋"/>
          <w:color w:val="auto"/>
        </w:rPr>
        <w:t>日期：　　年　月　日</w:t>
      </w:r>
    </w:p>
    <w:p w14:paraId="240B1B44">
      <w:pPr>
        <w:pStyle w:val="60"/>
        <w:ind w:firstLine="0" w:firstLineChars="0"/>
        <w:rPr>
          <w:rFonts w:cs="Times New Roman"/>
          <w:color w:val="auto"/>
          <w:sz w:val="36"/>
          <w:szCs w:val="36"/>
        </w:rPr>
      </w:pPr>
    </w:p>
    <w:p w14:paraId="46D9BC32">
      <w:pPr>
        <w:pStyle w:val="60"/>
        <w:ind w:firstLine="0" w:firstLineChars="0"/>
        <w:rPr>
          <w:rFonts w:cs="Times New Roman"/>
          <w:color w:val="auto"/>
          <w:sz w:val="36"/>
          <w:szCs w:val="36"/>
        </w:rPr>
      </w:pPr>
    </w:p>
    <w:p w14:paraId="52D74AC7">
      <w:pPr>
        <w:pStyle w:val="60"/>
        <w:ind w:firstLine="0" w:firstLineChars="0"/>
        <w:rPr>
          <w:rFonts w:cs="Times New Roman"/>
          <w:color w:val="auto"/>
          <w:sz w:val="36"/>
          <w:szCs w:val="36"/>
        </w:rPr>
      </w:pPr>
    </w:p>
    <w:p w14:paraId="4B2265A1">
      <w:pPr>
        <w:pStyle w:val="60"/>
        <w:ind w:firstLine="0" w:firstLineChars="0"/>
        <w:rPr>
          <w:rFonts w:ascii="宋体" w:hAnsi="宋体" w:eastAsia="宋体" w:cs="Times New Roman"/>
          <w:color w:val="auto"/>
          <w:sz w:val="21"/>
          <w:szCs w:val="21"/>
        </w:rPr>
      </w:pPr>
      <w:r>
        <w:rPr>
          <w:rFonts w:hint="eastAsia" w:ascii="宋体" w:hAnsi="宋体" w:eastAsia="宋体" w:cs="宋体"/>
          <w:color w:val="auto"/>
          <w:sz w:val="21"/>
          <w:szCs w:val="21"/>
        </w:rPr>
        <w:t>备注：</w:t>
      </w:r>
      <w:r>
        <w:rPr>
          <w:rFonts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0DB44A53">
      <w:pPr>
        <w:pStyle w:val="60"/>
        <w:ind w:firstLine="639" w:firstLineChars="300"/>
        <w:rPr>
          <w:rFonts w:ascii="宋体" w:hAnsi="宋体" w:eastAsia="宋体" w:cs="Times New Roman"/>
          <w:color w:val="auto"/>
          <w:sz w:val="21"/>
          <w:szCs w:val="21"/>
        </w:rPr>
      </w:pPr>
      <w:r>
        <w:rPr>
          <w:rFonts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除可填报项目外，对本投标函的任何实质性内容修改将被视为非实质性响应，在评审时将其视为无效响应。</w:t>
      </w:r>
    </w:p>
    <w:p w14:paraId="57044407">
      <w:pPr>
        <w:pStyle w:val="60"/>
        <w:ind w:firstLine="0" w:firstLineChars="0"/>
        <w:rPr>
          <w:rFonts w:ascii="黑体" w:hAnsi="黑体" w:eastAsia="黑体" w:cs="Times New Roman"/>
          <w:color w:val="auto"/>
          <w:sz w:val="32"/>
          <w:szCs w:val="32"/>
        </w:rPr>
      </w:pPr>
    </w:p>
    <w:p w14:paraId="18550B9C">
      <w:pPr>
        <w:pStyle w:val="60"/>
        <w:ind w:firstLine="0" w:firstLineChars="0"/>
        <w:rPr>
          <w:rFonts w:ascii="黑体" w:hAnsi="黑体" w:eastAsia="黑体" w:cs="Times New Roman"/>
          <w:color w:val="auto"/>
          <w:sz w:val="32"/>
          <w:szCs w:val="32"/>
        </w:rPr>
      </w:pPr>
    </w:p>
    <w:p w14:paraId="35FB0742">
      <w:pPr>
        <w:pStyle w:val="60"/>
        <w:ind w:firstLine="0" w:firstLineChars="0"/>
        <w:rPr>
          <w:rFonts w:ascii="黑体" w:hAnsi="黑体" w:eastAsia="黑体" w:cs="Times New Roman"/>
          <w:color w:val="auto"/>
          <w:sz w:val="32"/>
          <w:szCs w:val="32"/>
        </w:rPr>
      </w:pPr>
    </w:p>
    <w:p w14:paraId="76BF8C6F">
      <w:pPr>
        <w:pStyle w:val="60"/>
        <w:ind w:firstLine="0" w:firstLineChars="0"/>
        <w:rPr>
          <w:rFonts w:ascii="黑体" w:hAnsi="黑体" w:eastAsia="黑体" w:cs="Times New Roman"/>
          <w:color w:val="auto"/>
          <w:sz w:val="32"/>
          <w:szCs w:val="32"/>
        </w:rPr>
      </w:pPr>
    </w:p>
    <w:p w14:paraId="71F3BC3A">
      <w:pPr>
        <w:pStyle w:val="60"/>
        <w:ind w:firstLine="0" w:firstLineChars="0"/>
        <w:rPr>
          <w:rFonts w:ascii="黑体" w:hAnsi="黑体" w:eastAsia="黑体" w:cs="Times New Roman"/>
          <w:color w:val="auto"/>
          <w:sz w:val="32"/>
          <w:szCs w:val="32"/>
        </w:rPr>
      </w:pPr>
    </w:p>
    <w:p w14:paraId="03FAE9A4">
      <w:pPr>
        <w:pStyle w:val="60"/>
        <w:ind w:firstLine="0" w:firstLineChars="0"/>
        <w:rPr>
          <w:rFonts w:ascii="黑体" w:hAnsi="黑体" w:eastAsia="黑体" w:cs="Times New Roman"/>
          <w:color w:val="auto"/>
          <w:sz w:val="32"/>
          <w:szCs w:val="32"/>
        </w:rPr>
      </w:pPr>
    </w:p>
    <w:p w14:paraId="042F11B6">
      <w:pPr>
        <w:pStyle w:val="60"/>
        <w:ind w:firstLine="0" w:firstLineChars="0"/>
        <w:rPr>
          <w:rFonts w:ascii="黑体" w:hAnsi="黑体" w:eastAsia="黑体" w:cs="Times New Roman"/>
          <w:color w:val="auto"/>
          <w:sz w:val="32"/>
          <w:szCs w:val="32"/>
        </w:rPr>
      </w:pPr>
    </w:p>
    <w:p w14:paraId="575D7FBB">
      <w:pPr>
        <w:rPr>
          <w:rFonts w:ascii="仿宋" w:hAnsi="仿宋" w:eastAsia="仿宋" w:cs="仿宋"/>
          <w:color w:val="auto"/>
        </w:rPr>
      </w:pPr>
      <w:bookmarkStart w:id="695" w:name="_Toc14393"/>
      <w:bookmarkStart w:id="696" w:name="_Toc11189"/>
      <w:bookmarkStart w:id="697" w:name="_Toc26017"/>
      <w:bookmarkStart w:id="698" w:name="_Toc28505"/>
      <w:bookmarkStart w:id="699" w:name="_Toc12270"/>
      <w:bookmarkStart w:id="700" w:name="_Toc13551"/>
      <w:bookmarkStart w:id="701" w:name="_Toc8061"/>
      <w:bookmarkStart w:id="702" w:name="_Toc23720"/>
      <w:bookmarkStart w:id="703" w:name="_Toc6164"/>
      <w:bookmarkStart w:id="704" w:name="_Toc15271"/>
      <w:bookmarkStart w:id="705" w:name="_Toc5708"/>
      <w:bookmarkStart w:id="706" w:name="_Toc28620"/>
      <w:bookmarkStart w:id="707" w:name="_Toc5710"/>
      <w:bookmarkStart w:id="708" w:name="_Toc27965"/>
      <w:bookmarkStart w:id="709" w:name="_Toc29376"/>
      <w:bookmarkStart w:id="710" w:name="_Toc28261"/>
      <w:bookmarkStart w:id="711" w:name="_Toc5247"/>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14:paraId="310709AF">
      <w:pPr>
        <w:pStyle w:val="62"/>
        <w:jc w:val="both"/>
        <w:outlineLvl w:val="2"/>
        <w:rPr>
          <w:rFonts w:ascii="仿宋" w:hAnsi="仿宋" w:eastAsia="仿宋" w:cs="Times New Roman"/>
          <w:color w:val="auto"/>
        </w:rPr>
      </w:pPr>
      <w:bookmarkStart w:id="712" w:name="_Toc3862"/>
      <w:bookmarkEnd w:id="712"/>
      <w:bookmarkStart w:id="713" w:name="_Toc10442"/>
      <w:bookmarkEnd w:id="713"/>
      <w:bookmarkStart w:id="714" w:name="_Toc7804"/>
      <w:bookmarkEnd w:id="714"/>
      <w:bookmarkStart w:id="715" w:name="_Toc2793"/>
      <w:bookmarkEnd w:id="715"/>
      <w:r>
        <w:rPr>
          <w:rFonts w:hint="eastAsia" w:ascii="仿宋" w:hAnsi="仿宋" w:eastAsia="仿宋" w:cs="仿宋"/>
          <w:color w:val="auto"/>
        </w:rPr>
        <w:br w:type="page"/>
      </w:r>
      <w:r>
        <w:rPr>
          <w:rFonts w:hint="eastAsia" w:ascii="仿宋" w:hAnsi="仿宋" w:eastAsia="仿宋" w:cs="仿宋"/>
          <w:color w:val="auto"/>
        </w:rPr>
        <w:t>二、开标一览表</w:t>
      </w:r>
    </w:p>
    <w:p w14:paraId="4AD14E7C">
      <w:pPr>
        <w:spacing w:line="600" w:lineRule="exact"/>
        <w:jc w:val="left"/>
        <w:rPr>
          <w:rFonts w:cs="Times New Roman"/>
          <w:color w:val="auto"/>
        </w:rPr>
      </w:pPr>
      <w:r>
        <w:rPr>
          <w:rFonts w:hint="eastAsia" w:cs="华文仿宋"/>
          <w:color w:val="auto"/>
        </w:rPr>
        <w:t>项目编号：</w:t>
      </w:r>
    </w:p>
    <w:p w14:paraId="1B62BE2A">
      <w:pPr>
        <w:spacing w:line="600" w:lineRule="exact"/>
        <w:jc w:val="left"/>
        <w:rPr>
          <w:rFonts w:hint="eastAsia" w:cs="华文仿宋"/>
          <w:color w:val="auto"/>
        </w:rPr>
      </w:pPr>
      <w:r>
        <w:rPr>
          <w:rFonts w:hint="eastAsia" w:cs="华文仿宋"/>
          <w:color w:val="auto"/>
        </w:rPr>
        <w:t>项目名称：</w:t>
      </w:r>
    </w:p>
    <w:p w14:paraId="785B2220">
      <w:pPr>
        <w:spacing w:line="440" w:lineRule="exact"/>
        <w:ind w:right="560"/>
        <w:jc w:val="right"/>
        <w:rPr>
          <w:rFonts w:ascii="仿宋" w:hAnsi="仿宋" w:eastAsia="仿宋" w:cs="Times New Roman"/>
          <w:color w:val="auto"/>
          <w:sz w:val="24"/>
          <w:szCs w:val="24"/>
        </w:rPr>
      </w:pPr>
    </w:p>
    <w:tbl>
      <w:tblPr>
        <w:tblStyle w:val="29"/>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865"/>
        <w:gridCol w:w="5752"/>
      </w:tblGrid>
      <w:tr w14:paraId="3D44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865" w:type="dxa"/>
            <w:noWrap/>
            <w:vAlign w:val="center"/>
          </w:tcPr>
          <w:p w14:paraId="7089FDD9">
            <w:pPr>
              <w:pStyle w:val="7"/>
              <w:spacing w:line="360" w:lineRule="auto"/>
              <w:ind w:firstLine="0"/>
              <w:jc w:val="center"/>
              <w:rPr>
                <w:rFonts w:ascii="宋体" w:eastAsia="宋体" w:cs="Times New Roman"/>
                <w:color w:val="auto"/>
              </w:rPr>
            </w:pPr>
          </w:p>
        </w:tc>
        <w:tc>
          <w:tcPr>
            <w:tcW w:w="5752" w:type="dxa"/>
            <w:noWrap/>
            <w:vAlign w:val="center"/>
          </w:tcPr>
          <w:p w14:paraId="26EF3F4D">
            <w:pPr>
              <w:autoSpaceDE w:val="0"/>
              <w:autoSpaceDN w:val="0"/>
              <w:spacing w:line="360" w:lineRule="auto"/>
              <w:jc w:val="center"/>
              <w:rPr>
                <w:rFonts w:ascii="宋体" w:eastAsia="宋体" w:cs="Times New Roman"/>
                <w:color w:val="auto"/>
                <w:kern w:val="0"/>
                <w:lang w:val="zh-CN"/>
              </w:rPr>
            </w:pPr>
            <w:r>
              <w:rPr>
                <w:rFonts w:hint="eastAsia" w:ascii="宋体" w:hAnsi="宋体" w:cs="华文仿宋"/>
                <w:color w:val="auto"/>
                <w:kern w:val="0"/>
                <w:lang w:val="zh-CN"/>
              </w:rPr>
              <w:t>内容</w:t>
            </w:r>
          </w:p>
        </w:tc>
      </w:tr>
      <w:tr w14:paraId="6DD6A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14" w:hRule="atLeast"/>
          <w:jc w:val="center"/>
        </w:trPr>
        <w:tc>
          <w:tcPr>
            <w:tcW w:w="2865" w:type="dxa"/>
            <w:noWrap/>
            <w:vAlign w:val="center"/>
          </w:tcPr>
          <w:p w14:paraId="314DBBA6">
            <w:pPr>
              <w:pStyle w:val="7"/>
              <w:spacing w:line="360" w:lineRule="auto"/>
              <w:ind w:firstLine="0"/>
              <w:jc w:val="center"/>
              <w:rPr>
                <w:rFonts w:ascii="宋体" w:eastAsia="宋体" w:cs="Times New Roman"/>
                <w:color w:val="auto"/>
              </w:rPr>
            </w:pPr>
            <w:r>
              <w:rPr>
                <w:rFonts w:hint="eastAsia" w:ascii="宋体" w:hAnsi="宋体" w:cs="华文仿宋"/>
                <w:color w:val="auto"/>
              </w:rPr>
              <w:t>投标报价</w:t>
            </w:r>
          </w:p>
        </w:tc>
        <w:tc>
          <w:tcPr>
            <w:tcW w:w="5752" w:type="dxa"/>
            <w:noWrap/>
            <w:vAlign w:val="center"/>
          </w:tcPr>
          <w:p w14:paraId="0947C59C">
            <w:pPr>
              <w:autoSpaceDE w:val="0"/>
              <w:autoSpaceDN w:val="0"/>
              <w:spacing w:line="360" w:lineRule="auto"/>
              <w:rPr>
                <w:rFonts w:ascii="宋体" w:hAnsi="宋体" w:cs="华文仿宋"/>
                <w:color w:val="auto"/>
                <w:kern w:val="0"/>
                <w:lang w:val="zh-CN"/>
              </w:rPr>
            </w:pPr>
          </w:p>
          <w:p w14:paraId="54BD9B1B">
            <w:pPr>
              <w:autoSpaceDE w:val="0"/>
              <w:autoSpaceDN w:val="0"/>
              <w:spacing w:line="360" w:lineRule="auto"/>
              <w:rPr>
                <w:rFonts w:hint="eastAsia" w:ascii="宋体" w:hAnsi="宋体" w:cs="华文仿宋"/>
                <w:color w:val="auto"/>
                <w:kern w:val="0"/>
                <w:lang w:val="zh-CN"/>
              </w:rPr>
            </w:pPr>
            <w:r>
              <w:rPr>
                <w:rFonts w:hint="eastAsia" w:ascii="宋体" w:hAnsi="宋体" w:cs="华文仿宋"/>
                <w:color w:val="auto"/>
                <w:kern w:val="0"/>
                <w:lang w:val="zh-CN"/>
              </w:rPr>
              <w:t>小写：</w:t>
            </w:r>
          </w:p>
          <w:p w14:paraId="40FBA305">
            <w:pPr>
              <w:autoSpaceDE w:val="0"/>
              <w:autoSpaceDN w:val="0"/>
              <w:spacing w:line="360" w:lineRule="auto"/>
              <w:rPr>
                <w:rFonts w:hint="eastAsia" w:ascii="宋体" w:hAnsi="宋体" w:cs="华文仿宋"/>
                <w:color w:val="auto"/>
                <w:kern w:val="0"/>
                <w:lang w:val="en-US" w:eastAsia="zh-CN"/>
              </w:rPr>
            </w:pPr>
            <w:r>
              <w:rPr>
                <w:rFonts w:hint="eastAsia" w:ascii="宋体" w:hAnsi="宋体" w:cs="华文仿宋"/>
                <w:color w:val="auto"/>
                <w:kern w:val="0"/>
                <w:lang w:val="en-US" w:eastAsia="zh-CN"/>
              </w:rPr>
              <w:t>大写：</w:t>
            </w:r>
          </w:p>
          <w:p w14:paraId="65E9DCF8">
            <w:pPr>
              <w:autoSpaceDE w:val="0"/>
              <w:autoSpaceDN w:val="0"/>
              <w:spacing w:line="360" w:lineRule="auto"/>
              <w:ind w:firstLine="4374" w:firstLineChars="1800"/>
              <w:rPr>
                <w:rFonts w:ascii="宋体" w:eastAsia="宋体" w:cs="Times New Roman"/>
                <w:color w:val="auto"/>
                <w:kern w:val="0"/>
                <w:lang w:val="zh-CN"/>
              </w:rPr>
            </w:pPr>
            <w:r>
              <w:rPr>
                <w:rFonts w:hint="eastAsia" w:ascii="仿宋" w:hAnsi="仿宋" w:eastAsia="仿宋" w:cs="仿宋"/>
                <w:color w:val="auto"/>
                <w:sz w:val="24"/>
                <w:szCs w:val="24"/>
              </w:rPr>
              <w:t>单位：元</w:t>
            </w:r>
          </w:p>
        </w:tc>
      </w:tr>
    </w:tbl>
    <w:p w14:paraId="22232D7F">
      <w:pPr>
        <w:autoSpaceDE w:val="0"/>
        <w:autoSpaceDN w:val="0"/>
        <w:spacing w:line="240" w:lineRule="auto"/>
        <w:ind w:firstLine="213" w:firstLineChars="100"/>
        <w:rPr>
          <w:rFonts w:hint="eastAsia" w:ascii="宋体" w:hAnsi="宋体" w:eastAsia="宋体" w:cs="宋体"/>
          <w:color w:val="auto"/>
          <w:kern w:val="0"/>
          <w:sz w:val="21"/>
          <w:szCs w:val="21"/>
        </w:rPr>
      </w:pPr>
    </w:p>
    <w:p w14:paraId="2486F1C7">
      <w:pPr>
        <w:spacing w:line="600" w:lineRule="exact"/>
        <w:jc w:val="left"/>
        <w:rPr>
          <w:rFonts w:hint="eastAsia" w:cs="华文仿宋"/>
          <w:color w:val="auto"/>
        </w:rPr>
      </w:pPr>
      <w:r>
        <w:rPr>
          <w:rFonts w:hint="eastAsia" w:cs="华文仿宋"/>
          <w:color w:val="auto"/>
        </w:rPr>
        <w:t>供应商：</w:t>
      </w:r>
      <w:r>
        <w:rPr>
          <w:rFonts w:hint="eastAsia" w:cs="华文仿宋"/>
          <w:color w:val="auto"/>
          <w:u w:val="single"/>
          <w:lang w:val="en-US" w:eastAsia="zh-CN"/>
        </w:rPr>
        <w:t xml:space="preserve">        </w:t>
      </w:r>
      <w:r>
        <w:rPr>
          <w:rFonts w:hint="eastAsia" w:ascii="华文仿宋" w:hAnsi="华文仿宋" w:cs="华文仿宋"/>
          <w:color w:val="auto"/>
          <w:u w:val="single"/>
        </w:rPr>
        <w:t>名称</w:t>
      </w:r>
      <w:r>
        <w:rPr>
          <w:rFonts w:hint="eastAsia" w:cs="华文仿宋"/>
          <w:color w:val="auto"/>
          <w:u w:val="single"/>
          <w:lang w:val="en-US" w:eastAsia="zh-CN"/>
        </w:rPr>
        <w:t xml:space="preserve">         </w:t>
      </w:r>
      <w:r>
        <w:rPr>
          <w:rFonts w:hint="eastAsia" w:cs="华文仿宋"/>
          <w:color w:val="auto"/>
        </w:rPr>
        <w:t>（加盖公章）</w:t>
      </w:r>
    </w:p>
    <w:p w14:paraId="3412989C">
      <w:pPr>
        <w:spacing w:line="600" w:lineRule="exact"/>
        <w:jc w:val="left"/>
        <w:rPr>
          <w:rFonts w:hint="eastAsia" w:cs="华文仿宋"/>
          <w:color w:val="auto"/>
        </w:rPr>
      </w:pPr>
      <w:r>
        <w:rPr>
          <w:rFonts w:hint="eastAsia" w:cs="华文仿宋"/>
          <w:color w:val="auto"/>
        </w:rPr>
        <w:t>日 </w:t>
      </w:r>
      <w:r>
        <w:rPr>
          <w:rFonts w:hint="eastAsia" w:cs="华文仿宋"/>
          <w:color w:val="auto"/>
          <w:lang w:val="en-US" w:eastAsia="zh-CN"/>
        </w:rPr>
        <w:t xml:space="preserve">  </w:t>
      </w:r>
      <w:r>
        <w:rPr>
          <w:rFonts w:hint="eastAsia" w:cs="华文仿宋"/>
          <w:color w:val="auto"/>
        </w:rPr>
        <w:t>期：</w:t>
      </w:r>
      <w:r>
        <w:rPr>
          <w:rFonts w:hint="eastAsia" w:cs="华文仿宋"/>
          <w:color w:val="auto"/>
          <w:lang w:val="en-US" w:eastAsia="zh-CN"/>
        </w:rPr>
        <w:t xml:space="preserve">       </w:t>
      </w:r>
      <w:r>
        <w:rPr>
          <w:rFonts w:hint="eastAsia" w:cs="华文仿宋"/>
          <w:color w:val="auto"/>
        </w:rPr>
        <w:t>年</w:t>
      </w:r>
      <w:r>
        <w:rPr>
          <w:rFonts w:hint="eastAsia" w:cs="华文仿宋"/>
          <w:color w:val="auto"/>
          <w:lang w:val="en-US" w:eastAsia="zh-CN"/>
        </w:rPr>
        <w:t xml:space="preserve">    </w:t>
      </w:r>
      <w:r>
        <w:rPr>
          <w:rFonts w:hint="eastAsia" w:cs="华文仿宋"/>
          <w:color w:val="auto"/>
        </w:rPr>
        <w:t>　月　</w:t>
      </w:r>
      <w:r>
        <w:rPr>
          <w:rFonts w:hint="eastAsia" w:cs="华文仿宋"/>
          <w:color w:val="auto"/>
          <w:lang w:val="en-US" w:eastAsia="zh-CN"/>
        </w:rPr>
        <w:t xml:space="preserve">  </w:t>
      </w:r>
      <w:r>
        <w:rPr>
          <w:rFonts w:hint="eastAsia" w:cs="华文仿宋"/>
          <w:color w:val="auto"/>
        </w:rPr>
        <w:t>日</w:t>
      </w:r>
    </w:p>
    <w:p w14:paraId="572B4467">
      <w:pPr>
        <w:pStyle w:val="25"/>
        <w:keepNext w:val="0"/>
        <w:keepLines w:val="0"/>
        <w:widowControl/>
        <w:suppressLineNumbers w:val="0"/>
        <w:wordWrap w:val="0"/>
        <w:spacing w:before="0" w:beforeAutospacing="0" w:after="0" w:afterAutospacing="0" w:line="390" w:lineRule="atLeast"/>
        <w:ind w:left="0" w:right="0" w:firstLine="243" w:firstLineChars="100"/>
        <w:rPr>
          <w:rFonts w:hint="default" w:eastAsia="微软雅黑"/>
          <w:lang w:val="en-US" w:eastAsia="zh-CN"/>
        </w:rPr>
      </w:pPr>
    </w:p>
    <w:p w14:paraId="41A96838">
      <w:pPr>
        <w:spacing w:line="600" w:lineRule="exact"/>
        <w:jc w:val="left"/>
        <w:rPr>
          <w:rFonts w:hint="eastAsia" w:cs="华文仿宋"/>
          <w:color w:val="auto"/>
        </w:rPr>
      </w:pPr>
      <w:r>
        <w:rPr>
          <w:rFonts w:hint="eastAsia" w:cs="华文仿宋"/>
          <w:color w:val="auto"/>
        </w:rPr>
        <w:t>备注</w:t>
      </w:r>
      <w:r>
        <w:rPr>
          <w:rFonts w:hint="eastAsia" w:cs="华文仿宋"/>
          <w:color w:val="auto"/>
          <w:lang w:val="zh-CN"/>
        </w:rPr>
        <w:t>：“投标报价”为</w:t>
      </w:r>
      <w:r>
        <w:rPr>
          <w:rFonts w:hint="eastAsia" w:cs="华文仿宋"/>
          <w:color w:val="auto"/>
        </w:rPr>
        <w:t>投标总价</w:t>
      </w:r>
      <w:r>
        <w:rPr>
          <w:rFonts w:hint="eastAsia" w:cs="华文仿宋"/>
          <w:color w:val="auto"/>
          <w:lang w:val="zh-CN"/>
        </w:rPr>
        <w:t>。</w:t>
      </w:r>
      <w:r>
        <w:rPr>
          <w:rFonts w:hint="eastAsia" w:cs="华文仿宋"/>
          <w:color w:val="auto"/>
        </w:rPr>
        <w:t>投标</w:t>
      </w:r>
      <w:r>
        <w:rPr>
          <w:rFonts w:hint="eastAsia" w:cs="华文仿宋"/>
          <w:color w:val="auto"/>
          <w:lang w:val="zh-CN"/>
        </w:rPr>
        <w:t>报价必须包括本项目所需全部费用。</w:t>
      </w:r>
    </w:p>
    <w:p w14:paraId="573CFA3F">
      <w:pPr>
        <w:autoSpaceDE w:val="0"/>
        <w:autoSpaceDN w:val="0"/>
        <w:spacing w:line="240" w:lineRule="auto"/>
        <w:rPr>
          <w:rFonts w:ascii="宋体" w:hAnsi="宋体" w:eastAsia="宋体" w:cs="Times New Roman"/>
          <w:b/>
          <w:bCs/>
          <w:color w:val="auto"/>
          <w:kern w:val="0"/>
          <w:sz w:val="21"/>
          <w:szCs w:val="21"/>
        </w:rPr>
      </w:pPr>
    </w:p>
    <w:p w14:paraId="6A965E17">
      <w:pPr>
        <w:autoSpaceDE w:val="0"/>
        <w:autoSpaceDN w:val="0"/>
        <w:spacing w:line="240" w:lineRule="auto"/>
        <w:rPr>
          <w:color w:val="auto"/>
        </w:rPr>
        <w:sectPr>
          <w:headerReference r:id="rId11" w:type="default"/>
          <w:footerReference r:id="rId12" w:type="default"/>
          <w:pgSz w:w="11906" w:h="16838"/>
          <w:pgMar w:top="1304" w:right="1417" w:bottom="1304" w:left="1417" w:header="850" w:footer="794" w:gutter="0"/>
          <w:pgNumType w:fmt="decimal" w:start="1" w:chapStyle="1"/>
          <w:cols w:space="720" w:num="1"/>
          <w:docGrid w:type="linesAndChars" w:linePitch="381" w:charSpace="704"/>
        </w:sectPr>
      </w:pPr>
    </w:p>
    <w:p w14:paraId="3CD29190">
      <w:pPr>
        <w:spacing w:beforeLines="50" w:afterLines="50" w:line="500" w:lineRule="exact"/>
        <w:jc w:val="center"/>
        <w:rPr>
          <w:rFonts w:ascii="仿宋" w:hAnsi="仿宋" w:eastAsia="仿宋"/>
          <w:b/>
          <w:bCs/>
          <w:color w:val="000000"/>
          <w:sz w:val="32"/>
          <w:szCs w:val="32"/>
        </w:rPr>
      </w:pPr>
      <w:bookmarkStart w:id="716" w:name="_Toc31637"/>
      <w:bookmarkStart w:id="717" w:name="_Toc17458"/>
      <w:bookmarkStart w:id="718" w:name="_Toc24803"/>
      <w:bookmarkStart w:id="719" w:name="_Toc14671"/>
      <w:bookmarkStart w:id="720" w:name="_Toc254"/>
      <w:bookmarkStart w:id="721" w:name="_Toc7134"/>
      <w:bookmarkStart w:id="722" w:name="_Toc10363"/>
      <w:bookmarkStart w:id="723" w:name="_Toc1699"/>
      <w:bookmarkStart w:id="724" w:name="_Toc24858"/>
      <w:bookmarkStart w:id="725" w:name="_Toc28017"/>
      <w:bookmarkStart w:id="726" w:name="_Toc26160"/>
      <w:bookmarkStart w:id="727" w:name="_Toc15616"/>
      <w:bookmarkStart w:id="728" w:name="_Toc20205"/>
      <w:bookmarkStart w:id="729" w:name="_Toc24777"/>
      <w:bookmarkStart w:id="730" w:name="_Toc17971"/>
      <w:bookmarkStart w:id="731" w:name="_Toc14400"/>
      <w:bookmarkStart w:id="732" w:name="_Toc13111"/>
      <w:bookmarkStart w:id="733" w:name="_Toc8261"/>
      <w:r>
        <w:rPr>
          <w:rFonts w:hint="eastAsia" w:ascii="仿宋" w:hAnsi="仿宋" w:eastAsia="仿宋"/>
          <w:b/>
          <w:bCs/>
          <w:color w:val="000000"/>
          <w:sz w:val="32"/>
          <w:szCs w:val="32"/>
        </w:rPr>
        <w:t>分项报价表</w:t>
      </w:r>
    </w:p>
    <w:tbl>
      <w:tblPr>
        <w:tblStyle w:val="29"/>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6DCBB94C">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4A061123">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66865076">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5ABD517F">
            <w:pPr>
              <w:pStyle w:val="62"/>
              <w:widowControl w:val="0"/>
              <w:spacing w:line="240" w:lineRule="auto"/>
              <w:ind w:firstLine="0" w:firstLineChars="0"/>
              <w:rPr>
                <w:rFonts w:ascii="仿宋" w:hAnsi="仿宋" w:eastAsia="仿宋" w:cs="仿宋"/>
                <w:b w:val="0"/>
                <w:bCs w:val="0"/>
                <w:color w:val="000000"/>
                <w:kern w:val="0"/>
                <w:sz w:val="24"/>
                <w:szCs w:val="24"/>
              </w:rPr>
            </w:pPr>
            <w:bookmarkStart w:id="734" w:name="_Toc32559"/>
            <w:bookmarkStart w:id="735" w:name="_Toc16202"/>
            <w:bookmarkStart w:id="736" w:name="_Toc28616"/>
            <w:bookmarkStart w:id="737" w:name="_Toc16359"/>
            <w:r>
              <w:rPr>
                <w:rFonts w:hint="eastAsia" w:ascii="仿宋" w:hAnsi="仿宋" w:eastAsia="仿宋" w:cs="仿宋"/>
                <w:bCs w:val="0"/>
                <w:color w:val="000000"/>
                <w:sz w:val="24"/>
                <w:szCs w:val="24"/>
              </w:rPr>
              <w:t>计量单位</w:t>
            </w:r>
            <w:bookmarkEnd w:id="734"/>
            <w:bookmarkEnd w:id="735"/>
            <w:bookmarkEnd w:id="736"/>
            <w:bookmarkEnd w:id="737"/>
          </w:p>
        </w:tc>
        <w:tc>
          <w:tcPr>
            <w:tcW w:w="1265" w:type="dxa"/>
            <w:tcBorders>
              <w:top w:val="single" w:color="000000" w:sz="8" w:space="0"/>
              <w:left w:val="single" w:color="000000" w:sz="6" w:space="0"/>
              <w:bottom w:val="single" w:color="000000" w:sz="6" w:space="0"/>
              <w:right w:val="single" w:color="000000" w:sz="6" w:space="0"/>
            </w:tcBorders>
            <w:vAlign w:val="center"/>
          </w:tcPr>
          <w:p w14:paraId="61545302">
            <w:pPr>
              <w:pStyle w:val="62"/>
              <w:widowControl w:val="0"/>
              <w:spacing w:line="240" w:lineRule="auto"/>
              <w:ind w:firstLine="0" w:firstLineChars="0"/>
              <w:rPr>
                <w:rFonts w:ascii="仿宋" w:hAnsi="仿宋" w:eastAsia="仿宋" w:cs="仿宋"/>
                <w:b w:val="0"/>
                <w:bCs w:val="0"/>
                <w:color w:val="000000"/>
                <w:kern w:val="0"/>
                <w:sz w:val="24"/>
                <w:szCs w:val="24"/>
                <w:lang w:val="zh-CN"/>
              </w:rPr>
            </w:pPr>
            <w:bookmarkStart w:id="738" w:name="_Toc26417"/>
            <w:bookmarkStart w:id="739" w:name="_Toc29236"/>
            <w:bookmarkStart w:id="740" w:name="_Toc5340"/>
            <w:bookmarkStart w:id="741" w:name="_Toc4371"/>
            <w:r>
              <w:rPr>
                <w:rFonts w:hint="eastAsia" w:ascii="仿宋" w:hAnsi="仿宋" w:eastAsia="仿宋" w:cs="仿宋"/>
                <w:bCs w:val="0"/>
                <w:color w:val="000000"/>
                <w:sz w:val="24"/>
                <w:szCs w:val="24"/>
              </w:rPr>
              <w:t>具体要求说明</w:t>
            </w:r>
            <w:bookmarkEnd w:id="738"/>
            <w:bookmarkEnd w:id="739"/>
            <w:bookmarkEnd w:id="740"/>
            <w:bookmarkEnd w:id="741"/>
          </w:p>
        </w:tc>
        <w:tc>
          <w:tcPr>
            <w:tcW w:w="1124" w:type="dxa"/>
            <w:tcBorders>
              <w:top w:val="single" w:color="000000" w:sz="8" w:space="0"/>
              <w:left w:val="single" w:color="000000" w:sz="6" w:space="0"/>
              <w:bottom w:val="single" w:color="000000" w:sz="6" w:space="0"/>
              <w:right w:val="single" w:color="auto" w:sz="4" w:space="0"/>
            </w:tcBorders>
            <w:vAlign w:val="center"/>
          </w:tcPr>
          <w:p w14:paraId="7B51E5A9">
            <w:pPr>
              <w:pStyle w:val="62"/>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0F4739BC">
            <w:pPr>
              <w:pStyle w:val="62"/>
              <w:widowControl w:val="0"/>
              <w:spacing w:line="240" w:lineRule="auto"/>
              <w:ind w:firstLine="0" w:firstLineChars="0"/>
              <w:rPr>
                <w:rFonts w:ascii="仿宋" w:hAnsi="仿宋" w:eastAsia="仿宋" w:cs="仿宋"/>
                <w:bCs w:val="0"/>
                <w:color w:val="000000"/>
                <w:sz w:val="24"/>
                <w:szCs w:val="24"/>
              </w:rPr>
            </w:pPr>
            <w:bookmarkStart w:id="742" w:name="_Toc18908"/>
            <w:bookmarkStart w:id="743" w:name="_Toc14670"/>
            <w:bookmarkStart w:id="744" w:name="_Toc24317"/>
            <w:bookmarkStart w:id="745"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75021D41">
            <w:pPr>
              <w:pStyle w:val="62"/>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566D1D87">
            <w:pPr>
              <w:pStyle w:val="62"/>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742"/>
            <w:bookmarkEnd w:id="743"/>
            <w:bookmarkEnd w:id="744"/>
            <w:bookmarkEnd w:id="745"/>
          </w:p>
        </w:tc>
      </w:tr>
      <w:tr w14:paraId="382B3D2C">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3398DEC">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2A005BD8">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749F583">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1B0772">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33291FE">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1743CDF">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648600E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67D5132">
            <w:pPr>
              <w:autoSpaceDE w:val="0"/>
              <w:autoSpaceDN w:val="0"/>
              <w:spacing w:line="240" w:lineRule="auto"/>
              <w:jc w:val="center"/>
              <w:rPr>
                <w:rFonts w:ascii="仿宋" w:hAnsi="仿宋" w:eastAsia="仿宋" w:cs="仿宋"/>
                <w:color w:val="000000"/>
                <w:kern w:val="0"/>
                <w:sz w:val="24"/>
                <w:szCs w:val="24"/>
                <w:lang w:val="zh-CN"/>
              </w:rPr>
            </w:pPr>
          </w:p>
        </w:tc>
      </w:tr>
      <w:tr w14:paraId="46E0462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8EEB57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3ED2D102">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196130E">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46C005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1A7C83E">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6C2AB897">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6142D898">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7B95E8B4">
            <w:pPr>
              <w:autoSpaceDE w:val="0"/>
              <w:autoSpaceDN w:val="0"/>
              <w:spacing w:line="240" w:lineRule="auto"/>
              <w:jc w:val="center"/>
              <w:rPr>
                <w:rFonts w:ascii="仿宋" w:hAnsi="仿宋" w:eastAsia="仿宋" w:cs="仿宋"/>
                <w:color w:val="000000"/>
                <w:kern w:val="0"/>
                <w:sz w:val="24"/>
                <w:szCs w:val="24"/>
                <w:lang w:val="zh-CN"/>
              </w:rPr>
            </w:pPr>
          </w:p>
        </w:tc>
      </w:tr>
      <w:tr w14:paraId="324ECAE0">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0BBDDAAB">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6F7EA93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B8C75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69B03E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25C66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0E6202CD">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569A1E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BE8D9FA">
            <w:pPr>
              <w:autoSpaceDE w:val="0"/>
              <w:autoSpaceDN w:val="0"/>
              <w:spacing w:line="240" w:lineRule="auto"/>
              <w:jc w:val="center"/>
              <w:rPr>
                <w:rFonts w:ascii="仿宋" w:hAnsi="仿宋" w:eastAsia="仿宋" w:cs="仿宋"/>
                <w:color w:val="000000"/>
                <w:kern w:val="0"/>
                <w:sz w:val="24"/>
                <w:szCs w:val="24"/>
                <w:lang w:val="zh-CN"/>
              </w:rPr>
            </w:pPr>
          </w:p>
        </w:tc>
      </w:tr>
      <w:tr w14:paraId="048D6EAA">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01613E0">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3E9B1FA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01ECCDC6">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en-US" w:eastAsia="zh-CN"/>
              </w:rPr>
              <w:t>投标</w:t>
            </w:r>
            <w:r>
              <w:rPr>
                <w:rFonts w:hint="eastAsia" w:ascii="仿宋" w:hAnsi="仿宋" w:eastAsia="仿宋" w:cs="仿宋"/>
                <w:kern w:val="0"/>
                <w:sz w:val="24"/>
                <w:szCs w:val="24"/>
                <w:lang w:val="zh-CN"/>
              </w:rPr>
              <w:t>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6EB00034">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00D817EC">
            <w:pPr>
              <w:pStyle w:val="17"/>
              <w:rPr>
                <w:rFonts w:hint="eastAsia" w:eastAsia="仿宋"/>
                <w:lang w:val="en-US" w:eastAsia="zh-CN"/>
              </w:rPr>
            </w:pPr>
            <w:r>
              <w:rPr>
                <w:rFonts w:hint="eastAsia" w:ascii="仿宋" w:hAnsi="仿宋" w:eastAsia="仿宋" w:cs="仿宋"/>
                <w:color w:val="000000"/>
                <w:kern w:val="0"/>
                <w:sz w:val="24"/>
                <w:szCs w:val="24"/>
                <w:lang w:val="en-US" w:eastAsia="zh-CN"/>
              </w:rPr>
              <w:t>大写：</w:t>
            </w:r>
          </w:p>
          <w:p w14:paraId="3C224DE7">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380D344F">
      <w:pPr>
        <w:tabs>
          <w:tab w:val="right" w:pos="9072"/>
        </w:tabs>
        <w:ind w:firstLine="426" w:firstLineChars="200"/>
        <w:rPr>
          <w:rFonts w:ascii="华文仿宋" w:cs="Times New Roman"/>
          <w:color w:val="000000"/>
          <w:sz w:val="24"/>
          <w:szCs w:val="24"/>
        </w:rPr>
      </w:pPr>
      <w:r>
        <w:rPr>
          <w:rFonts w:hint="eastAsia" w:ascii="宋体" w:hAnsi="宋体" w:eastAsia="宋体" w:cs="宋体"/>
          <w:color w:val="000000"/>
          <w:sz w:val="21"/>
          <w:szCs w:val="21"/>
        </w:rPr>
        <w:t>备注：本表为样表，仅供参考，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604F5A02">
      <w:pPr>
        <w:pStyle w:val="12"/>
        <w:spacing w:after="190"/>
        <w:rPr>
          <w:rFonts w:eastAsia="宋体"/>
          <w:color w:val="000000"/>
        </w:rPr>
      </w:pPr>
    </w:p>
    <w:p w14:paraId="78F87A70">
      <w:pPr>
        <w:keepNext/>
        <w:keepLines w:val="0"/>
        <w:pageBreakBefore w:val="0"/>
        <w:widowControl w:val="0"/>
        <w:kinsoku w:val="0"/>
        <w:wordWrap/>
        <w:overflowPunct w:val="0"/>
        <w:topLinePunct w:val="0"/>
        <w:autoSpaceDE w:val="0"/>
        <w:autoSpaceDN w:val="0"/>
        <w:bidi w:val="0"/>
        <w:adjustRightInd/>
        <w:snapToGrid/>
        <w:spacing w:line="320" w:lineRule="exact"/>
        <w:ind w:firstLine="319" w:firstLineChars="150"/>
        <w:rPr>
          <w:rFonts w:hint="eastAsia" w:ascii="CESI仿宋-GB13000" w:hAnsi="CESI仿宋-GB13000" w:eastAsia="CESI仿宋-GB13000" w:cs="CESI仿宋-GB13000"/>
          <w:color w:val="000000"/>
          <w:sz w:val="21"/>
          <w:szCs w:val="21"/>
        </w:rPr>
      </w:pPr>
    </w:p>
    <w:p w14:paraId="220D09C8">
      <w:pPr>
        <w:pStyle w:val="12"/>
        <w:keepNext/>
        <w:keepLines w:val="0"/>
        <w:pageBreakBefore w:val="0"/>
        <w:widowControl w:val="0"/>
        <w:kinsoku w:val="0"/>
        <w:wordWrap/>
        <w:overflowPunct w:val="0"/>
        <w:topLinePunct w:val="0"/>
        <w:autoSpaceDE w:val="0"/>
        <w:autoSpaceDN w:val="0"/>
        <w:bidi w:val="0"/>
        <w:adjustRightInd/>
        <w:snapToGrid/>
        <w:spacing w:line="500" w:lineRule="exact"/>
        <w:ind w:firstLine="5589" w:firstLineChars="2300"/>
        <w:rPr>
          <w:rFonts w:hint="eastAsia" w:ascii="CESI仿宋-GB13000" w:hAnsi="CESI仿宋-GB13000" w:eastAsia="CESI仿宋-GB13000" w:cs="CESI仿宋-GB13000"/>
          <w:bCs/>
          <w:color w:val="000000"/>
          <w:sz w:val="24"/>
          <w:szCs w:val="24"/>
        </w:rPr>
      </w:pPr>
      <w:r>
        <w:rPr>
          <w:rFonts w:hint="eastAsia" w:ascii="CESI仿宋-GB13000" w:hAnsi="CESI仿宋-GB13000" w:eastAsia="CESI仿宋-GB13000" w:cs="CESI仿宋-GB13000"/>
          <w:bCs/>
          <w:color w:val="000000"/>
          <w:sz w:val="24"/>
          <w:szCs w:val="24"/>
        </w:rPr>
        <w:t>供应商：</w:t>
      </w:r>
      <w:r>
        <w:rPr>
          <w:rFonts w:hint="eastAsia" w:ascii="CESI仿宋-GB13000" w:hAnsi="CESI仿宋-GB13000" w:eastAsia="CESI仿宋-GB13000" w:cs="CESI仿宋-GB13000"/>
          <w:color w:val="000000"/>
          <w:sz w:val="24"/>
          <w:szCs w:val="24"/>
          <w:u w:val="single"/>
        </w:rPr>
        <w:t>名称</w:t>
      </w:r>
      <w:r>
        <w:rPr>
          <w:rFonts w:hint="eastAsia" w:ascii="CESI仿宋-GB13000" w:hAnsi="CESI仿宋-GB13000" w:eastAsia="CESI仿宋-GB13000" w:cs="CESI仿宋-GB13000"/>
          <w:bCs/>
          <w:color w:val="000000"/>
          <w:sz w:val="24"/>
          <w:szCs w:val="24"/>
        </w:rPr>
        <w:t>（加盖公章）</w:t>
      </w:r>
      <w:r>
        <w:rPr>
          <w:rFonts w:hint="eastAsia" w:ascii="CESI仿宋-GB13000" w:hAnsi="CESI仿宋-GB13000" w:eastAsia="CESI仿宋-GB13000" w:cs="CESI仿宋-GB13000"/>
          <w:bCs/>
          <w:color w:val="000000"/>
          <w:sz w:val="24"/>
          <w:szCs w:val="24"/>
        </w:rPr>
        <w:tab/>
      </w:r>
    </w:p>
    <w:p w14:paraId="5207EEB7">
      <w:pPr>
        <w:pStyle w:val="15"/>
        <w:keepNext/>
        <w:keepLines w:val="0"/>
        <w:pageBreakBefore w:val="0"/>
        <w:widowControl w:val="0"/>
        <w:kinsoku w:val="0"/>
        <w:wordWrap/>
        <w:overflowPunct w:val="0"/>
        <w:topLinePunct w:val="0"/>
        <w:autoSpaceDE w:val="0"/>
        <w:autoSpaceDN w:val="0"/>
        <w:bidi w:val="0"/>
        <w:adjustRightInd/>
        <w:snapToGrid/>
        <w:spacing w:line="440" w:lineRule="exact"/>
        <w:ind w:firstLine="6075" w:firstLineChars="2500"/>
        <w:rPr>
          <w:rFonts w:hint="default" w:ascii="CESI仿宋-GB13000" w:hAnsi="CESI仿宋-GB13000" w:eastAsia="CESI仿宋-GB13000" w:cs="CESI仿宋-GB13000"/>
          <w:color w:val="000000"/>
          <w:sz w:val="24"/>
          <w:szCs w:val="24"/>
          <w:lang w:val="en-US" w:eastAsia="zh-CN"/>
        </w:rPr>
        <w:sectPr>
          <w:headerReference r:id="rId13" w:type="default"/>
          <w:footerReference r:id="rId14" w:type="default"/>
          <w:pgSz w:w="11906" w:h="16838"/>
          <w:pgMar w:top="1417" w:right="1417" w:bottom="1417" w:left="1417" w:header="850" w:footer="992" w:gutter="0"/>
          <w:pgNumType w:fmt="decimal"/>
          <w:cols w:space="720" w:num="1"/>
          <w:docGrid w:type="linesAndChars" w:linePitch="381" w:charSpace="704"/>
        </w:sectPr>
      </w:pPr>
      <w:r>
        <w:rPr>
          <w:rFonts w:hint="eastAsia" w:ascii="CESI仿宋-GB13000" w:hAnsi="CESI仿宋-GB13000" w:eastAsia="CESI仿宋-GB13000" w:cs="CESI仿宋-GB13000"/>
          <w:color w:val="000000"/>
          <w:sz w:val="24"/>
          <w:szCs w:val="24"/>
          <w:lang w:eastAsia="zh-CN"/>
        </w:rPr>
        <w:t xml:space="preserve">日期：　年　月　 </w:t>
      </w:r>
      <w:r>
        <w:rPr>
          <w:rFonts w:hint="eastAsia" w:ascii="CESI仿宋-GB13000" w:hAnsi="CESI仿宋-GB13000" w:eastAsia="CESI仿宋-GB13000" w:cs="CESI仿宋-GB13000"/>
          <w:color w:val="000000"/>
          <w:sz w:val="24"/>
          <w:szCs w:val="24"/>
          <w:lang w:val="en-US" w:eastAsia="zh-CN"/>
        </w:rPr>
        <w:t>日</w:t>
      </w:r>
    </w:p>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14:paraId="6B0BA8AD">
      <w:pPr>
        <w:pStyle w:val="62"/>
        <w:spacing w:line="500" w:lineRule="exact"/>
        <w:jc w:val="left"/>
        <w:outlineLvl w:val="2"/>
        <w:rPr>
          <w:rFonts w:ascii="仿宋" w:hAnsi="仿宋" w:eastAsia="仿宋" w:cs="Times New Roman"/>
          <w:color w:val="auto"/>
        </w:rPr>
      </w:pPr>
      <w:bookmarkStart w:id="746" w:name="_Toc30708"/>
      <w:bookmarkEnd w:id="746"/>
      <w:bookmarkStart w:id="747" w:name="_Toc20450"/>
      <w:bookmarkEnd w:id="747"/>
      <w:bookmarkStart w:id="748" w:name="_Toc26656"/>
      <w:bookmarkEnd w:id="748"/>
      <w:bookmarkStart w:id="749" w:name="_Toc10991"/>
      <w:bookmarkEnd w:id="749"/>
      <w:bookmarkStart w:id="750" w:name="_Toc28430"/>
      <w:bookmarkEnd w:id="750"/>
      <w:bookmarkStart w:id="751" w:name="_Toc29248"/>
      <w:bookmarkEnd w:id="751"/>
      <w:bookmarkStart w:id="752" w:name="_Toc27127"/>
      <w:bookmarkEnd w:id="752"/>
      <w:bookmarkStart w:id="753" w:name="_Toc12032"/>
      <w:bookmarkEnd w:id="753"/>
      <w:bookmarkStart w:id="754" w:name="_Toc9028"/>
      <w:bookmarkEnd w:id="754"/>
      <w:bookmarkStart w:id="755" w:name="_Toc25612"/>
      <w:bookmarkEnd w:id="755"/>
      <w:bookmarkStart w:id="756" w:name="_Toc6005"/>
      <w:bookmarkEnd w:id="756"/>
      <w:bookmarkStart w:id="757" w:name="_Toc32030"/>
      <w:bookmarkEnd w:id="757"/>
      <w:bookmarkStart w:id="758" w:name="_Toc21044"/>
      <w:bookmarkEnd w:id="758"/>
      <w:bookmarkStart w:id="759" w:name="_Toc27481"/>
      <w:bookmarkEnd w:id="759"/>
      <w:r>
        <w:rPr>
          <w:rFonts w:hint="eastAsia" w:ascii="仿宋" w:hAnsi="仿宋" w:eastAsia="仿宋" w:cs="仿宋"/>
          <w:color w:val="auto"/>
        </w:rPr>
        <w:t>三、供应商承诺书</w:t>
      </w:r>
    </w:p>
    <w:p w14:paraId="34E7CDB3">
      <w:pPr>
        <w:spacing w:line="500" w:lineRule="exact"/>
        <w:ind w:firstLine="566" w:firstLineChars="200"/>
        <w:rPr>
          <w:rFonts w:cs="Times New Roman"/>
          <w:color w:val="auto"/>
        </w:rPr>
      </w:pPr>
      <w:r>
        <w:rPr>
          <w:rFonts w:hint="eastAsia" w:cs="华文仿宋"/>
          <w:color w:val="auto"/>
        </w:rPr>
        <w:t>未签署下列承诺书的，其责任由投标人自行承担。</w:t>
      </w:r>
    </w:p>
    <w:p w14:paraId="730DEF04">
      <w:pPr>
        <w:spacing w:line="500" w:lineRule="exact"/>
        <w:ind w:firstLine="566" w:firstLineChars="200"/>
        <w:rPr>
          <w:rFonts w:cs="Times New Roman"/>
          <w:b/>
          <w:bCs/>
          <w:color w:val="auto"/>
        </w:rPr>
      </w:pPr>
      <w:r>
        <w:rPr>
          <w:rFonts w:hint="eastAsia" w:cs="华文仿宋"/>
          <w:b/>
          <w:bCs/>
          <w:color w:val="auto"/>
        </w:rPr>
        <w:t>（一）质量安全责任承诺书</w:t>
      </w:r>
    </w:p>
    <w:p w14:paraId="123CDA95">
      <w:pPr>
        <w:spacing w:line="500" w:lineRule="exact"/>
        <w:ind w:firstLine="566" w:firstLineChars="200"/>
        <w:rPr>
          <w:rFonts w:cs="Times New Roman"/>
          <w:color w:val="auto"/>
        </w:rPr>
      </w:pPr>
      <w:r>
        <w:rPr>
          <w:rFonts w:hint="eastAsia" w:cs="华文仿宋"/>
          <w:color w:val="auto"/>
        </w:rPr>
        <w:t>为保证本采购项目顺利进行，作为投标人，现郑重承诺：</w:t>
      </w:r>
    </w:p>
    <w:p w14:paraId="3A1F0AB2">
      <w:pPr>
        <w:spacing w:line="500" w:lineRule="exact"/>
        <w:ind w:firstLine="566" w:firstLineChars="200"/>
        <w:rPr>
          <w:rFonts w:cs="Times New Roman"/>
          <w:color w:val="auto"/>
        </w:rPr>
      </w:pPr>
      <w:r>
        <w:rPr>
          <w:rFonts w:hint="eastAsia" w:ascii="仿宋" w:hAnsi="仿宋" w:eastAsia="仿宋" w:cs="仿宋"/>
          <w:color w:val="auto"/>
        </w:rPr>
        <w:t>1</w:t>
      </w:r>
      <w:r>
        <w:rPr>
          <w:rFonts w:hint="eastAsia" w:ascii="仿宋" w:hAnsi="仿宋" w:eastAsia="仿宋" w:cs="仿宋"/>
          <w:color w:val="auto"/>
          <w:lang w:val="en-US" w:eastAsia="zh-CN"/>
        </w:rPr>
        <w:t>.</w:t>
      </w:r>
      <w:r>
        <w:rPr>
          <w:rFonts w:hint="eastAsia" w:cs="华文仿宋"/>
          <w:color w:val="auto"/>
        </w:rPr>
        <w:t>我方投标产品的生产（包括设计、制造、安装、改造、维修等）、投入使用的材料等均完全符合国家现行质量、安全、环保标准和要求。</w:t>
      </w:r>
    </w:p>
    <w:p w14:paraId="5D2BC97A">
      <w:pPr>
        <w:spacing w:line="500" w:lineRule="exact"/>
        <w:ind w:firstLine="566" w:firstLineChars="200"/>
        <w:rPr>
          <w:rFonts w:cs="Times New Roman"/>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cs="华文仿宋"/>
          <w:color w:val="auto"/>
        </w:rPr>
        <w:t>我方将严格按照国家现行相关储存、运输、安装调试技术标准及规范、服务标准及规范、施工标准及规范，在规定的时限内，保质、保量完成项目全部内容，并向采购人交付合格产品。</w:t>
      </w:r>
    </w:p>
    <w:p w14:paraId="7C91A956">
      <w:pPr>
        <w:spacing w:line="500" w:lineRule="exact"/>
        <w:ind w:firstLine="566" w:firstLineChars="200"/>
        <w:rPr>
          <w:rFonts w:cs="Times New Roman"/>
          <w:color w:val="auto"/>
        </w:rPr>
      </w:pPr>
      <w:r>
        <w:rPr>
          <w:rFonts w:hint="eastAsia" w:ascii="仿宋" w:hAnsi="仿宋" w:eastAsia="仿宋" w:cs="仿宋"/>
          <w:color w:val="auto"/>
        </w:rPr>
        <w:t>3</w:t>
      </w:r>
      <w:r>
        <w:rPr>
          <w:rFonts w:hint="eastAsia" w:ascii="仿宋" w:hAnsi="仿宋" w:eastAsia="仿宋" w:cs="仿宋"/>
          <w:color w:val="auto"/>
          <w:lang w:val="en-US" w:eastAsia="zh-CN"/>
        </w:rPr>
        <w:t>.</w:t>
      </w:r>
      <w:r>
        <w:rPr>
          <w:rFonts w:hint="eastAsia" w:cs="华文仿宋"/>
          <w:color w:val="auto"/>
        </w:rPr>
        <w:t>对于因产品生产质量以及储存、运输、安装调试、服务、施工等过程中产生的任何安全事故，我方承担全部责任。</w:t>
      </w:r>
    </w:p>
    <w:p w14:paraId="45AFDA2C">
      <w:pPr>
        <w:spacing w:line="500" w:lineRule="exact"/>
        <w:ind w:firstLine="566" w:firstLineChars="200"/>
        <w:rPr>
          <w:rFonts w:cs="Times New Roman"/>
          <w:color w:val="auto"/>
        </w:rPr>
      </w:pPr>
      <w:r>
        <w:rPr>
          <w:rFonts w:hint="eastAsia" w:ascii="仿宋" w:hAnsi="仿宋" w:eastAsia="仿宋" w:cs="仿宋"/>
          <w:color w:val="auto"/>
        </w:rPr>
        <w:t>4</w:t>
      </w:r>
      <w:r>
        <w:rPr>
          <w:rFonts w:hint="eastAsia" w:ascii="仿宋" w:hAnsi="仿宋" w:eastAsia="仿宋" w:cs="仿宋"/>
          <w:color w:val="auto"/>
          <w:lang w:val="en-US" w:eastAsia="zh-CN"/>
        </w:rPr>
        <w:t>.</w:t>
      </w:r>
      <w:r>
        <w:rPr>
          <w:rFonts w:hint="eastAsia" w:cs="华文仿宋"/>
          <w:color w:val="auto"/>
        </w:rPr>
        <w:t>我方提供的货物、工程、服务等符合现行的国家、行业、地区、企业标准及要求，标准不一致的，以更为严格的为准，我方对提供的货物、工程、服务等的质量、安全、环保等承担全部责任。</w:t>
      </w:r>
    </w:p>
    <w:p w14:paraId="6C4DBA78">
      <w:pPr>
        <w:spacing w:line="500" w:lineRule="exact"/>
        <w:ind w:firstLine="566" w:firstLineChars="200"/>
        <w:rPr>
          <w:rFonts w:cs="Times New Roman"/>
          <w:color w:val="auto"/>
        </w:rPr>
      </w:pPr>
    </w:p>
    <w:p w14:paraId="27E45F55">
      <w:pPr>
        <w:spacing w:line="500" w:lineRule="exact"/>
        <w:ind w:firstLine="5094" w:firstLineChars="18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103C4C5D">
      <w:pPr>
        <w:spacing w:line="500" w:lineRule="exact"/>
        <w:ind w:firstLine="5377" w:firstLineChars="1900"/>
        <w:rPr>
          <w:rFonts w:cs="Times New Roman"/>
          <w:color w:val="auto"/>
        </w:rPr>
      </w:pPr>
      <w:r>
        <w:rPr>
          <w:rFonts w:hint="eastAsia" w:cs="华文仿宋"/>
          <w:color w:val="auto"/>
        </w:rPr>
        <w:t>日期：　年　月　日</w:t>
      </w:r>
    </w:p>
    <w:p w14:paraId="48B52A40">
      <w:pPr>
        <w:spacing w:line="500" w:lineRule="exact"/>
        <w:rPr>
          <w:rFonts w:cs="Times New Roman"/>
          <w:color w:val="auto"/>
        </w:rPr>
      </w:pPr>
    </w:p>
    <w:p w14:paraId="7913455E">
      <w:pPr>
        <w:spacing w:line="500" w:lineRule="exact"/>
        <w:rPr>
          <w:rFonts w:cs="Times New Roman"/>
          <w:color w:val="auto"/>
        </w:rPr>
      </w:pPr>
    </w:p>
    <w:p w14:paraId="18806B45">
      <w:pPr>
        <w:spacing w:line="500" w:lineRule="exact"/>
        <w:rPr>
          <w:rFonts w:cs="Times New Roman"/>
          <w:color w:val="auto"/>
        </w:rPr>
      </w:pPr>
    </w:p>
    <w:p w14:paraId="66C2FDDF">
      <w:pPr>
        <w:spacing w:line="500" w:lineRule="exact"/>
        <w:rPr>
          <w:rFonts w:cs="Times New Roman"/>
          <w:color w:val="auto"/>
        </w:rPr>
      </w:pPr>
    </w:p>
    <w:p w14:paraId="50475D6C">
      <w:pPr>
        <w:spacing w:line="500" w:lineRule="exact"/>
        <w:rPr>
          <w:rFonts w:cs="Times New Roman"/>
          <w:color w:val="auto"/>
        </w:rPr>
      </w:pPr>
    </w:p>
    <w:p w14:paraId="618B5FF9">
      <w:pPr>
        <w:pStyle w:val="27"/>
        <w:spacing w:after="190"/>
        <w:ind w:firstLine="183"/>
        <w:rPr>
          <w:color w:val="auto"/>
        </w:rPr>
      </w:pPr>
    </w:p>
    <w:p w14:paraId="796B6F29">
      <w:pPr>
        <w:pStyle w:val="27"/>
        <w:spacing w:after="190"/>
        <w:ind w:firstLine="183"/>
        <w:rPr>
          <w:color w:val="auto"/>
        </w:rPr>
      </w:pPr>
    </w:p>
    <w:p w14:paraId="45E755B5">
      <w:pPr>
        <w:spacing w:line="500" w:lineRule="exact"/>
        <w:rPr>
          <w:rFonts w:cs="Times New Roman"/>
          <w:color w:val="auto"/>
        </w:rPr>
      </w:pPr>
    </w:p>
    <w:p w14:paraId="0ECDA7B8">
      <w:pPr>
        <w:pStyle w:val="27"/>
        <w:spacing w:after="190"/>
        <w:ind w:firstLine="183"/>
        <w:rPr>
          <w:color w:val="auto"/>
        </w:rPr>
      </w:pPr>
    </w:p>
    <w:p w14:paraId="4232EB44">
      <w:pPr>
        <w:spacing w:before="190" w:beforeLines="50" w:line="500" w:lineRule="exact"/>
        <w:ind w:firstLine="566" w:firstLineChars="200"/>
        <w:rPr>
          <w:rFonts w:cs="Times New Roman"/>
          <w:b/>
          <w:bCs/>
          <w:color w:val="auto"/>
        </w:rPr>
      </w:pPr>
    </w:p>
    <w:p w14:paraId="385374D5">
      <w:pPr>
        <w:spacing w:before="190" w:beforeLines="50" w:line="500" w:lineRule="exact"/>
        <w:ind w:firstLine="566" w:firstLineChars="200"/>
        <w:rPr>
          <w:rFonts w:cs="Times New Roman"/>
          <w:b/>
          <w:bCs/>
          <w:color w:val="auto"/>
        </w:rPr>
      </w:pPr>
      <w:r>
        <w:rPr>
          <w:rFonts w:hint="eastAsia" w:cs="华文仿宋"/>
          <w:b/>
          <w:bCs/>
          <w:color w:val="auto"/>
        </w:rPr>
        <w:t>（二）拒绝政府采购领域商业贿赂承诺书Ⅰ</w:t>
      </w:r>
    </w:p>
    <w:p w14:paraId="483FC750">
      <w:pPr>
        <w:overflowPunct w:val="0"/>
        <w:topLinePunct/>
        <w:spacing w:line="440" w:lineRule="exact"/>
        <w:jc w:val="center"/>
        <w:rPr>
          <w:rFonts w:cs="Times New Roman"/>
          <w:color w:val="auto"/>
        </w:rPr>
      </w:pPr>
      <w:r>
        <w:rPr>
          <w:rFonts w:hint="eastAsia" w:cs="华文仿宋"/>
          <w:color w:val="auto"/>
        </w:rPr>
        <w:t>（执行陕财办采管</w:t>
      </w:r>
      <w:r>
        <w:rPr>
          <w:rFonts w:hint="eastAsia" w:ascii="仿宋" w:hAnsi="仿宋" w:eastAsia="仿宋" w:cs="仿宋"/>
          <w:color w:val="auto"/>
        </w:rPr>
        <w:t>〔</w:t>
      </w:r>
      <w:r>
        <w:rPr>
          <w:rFonts w:ascii="仿宋" w:hAnsi="仿宋" w:eastAsia="仿宋" w:cs="仿宋"/>
          <w:color w:val="auto"/>
        </w:rPr>
        <w:t>200</w:t>
      </w:r>
      <w:r>
        <w:rPr>
          <w:rFonts w:hint="eastAsia" w:ascii="仿宋" w:hAnsi="仿宋" w:eastAsia="仿宋" w:cs="仿宋"/>
          <w:color w:val="auto"/>
          <w:lang w:val="en-US" w:eastAsia="zh-CN"/>
        </w:rPr>
        <w:t>6</w:t>
      </w:r>
      <w:r>
        <w:rPr>
          <w:rFonts w:hint="eastAsia" w:ascii="仿宋" w:hAnsi="仿宋" w:eastAsia="仿宋" w:cs="仿宋"/>
          <w:color w:val="auto"/>
        </w:rPr>
        <w:t>〕</w:t>
      </w:r>
      <w:r>
        <w:rPr>
          <w:rFonts w:ascii="仿宋" w:hAnsi="仿宋" w:eastAsia="仿宋" w:cs="仿宋"/>
          <w:color w:val="auto"/>
        </w:rPr>
        <w:t>21</w:t>
      </w:r>
      <w:r>
        <w:rPr>
          <w:rFonts w:hint="eastAsia" w:cs="华文仿宋"/>
          <w:color w:val="auto"/>
        </w:rPr>
        <w:t>号文件）</w:t>
      </w:r>
    </w:p>
    <w:p w14:paraId="53D21DB2">
      <w:pPr>
        <w:spacing w:line="500" w:lineRule="exact"/>
        <w:ind w:firstLine="566" w:firstLineChars="200"/>
        <w:rPr>
          <w:rFonts w:cs="Times New Roman"/>
          <w:color w:val="auto"/>
        </w:rPr>
      </w:pPr>
      <w:r>
        <w:rPr>
          <w:rFonts w:hint="eastAsia" w:cs="华文仿宋"/>
          <w:color w:val="auto"/>
        </w:rPr>
        <w:t>为响应党中央、国务院关于治理政府采购领域商业贿赂行为的号召，我公司在此庄严承诺：</w:t>
      </w:r>
    </w:p>
    <w:p w14:paraId="4E3DC35C">
      <w:pPr>
        <w:spacing w:line="500" w:lineRule="exact"/>
        <w:ind w:firstLine="566" w:firstLineChars="200"/>
        <w:rPr>
          <w:rFonts w:cs="Times New Roman"/>
          <w:color w:val="auto"/>
        </w:rPr>
      </w:pPr>
      <w:r>
        <w:rPr>
          <w:rFonts w:hint="eastAsia" w:ascii="仿宋" w:hAnsi="仿宋" w:eastAsia="仿宋" w:cs="仿宋"/>
          <w:color w:val="auto"/>
        </w:rPr>
        <w:t>1</w:t>
      </w:r>
      <w:r>
        <w:rPr>
          <w:rFonts w:hint="eastAsia" w:ascii="仿宋" w:hAnsi="仿宋" w:eastAsia="仿宋" w:cs="仿宋"/>
          <w:color w:val="auto"/>
          <w:lang w:val="en-US" w:eastAsia="zh-CN"/>
        </w:rPr>
        <w:t>.</w:t>
      </w:r>
      <w:r>
        <w:rPr>
          <w:rFonts w:hint="eastAsia" w:cs="华文仿宋"/>
          <w:color w:val="auto"/>
        </w:rPr>
        <w:t>在参与政府采购活动中遵纪守法、诚信经营、公平竞标。</w:t>
      </w:r>
    </w:p>
    <w:p w14:paraId="07E2D9E4">
      <w:pPr>
        <w:spacing w:line="500" w:lineRule="exact"/>
        <w:ind w:firstLine="566" w:firstLineChars="200"/>
        <w:rPr>
          <w:rFonts w:cs="Times New Roman"/>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cs="华文仿宋"/>
          <w:color w:val="auto"/>
        </w:rPr>
        <w:t>不向政府采购人、采购代理机构和政府采购评审专家进行任何形式的商业贿赂以谋取交易机会。</w:t>
      </w:r>
    </w:p>
    <w:p w14:paraId="33C02019">
      <w:pPr>
        <w:spacing w:line="500" w:lineRule="exact"/>
        <w:ind w:firstLine="566" w:firstLineChars="200"/>
        <w:rPr>
          <w:rFonts w:cs="Times New Roman"/>
          <w:color w:val="auto"/>
        </w:rPr>
      </w:pPr>
      <w:r>
        <w:rPr>
          <w:rFonts w:hint="eastAsia" w:ascii="仿宋" w:hAnsi="仿宋" w:eastAsia="仿宋" w:cs="仿宋"/>
          <w:color w:val="auto"/>
        </w:rPr>
        <w:t>3</w:t>
      </w:r>
      <w:r>
        <w:rPr>
          <w:rFonts w:hint="eastAsia" w:ascii="仿宋" w:hAnsi="仿宋" w:eastAsia="仿宋" w:cs="仿宋"/>
          <w:color w:val="auto"/>
          <w:lang w:val="en-US" w:eastAsia="zh-CN"/>
        </w:rPr>
        <w:t>.</w:t>
      </w:r>
      <w:r>
        <w:rPr>
          <w:rFonts w:hint="eastAsia" w:cs="华文仿宋"/>
          <w:color w:val="auto"/>
        </w:rPr>
        <w:t>不向政府采购代理机构和采购人提供虚假资质文件或采用虚假应标方式参与政府采购市场竞争并谋取中标、成交。</w:t>
      </w:r>
    </w:p>
    <w:p w14:paraId="349DF258">
      <w:pPr>
        <w:spacing w:line="500" w:lineRule="exact"/>
        <w:ind w:firstLine="566" w:firstLineChars="200"/>
        <w:rPr>
          <w:rFonts w:cs="Times New Roman"/>
          <w:color w:val="auto"/>
        </w:rPr>
      </w:pPr>
      <w:r>
        <w:rPr>
          <w:rFonts w:hint="eastAsia" w:ascii="仿宋" w:hAnsi="仿宋" w:eastAsia="仿宋" w:cs="仿宋"/>
          <w:color w:val="auto"/>
        </w:rPr>
        <w:t>4</w:t>
      </w:r>
      <w:r>
        <w:rPr>
          <w:rFonts w:hint="eastAsia" w:ascii="仿宋" w:hAnsi="仿宋" w:eastAsia="仿宋" w:cs="仿宋"/>
          <w:color w:val="auto"/>
          <w:lang w:val="en-US" w:eastAsia="zh-CN"/>
        </w:rPr>
        <w:t>.</w:t>
      </w:r>
      <w:r>
        <w:rPr>
          <w:rFonts w:hint="eastAsia" w:cs="华文仿宋"/>
          <w:color w:val="auto"/>
        </w:rPr>
        <w:t>不采取“围标、陪标”等商业欺诈手段获得政府采购</w:t>
      </w:r>
      <w:r>
        <w:rPr>
          <w:rFonts w:hint="eastAsia" w:cs="华文仿宋"/>
          <w:color w:val="auto"/>
          <w:lang w:val="en-US" w:eastAsia="zh-CN"/>
        </w:rPr>
        <w:t>定</w:t>
      </w:r>
      <w:r>
        <w:rPr>
          <w:rFonts w:hint="eastAsia" w:cs="华文仿宋"/>
          <w:color w:val="auto"/>
        </w:rPr>
        <w:t>单。</w:t>
      </w:r>
    </w:p>
    <w:p w14:paraId="14F2F718">
      <w:pPr>
        <w:spacing w:line="500" w:lineRule="exact"/>
        <w:ind w:firstLine="566" w:firstLineChars="200"/>
        <w:rPr>
          <w:rFonts w:cs="Times New Roman"/>
          <w:color w:val="auto"/>
        </w:rPr>
      </w:pPr>
      <w:r>
        <w:rPr>
          <w:rFonts w:hint="eastAsia" w:ascii="仿宋" w:hAnsi="仿宋" w:eastAsia="仿宋" w:cs="仿宋"/>
          <w:color w:val="auto"/>
        </w:rPr>
        <w:t>5</w:t>
      </w:r>
      <w:r>
        <w:rPr>
          <w:rFonts w:hint="eastAsia" w:ascii="仿宋" w:hAnsi="仿宋" w:eastAsia="仿宋" w:cs="仿宋"/>
          <w:color w:val="auto"/>
          <w:lang w:val="en-US" w:eastAsia="zh-CN"/>
        </w:rPr>
        <w:t>.</w:t>
      </w:r>
      <w:r>
        <w:rPr>
          <w:rFonts w:hint="eastAsia" w:cs="华文仿宋"/>
          <w:color w:val="auto"/>
        </w:rPr>
        <w:t>不采取不正当手段诋毁、排挤其他投标人。</w:t>
      </w:r>
    </w:p>
    <w:p w14:paraId="3CD8FA75">
      <w:pPr>
        <w:spacing w:line="500" w:lineRule="exact"/>
        <w:ind w:firstLine="566" w:firstLineChars="200"/>
        <w:rPr>
          <w:rFonts w:cs="Times New Roman"/>
          <w:color w:val="auto"/>
        </w:rPr>
      </w:pPr>
      <w:r>
        <w:rPr>
          <w:rFonts w:hint="eastAsia" w:ascii="仿宋" w:hAnsi="仿宋" w:eastAsia="仿宋" w:cs="仿宋"/>
          <w:color w:val="auto"/>
        </w:rPr>
        <w:t>6</w:t>
      </w:r>
      <w:r>
        <w:rPr>
          <w:rFonts w:hint="eastAsia" w:ascii="仿宋" w:hAnsi="仿宋" w:eastAsia="仿宋" w:cs="仿宋"/>
          <w:color w:val="auto"/>
          <w:lang w:val="en-US" w:eastAsia="zh-CN"/>
        </w:rPr>
        <w:t>.</w:t>
      </w:r>
      <w:r>
        <w:rPr>
          <w:rFonts w:hint="eastAsia" w:cs="华文仿宋"/>
          <w:color w:val="auto"/>
        </w:rPr>
        <w:t>不在提供服务时损害采购人的合法权益。</w:t>
      </w:r>
    </w:p>
    <w:p w14:paraId="713D5F73">
      <w:pPr>
        <w:spacing w:line="500" w:lineRule="exact"/>
        <w:ind w:firstLine="566" w:firstLineChars="200"/>
        <w:rPr>
          <w:rFonts w:cs="Times New Roman"/>
          <w:color w:val="auto"/>
        </w:rPr>
      </w:pPr>
      <w:r>
        <w:rPr>
          <w:rFonts w:hint="eastAsia" w:ascii="仿宋" w:hAnsi="仿宋" w:eastAsia="仿宋" w:cs="仿宋"/>
          <w:color w:val="auto"/>
        </w:rPr>
        <w:t>7</w:t>
      </w:r>
      <w:r>
        <w:rPr>
          <w:rFonts w:hint="eastAsia" w:ascii="仿宋" w:hAnsi="仿宋" w:eastAsia="仿宋" w:cs="仿宋"/>
          <w:color w:val="auto"/>
          <w:lang w:val="en-US" w:eastAsia="zh-CN"/>
        </w:rPr>
        <w:t>.</w:t>
      </w:r>
      <w:r>
        <w:rPr>
          <w:rFonts w:hint="eastAsia" w:cs="华文仿宋"/>
          <w:color w:val="auto"/>
        </w:rPr>
        <w:t>不与采购人、采购代理机构政府采购评审专家或其它投标人恶意串通，进行质疑和投诉，维护政府采购市场秩序。</w:t>
      </w:r>
    </w:p>
    <w:p w14:paraId="25E0BB9B">
      <w:pPr>
        <w:spacing w:line="500" w:lineRule="exact"/>
        <w:ind w:firstLine="566" w:firstLineChars="200"/>
        <w:rPr>
          <w:rFonts w:cs="Times New Roman"/>
          <w:color w:val="auto"/>
        </w:rPr>
      </w:pPr>
      <w:r>
        <w:rPr>
          <w:rFonts w:hint="eastAsia" w:ascii="仿宋" w:hAnsi="仿宋" w:eastAsia="仿宋" w:cs="仿宋"/>
          <w:color w:val="auto"/>
        </w:rPr>
        <w:t>8</w:t>
      </w:r>
      <w:r>
        <w:rPr>
          <w:rFonts w:hint="eastAsia" w:ascii="仿宋" w:hAnsi="仿宋" w:eastAsia="仿宋" w:cs="仿宋"/>
          <w:color w:val="auto"/>
          <w:lang w:val="en-US" w:eastAsia="zh-CN"/>
        </w:rPr>
        <w:t>.</w:t>
      </w:r>
      <w:r>
        <w:rPr>
          <w:rFonts w:hint="eastAsia" w:cs="华文仿宋"/>
          <w:color w:val="auto"/>
        </w:rPr>
        <w:t>尊重和接受政府采购监督管理部门的监督和政府采购代理机构招标采购要求，承担因违约行为给采购人造成的损失。</w:t>
      </w:r>
    </w:p>
    <w:p w14:paraId="0E03CB01">
      <w:pPr>
        <w:spacing w:line="500" w:lineRule="exact"/>
        <w:ind w:firstLine="566" w:firstLineChars="200"/>
        <w:rPr>
          <w:rFonts w:cs="Times New Roman"/>
          <w:color w:val="auto"/>
        </w:rPr>
      </w:pPr>
      <w:r>
        <w:rPr>
          <w:rFonts w:hint="eastAsia" w:ascii="仿宋" w:hAnsi="仿宋" w:eastAsia="仿宋" w:cs="仿宋"/>
          <w:color w:val="auto"/>
        </w:rPr>
        <w:t>9</w:t>
      </w:r>
      <w:r>
        <w:rPr>
          <w:rFonts w:hint="eastAsia" w:ascii="仿宋" w:hAnsi="仿宋" w:eastAsia="仿宋" w:cs="仿宋"/>
          <w:color w:val="auto"/>
          <w:lang w:val="en-US" w:eastAsia="zh-CN"/>
        </w:rPr>
        <w:t>.</w:t>
      </w:r>
      <w:r>
        <w:rPr>
          <w:rFonts w:hint="eastAsia" w:cs="华文仿宋"/>
          <w:color w:val="auto"/>
        </w:rPr>
        <w:t>不发生其他有悖于政府采购公开、公平、公正和诚信原则的行为。</w:t>
      </w:r>
    </w:p>
    <w:p w14:paraId="4E358BC2">
      <w:pPr>
        <w:spacing w:line="500" w:lineRule="exact"/>
        <w:rPr>
          <w:rFonts w:cs="Times New Roman"/>
          <w:color w:val="auto"/>
        </w:rPr>
      </w:pPr>
    </w:p>
    <w:p w14:paraId="2CE79DBC">
      <w:pPr>
        <w:spacing w:line="500" w:lineRule="exact"/>
        <w:ind w:firstLine="5094" w:firstLineChars="1800"/>
        <w:rPr>
          <w:rFonts w:cs="Times New Roman"/>
          <w:color w:val="auto"/>
        </w:rPr>
      </w:pPr>
      <w:r>
        <w:rPr>
          <w:rFonts w:hint="eastAsia" w:cs="华文仿宋"/>
          <w:color w:val="auto"/>
        </w:rPr>
        <w:t>投标人：</w:t>
      </w:r>
      <w:r>
        <w:rPr>
          <w:rFonts w:hint="eastAsia" w:cs="华文仿宋"/>
          <w:color w:val="auto"/>
          <w:u w:val="single"/>
        </w:rPr>
        <w:t>名称</w:t>
      </w:r>
      <w:r>
        <w:rPr>
          <w:rFonts w:hint="eastAsia" w:cs="华文仿宋"/>
          <w:color w:val="auto"/>
        </w:rPr>
        <w:t>（加盖公章）</w:t>
      </w:r>
    </w:p>
    <w:p w14:paraId="096EE224">
      <w:pPr>
        <w:spacing w:line="500" w:lineRule="exact"/>
        <w:ind w:firstLine="5377" w:firstLineChars="1900"/>
        <w:rPr>
          <w:rFonts w:cs="Times New Roman"/>
          <w:color w:val="auto"/>
        </w:rPr>
      </w:pPr>
      <w:r>
        <w:rPr>
          <w:rFonts w:hint="eastAsia" w:cs="华文仿宋"/>
          <w:color w:val="auto"/>
        </w:rPr>
        <w:t>日期：　年　月　日</w:t>
      </w:r>
    </w:p>
    <w:p w14:paraId="059AF2B7">
      <w:pPr>
        <w:spacing w:line="500" w:lineRule="exact"/>
        <w:jc w:val="left"/>
        <w:outlineLvl w:val="2"/>
        <w:rPr>
          <w:rFonts w:cs="Times New Roman"/>
          <w:color w:val="auto"/>
        </w:rPr>
      </w:pPr>
    </w:p>
    <w:p w14:paraId="660E2D91">
      <w:pPr>
        <w:spacing w:line="500" w:lineRule="exact"/>
        <w:jc w:val="left"/>
        <w:outlineLvl w:val="2"/>
        <w:rPr>
          <w:rFonts w:cs="Times New Roman"/>
          <w:color w:val="auto"/>
        </w:rPr>
      </w:pPr>
    </w:p>
    <w:p w14:paraId="26B989A8">
      <w:pPr>
        <w:spacing w:line="500" w:lineRule="exact"/>
        <w:jc w:val="left"/>
        <w:outlineLvl w:val="2"/>
        <w:rPr>
          <w:rFonts w:cs="Times New Roman"/>
          <w:color w:val="auto"/>
        </w:rPr>
      </w:pPr>
    </w:p>
    <w:p w14:paraId="2B2E16E0">
      <w:pPr>
        <w:spacing w:line="500" w:lineRule="exact"/>
        <w:jc w:val="left"/>
        <w:outlineLvl w:val="2"/>
        <w:rPr>
          <w:rFonts w:cs="Times New Roman"/>
          <w:color w:val="auto"/>
        </w:rPr>
      </w:pPr>
    </w:p>
    <w:p w14:paraId="06DCD9A3">
      <w:pPr>
        <w:spacing w:line="500" w:lineRule="exact"/>
        <w:jc w:val="left"/>
        <w:outlineLvl w:val="2"/>
        <w:rPr>
          <w:rFonts w:cs="Times New Roman"/>
          <w:color w:val="auto"/>
        </w:rPr>
      </w:pPr>
    </w:p>
    <w:p w14:paraId="359D4C82">
      <w:pPr>
        <w:spacing w:line="500" w:lineRule="exact"/>
        <w:jc w:val="left"/>
        <w:outlineLvl w:val="2"/>
        <w:rPr>
          <w:rFonts w:cs="Times New Roman"/>
          <w:color w:val="auto"/>
        </w:rPr>
      </w:pPr>
    </w:p>
    <w:p w14:paraId="2EE4A57A">
      <w:pPr>
        <w:spacing w:line="500" w:lineRule="exact"/>
        <w:jc w:val="left"/>
        <w:outlineLvl w:val="2"/>
        <w:rPr>
          <w:rFonts w:cs="Times New Roman"/>
          <w:color w:val="auto"/>
        </w:rPr>
      </w:pPr>
    </w:p>
    <w:p w14:paraId="644E362B">
      <w:pPr>
        <w:spacing w:before="190" w:beforeLines="50" w:line="500" w:lineRule="exact"/>
        <w:ind w:firstLine="566" w:firstLineChars="200"/>
        <w:jc w:val="left"/>
        <w:rPr>
          <w:rFonts w:hint="eastAsia" w:cs="华文仿宋"/>
          <w:b/>
          <w:bCs/>
          <w:color w:val="auto"/>
        </w:rPr>
      </w:pPr>
    </w:p>
    <w:p w14:paraId="12F28F6A">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承诺书Ⅱ</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03E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B70D369">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pacing w:val="-6"/>
                <w:sz w:val="28"/>
                <w:szCs w:val="28"/>
                <w:lang w:eastAsia="zh-CN"/>
              </w:rPr>
              <w:t>延安市公共资源交易中心（延安市市直单位政府采购中心）</w:t>
            </w:r>
          </w:p>
        </w:tc>
      </w:tr>
      <w:tr w14:paraId="139E1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67B4664">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作为参加贵单位组织的招标采购项目的投标人，本公司承诺：在参加本项目招标之前不存在被依法禁止经营行为、财产被接管或冻结的情况，如有隐瞒实情，愿承担一切责任及后果。</w:t>
            </w:r>
          </w:p>
        </w:tc>
      </w:tr>
      <w:tr w14:paraId="7EB9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0969137">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B310EC8">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36195CCB">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3D5DB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9CAECB6">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07A1BEE5">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7588B84A">
            <w:pPr>
              <w:spacing w:line="360" w:lineRule="atLeast"/>
              <w:ind w:firstLine="283" w:firstLineChars="100"/>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6B655A9D">
      <w:pPr>
        <w:spacing w:line="360" w:lineRule="atLeast"/>
        <w:rPr>
          <w:rFonts w:hint="eastAsia" w:ascii="宋体" w:hAnsi="宋体"/>
          <w:b/>
          <w:sz w:val="42"/>
          <w:szCs w:val="42"/>
        </w:rPr>
      </w:pPr>
    </w:p>
    <w:p w14:paraId="79F21527">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承诺书Ⅲ</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7DE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37438FD">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518E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9B11CBF">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作为参加贵单位组织的招标采购项目的投标人，本公司郑重申告并承诺：近三年受到有关行政主管部门的行政处理、不良行为记录为    次（没有填零），如有隐瞒实情，愿承担一切责任及后果。</w:t>
            </w:r>
          </w:p>
        </w:tc>
      </w:tr>
      <w:tr w14:paraId="6395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E22183">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7370FE82">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76028926">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2733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88D4270">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3230B57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2F2077F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39A19616">
      <w:pPr>
        <w:spacing w:line="360" w:lineRule="atLeast"/>
        <w:rPr>
          <w:rFonts w:hint="eastAsia" w:ascii="宋体" w:hAnsi="宋体"/>
          <w:b/>
          <w:sz w:val="32"/>
          <w:szCs w:val="32"/>
        </w:rPr>
      </w:pPr>
    </w:p>
    <w:p w14:paraId="3387DABB">
      <w:pPr>
        <w:spacing w:line="360" w:lineRule="atLeast"/>
        <w:jc w:val="center"/>
        <w:rPr>
          <w:rFonts w:hint="eastAsia" w:ascii="宋体" w:hAnsi="宋体"/>
          <w:b/>
          <w:sz w:val="32"/>
          <w:szCs w:val="32"/>
        </w:rPr>
      </w:pPr>
    </w:p>
    <w:p w14:paraId="1AD57D8D">
      <w:pPr>
        <w:spacing w:before="190" w:beforeLines="50" w:line="500" w:lineRule="exact"/>
        <w:ind w:firstLine="566" w:firstLineChars="200"/>
        <w:jc w:val="left"/>
        <w:rPr>
          <w:rFonts w:hint="eastAsia" w:cs="华文仿宋"/>
          <w:b/>
          <w:bCs/>
          <w:color w:val="auto"/>
        </w:rPr>
      </w:pPr>
      <w:r>
        <w:rPr>
          <w:rFonts w:hint="eastAsia" w:cs="华文仿宋"/>
          <w:b/>
          <w:bCs/>
          <w:color w:val="auto"/>
        </w:rPr>
        <w:t>承诺书Ⅳ</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388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CB62686">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6F34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ACAF646">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作为参加贵单位组织的招标采购项目的投标人，本公司郑重申告：近三年</w:t>
            </w:r>
            <w:r>
              <w:rPr>
                <w:rFonts w:hint="eastAsia" w:ascii="仿宋" w:hAnsi="仿宋" w:eastAsia="仿宋" w:cs="仿宋"/>
                <w:sz w:val="28"/>
                <w:szCs w:val="28"/>
                <w:lang w:val="en-US" w:eastAsia="zh-CN"/>
              </w:rPr>
              <w:t>存在任何</w:t>
            </w:r>
            <w:r>
              <w:rPr>
                <w:rFonts w:hint="eastAsia" w:ascii="仿宋" w:hAnsi="仿宋" w:eastAsia="仿宋" w:cs="仿宋"/>
                <w:sz w:val="28"/>
                <w:szCs w:val="28"/>
              </w:rPr>
              <w:t>不法行为记录为   次（没有填零），如有隐瞒实情，愿承担一切责任及后果。</w:t>
            </w:r>
          </w:p>
          <w:p w14:paraId="0D0E2458">
            <w:pPr>
              <w:spacing w:line="360" w:lineRule="atLeast"/>
              <w:rPr>
                <w:rFonts w:hint="eastAsia" w:ascii="仿宋" w:hAnsi="仿宋" w:eastAsia="仿宋" w:cs="仿宋"/>
                <w:sz w:val="28"/>
                <w:szCs w:val="28"/>
              </w:rPr>
            </w:pPr>
            <w:r>
              <w:rPr>
                <w:rFonts w:hint="eastAsia" w:ascii="仿宋" w:hAnsi="仿宋" w:eastAsia="仿宋" w:cs="仿宋"/>
                <w:sz w:val="28"/>
                <w:szCs w:val="28"/>
              </w:rPr>
              <w:t>本公司承诺：本次</w:t>
            </w:r>
            <w:r>
              <w:rPr>
                <w:rFonts w:hint="eastAsia" w:ascii="仿宋" w:hAnsi="仿宋" w:eastAsia="仿宋" w:cs="仿宋"/>
                <w:sz w:val="28"/>
                <w:szCs w:val="28"/>
                <w:lang w:val="en-US" w:eastAsia="zh-CN"/>
              </w:rPr>
              <w:t>所投服务无任何纠纷</w:t>
            </w:r>
            <w:r>
              <w:rPr>
                <w:rFonts w:hint="eastAsia" w:ascii="仿宋" w:hAnsi="仿宋" w:eastAsia="仿宋" w:cs="仿宋"/>
                <w:sz w:val="28"/>
                <w:szCs w:val="28"/>
              </w:rPr>
              <w:t>。</w:t>
            </w:r>
          </w:p>
        </w:tc>
      </w:tr>
      <w:tr w14:paraId="1B40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52794E9">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AE8E977">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5A76E165">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34F9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8034802">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31DF8D1F">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2363419C">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5DEFB0C3">
      <w:pPr>
        <w:spacing w:line="360" w:lineRule="auto"/>
        <w:ind w:right="480"/>
        <w:rPr>
          <w:rFonts w:hint="eastAsia" w:ascii="宋体" w:hAnsi="宋体"/>
          <w:sz w:val="24"/>
          <w:szCs w:val="28"/>
        </w:rPr>
      </w:pPr>
    </w:p>
    <w:p w14:paraId="5FCAE6EE">
      <w:pPr>
        <w:spacing w:before="190" w:beforeLines="50" w:line="500" w:lineRule="exact"/>
        <w:ind w:firstLine="566" w:firstLineChars="200"/>
        <w:jc w:val="left"/>
        <w:rPr>
          <w:rFonts w:hint="eastAsia" w:cs="华文仿宋"/>
          <w:b/>
          <w:bCs/>
          <w:color w:val="auto"/>
        </w:rPr>
      </w:pPr>
      <w:r>
        <w:rPr>
          <w:rFonts w:hint="eastAsia" w:cs="华文仿宋"/>
          <w:b/>
          <w:bCs/>
          <w:color w:val="auto"/>
        </w:rPr>
        <w:t>承诺书</w:t>
      </w:r>
      <w:r>
        <w:rPr>
          <w:rFonts w:hint="eastAsia" w:cs="华文仿宋"/>
          <w:b/>
          <w:bCs/>
          <w:color w:val="auto"/>
        </w:rPr>
        <w:fldChar w:fldCharType="begin"/>
      </w:r>
      <w:r>
        <w:rPr>
          <w:rFonts w:hint="eastAsia" w:cs="华文仿宋"/>
          <w:b/>
          <w:bCs/>
          <w:color w:val="auto"/>
        </w:rPr>
        <w:instrText xml:space="preserve"> = 5 \* ROMAN </w:instrText>
      </w:r>
      <w:r>
        <w:rPr>
          <w:rFonts w:hint="eastAsia" w:cs="华文仿宋"/>
          <w:b/>
          <w:bCs/>
          <w:color w:val="auto"/>
        </w:rPr>
        <w:fldChar w:fldCharType="separate"/>
      </w:r>
      <w:r>
        <w:rPr>
          <w:rFonts w:hint="eastAsia" w:cs="华文仿宋"/>
          <w:b/>
          <w:bCs/>
          <w:color w:val="auto"/>
        </w:rPr>
        <w:t>V</w:t>
      </w:r>
      <w:r>
        <w:rPr>
          <w:rFonts w:hint="eastAsia" w:cs="华文仿宋"/>
          <w:b/>
          <w:bCs/>
          <w:color w:val="auto"/>
        </w:rPr>
        <w:fldChar w:fldCharType="end"/>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8F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A991D39">
            <w:pPr>
              <w:spacing w:line="360" w:lineRule="atLeast"/>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lang w:eastAsia="zh-CN"/>
              </w:rPr>
              <w:t>延安市公共资源交易中心（延安市市直单位政府采购中心）</w:t>
            </w:r>
          </w:p>
        </w:tc>
      </w:tr>
      <w:tr w14:paraId="43CF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77846CF">
            <w:pPr>
              <w:spacing w:line="360" w:lineRule="atLeast"/>
              <w:ind w:firstLine="566" w:firstLineChars="200"/>
              <w:rPr>
                <w:rFonts w:hint="eastAsia" w:ascii="仿宋" w:hAnsi="仿宋" w:eastAsia="仿宋" w:cs="仿宋"/>
                <w:sz w:val="28"/>
                <w:szCs w:val="28"/>
              </w:rPr>
            </w:pPr>
            <w:r>
              <w:rPr>
                <w:rFonts w:hint="eastAsia" w:ascii="仿宋" w:hAnsi="仿宋" w:eastAsia="仿宋" w:cs="仿宋"/>
                <w:sz w:val="28"/>
                <w:szCs w:val="28"/>
              </w:rPr>
              <w:t>作为参加贵单位组织的招标采购项目的投标人，本公司承诺：参加本次投标提交的所有资质证明文件及业绩证明文件是真实的、有效的，如有隐瞒实情，愿承担一切责任及后果。</w:t>
            </w:r>
          </w:p>
        </w:tc>
      </w:tr>
      <w:tr w14:paraId="5A62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9097F1E">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投标人</w:t>
            </w:r>
          </w:p>
        </w:tc>
        <w:tc>
          <w:tcPr>
            <w:tcW w:w="3420" w:type="dxa"/>
            <w:noWrap w:val="0"/>
            <w:vAlign w:val="center"/>
          </w:tcPr>
          <w:p w14:paraId="52EC0ED8">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2340" w:type="dxa"/>
            <w:noWrap w:val="0"/>
            <w:vAlign w:val="center"/>
          </w:tcPr>
          <w:p w14:paraId="77FEC5D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日   期</w:t>
            </w:r>
          </w:p>
        </w:tc>
      </w:tr>
      <w:tr w14:paraId="11B0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335CE19">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（公章）</w:t>
            </w:r>
          </w:p>
        </w:tc>
        <w:tc>
          <w:tcPr>
            <w:tcW w:w="3420" w:type="dxa"/>
            <w:noWrap w:val="0"/>
            <w:vAlign w:val="center"/>
          </w:tcPr>
          <w:p w14:paraId="031A110B">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（签字或盖章）</w:t>
            </w:r>
          </w:p>
        </w:tc>
        <w:tc>
          <w:tcPr>
            <w:tcW w:w="2340" w:type="dxa"/>
            <w:noWrap w:val="0"/>
            <w:vAlign w:val="center"/>
          </w:tcPr>
          <w:p w14:paraId="7DC57EB4">
            <w:pPr>
              <w:spacing w:line="360" w:lineRule="atLeast"/>
              <w:jc w:val="center"/>
              <w:rPr>
                <w:rFonts w:hint="eastAsia" w:ascii="仿宋" w:hAnsi="仿宋" w:eastAsia="仿宋" w:cs="仿宋"/>
                <w:sz w:val="28"/>
                <w:szCs w:val="28"/>
              </w:rPr>
            </w:pPr>
            <w:r>
              <w:rPr>
                <w:rFonts w:hint="eastAsia" w:ascii="仿宋" w:hAnsi="仿宋" w:eastAsia="仿宋" w:cs="仿宋"/>
                <w:sz w:val="28"/>
                <w:szCs w:val="28"/>
              </w:rPr>
              <w:t>年  月  日</w:t>
            </w:r>
          </w:p>
        </w:tc>
      </w:tr>
    </w:tbl>
    <w:p w14:paraId="5C236DFC">
      <w:pPr>
        <w:wordWrap w:val="0"/>
        <w:spacing w:line="360" w:lineRule="auto"/>
        <w:ind w:right="456" w:firstLine="2584" w:firstLineChars="800"/>
        <w:rPr>
          <w:rFonts w:hint="eastAsia" w:ascii="宋体" w:hAnsi="宋体"/>
          <w:b/>
          <w:bCs/>
          <w:color w:val="000000"/>
          <w:sz w:val="32"/>
        </w:rPr>
      </w:pPr>
    </w:p>
    <w:p w14:paraId="5CB5AF0D">
      <w:pPr>
        <w:wordWrap w:val="0"/>
        <w:spacing w:line="360" w:lineRule="auto"/>
        <w:ind w:right="456" w:firstLine="2584" w:firstLineChars="800"/>
        <w:rPr>
          <w:rFonts w:hint="eastAsia" w:ascii="宋体" w:hAnsi="宋体"/>
          <w:b/>
          <w:bCs/>
          <w:color w:val="000000"/>
          <w:sz w:val="32"/>
        </w:rPr>
      </w:pPr>
    </w:p>
    <w:p w14:paraId="326C039F">
      <w:pPr>
        <w:pStyle w:val="12"/>
        <w:rPr>
          <w:rFonts w:hint="eastAsia" w:ascii="宋体" w:hAnsi="宋体" w:eastAsia="宋体" w:cs="Times New Roman"/>
          <w:sz w:val="24"/>
          <w:szCs w:val="28"/>
        </w:rPr>
      </w:pPr>
    </w:p>
    <w:p w14:paraId="4F438A0F">
      <w:pPr>
        <w:spacing w:line="500" w:lineRule="exact"/>
        <w:jc w:val="left"/>
        <w:outlineLvl w:val="2"/>
        <w:rPr>
          <w:rFonts w:ascii="仿宋" w:hAnsi="仿宋" w:eastAsia="仿宋" w:cs="仿宋"/>
          <w:b/>
          <w:bCs/>
          <w:color w:val="auto"/>
          <w:sz w:val="32"/>
          <w:szCs w:val="32"/>
        </w:rPr>
      </w:pPr>
      <w:bookmarkStart w:id="760" w:name="_Toc1596"/>
      <w:bookmarkEnd w:id="760"/>
      <w:bookmarkStart w:id="761" w:name="_Toc28398"/>
      <w:bookmarkEnd w:id="761"/>
      <w:bookmarkStart w:id="762" w:name="_Toc9339"/>
      <w:bookmarkEnd w:id="762"/>
      <w:bookmarkStart w:id="763" w:name="_Toc17794"/>
      <w:bookmarkEnd w:id="763"/>
      <w:bookmarkStart w:id="764" w:name="_Toc14522"/>
      <w:bookmarkEnd w:id="764"/>
      <w:bookmarkStart w:id="765" w:name="_Toc11343"/>
      <w:bookmarkEnd w:id="765"/>
      <w:bookmarkStart w:id="766" w:name="_Toc29995"/>
      <w:bookmarkEnd w:id="766"/>
      <w:r>
        <w:rPr>
          <w:rFonts w:hint="eastAsia" w:ascii="仿宋" w:hAnsi="仿宋" w:eastAsia="仿宋" w:cs="仿宋"/>
          <w:b/>
          <w:bCs/>
          <w:color w:val="auto"/>
          <w:sz w:val="32"/>
          <w:szCs w:val="32"/>
        </w:rPr>
        <w:t>四、技术服务偏差表</w:t>
      </w:r>
    </w:p>
    <w:p w14:paraId="2D55243A">
      <w:pPr>
        <w:pStyle w:val="64"/>
        <w:spacing w:line="500" w:lineRule="exact"/>
        <w:rPr>
          <w:rFonts w:ascii="仿宋" w:hAnsi="仿宋" w:eastAsia="仿宋" w:cs="仿宋"/>
          <w:b/>
          <w:bCs/>
          <w:color w:val="auto"/>
          <w:sz w:val="28"/>
          <w:szCs w:val="28"/>
        </w:rPr>
      </w:pPr>
      <w:r>
        <w:rPr>
          <w:rFonts w:hint="eastAsia" w:ascii="仿宋" w:hAnsi="仿宋" w:eastAsia="仿宋" w:cs="仿宋"/>
          <w:b/>
          <w:bCs/>
          <w:color w:val="auto"/>
          <w:sz w:val="28"/>
          <w:szCs w:val="28"/>
        </w:rPr>
        <w:t>（一）实质性条款响应表</w:t>
      </w:r>
    </w:p>
    <w:tbl>
      <w:tblPr>
        <w:tblStyle w:val="29"/>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3249"/>
        <w:gridCol w:w="3113"/>
        <w:gridCol w:w="1697"/>
      </w:tblGrid>
      <w:tr w14:paraId="6E8D0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40" w:type="pct"/>
            <w:shd w:val="clear" w:color="auto" w:fill="D8D8D8"/>
            <w:noWrap w:val="0"/>
            <w:vAlign w:val="center"/>
          </w:tcPr>
          <w:p w14:paraId="128F4F9C">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序号</w:t>
            </w:r>
          </w:p>
        </w:tc>
        <w:tc>
          <w:tcPr>
            <w:tcW w:w="1838" w:type="pct"/>
            <w:shd w:val="clear" w:color="auto" w:fill="D8D8D8"/>
            <w:noWrap w:val="0"/>
            <w:vAlign w:val="center"/>
          </w:tcPr>
          <w:p w14:paraId="3FB3FD02">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招标文件实质性条款</w:t>
            </w:r>
          </w:p>
        </w:tc>
        <w:tc>
          <w:tcPr>
            <w:tcW w:w="1761" w:type="pct"/>
            <w:shd w:val="clear" w:color="auto" w:fill="D8D8D8"/>
            <w:noWrap w:val="0"/>
            <w:vAlign w:val="center"/>
          </w:tcPr>
          <w:p w14:paraId="4DC0893E">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投标文件响应条款</w:t>
            </w:r>
          </w:p>
        </w:tc>
        <w:tc>
          <w:tcPr>
            <w:tcW w:w="960" w:type="pct"/>
            <w:shd w:val="clear" w:color="auto" w:fill="D8D8D8"/>
            <w:noWrap w:val="0"/>
            <w:vAlign w:val="center"/>
          </w:tcPr>
          <w:p w14:paraId="005242E7">
            <w:pPr>
              <w:spacing w:line="500" w:lineRule="exact"/>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是否完全响应</w:t>
            </w:r>
          </w:p>
        </w:tc>
      </w:tr>
      <w:tr w14:paraId="35E1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467AE8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1</w:t>
            </w:r>
          </w:p>
        </w:tc>
        <w:tc>
          <w:tcPr>
            <w:tcW w:w="1838" w:type="pct"/>
            <w:noWrap w:val="0"/>
            <w:vAlign w:val="center"/>
          </w:tcPr>
          <w:p w14:paraId="378BE503">
            <w:pPr>
              <w:spacing w:line="500" w:lineRule="exact"/>
              <w:rPr>
                <w:rFonts w:ascii="仿宋" w:hAnsi="仿宋" w:eastAsia="仿宋" w:cs="仿宋"/>
                <w:color w:val="auto"/>
                <w:sz w:val="24"/>
                <w:szCs w:val="24"/>
              </w:rPr>
            </w:pPr>
          </w:p>
        </w:tc>
        <w:tc>
          <w:tcPr>
            <w:tcW w:w="1761" w:type="pct"/>
            <w:noWrap w:val="0"/>
            <w:vAlign w:val="center"/>
          </w:tcPr>
          <w:p w14:paraId="475220D9">
            <w:pPr>
              <w:spacing w:line="500" w:lineRule="exact"/>
              <w:rPr>
                <w:rFonts w:ascii="仿宋" w:hAnsi="仿宋" w:eastAsia="仿宋" w:cs="仿宋"/>
                <w:color w:val="auto"/>
                <w:sz w:val="24"/>
                <w:szCs w:val="24"/>
              </w:rPr>
            </w:pPr>
          </w:p>
        </w:tc>
        <w:tc>
          <w:tcPr>
            <w:tcW w:w="960" w:type="pct"/>
            <w:noWrap w:val="0"/>
            <w:vAlign w:val="center"/>
          </w:tcPr>
          <w:p w14:paraId="6BC9959D">
            <w:pPr>
              <w:spacing w:line="500" w:lineRule="exact"/>
              <w:rPr>
                <w:rFonts w:ascii="仿宋" w:hAnsi="仿宋" w:eastAsia="仿宋" w:cs="仿宋"/>
                <w:color w:val="auto"/>
                <w:sz w:val="24"/>
                <w:szCs w:val="24"/>
              </w:rPr>
            </w:pPr>
          </w:p>
        </w:tc>
      </w:tr>
      <w:tr w14:paraId="78B2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36768E9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2</w:t>
            </w:r>
          </w:p>
        </w:tc>
        <w:tc>
          <w:tcPr>
            <w:tcW w:w="1838" w:type="pct"/>
            <w:noWrap w:val="0"/>
            <w:vAlign w:val="center"/>
          </w:tcPr>
          <w:p w14:paraId="5D43EE54">
            <w:pPr>
              <w:spacing w:line="500" w:lineRule="exact"/>
              <w:rPr>
                <w:rFonts w:ascii="仿宋" w:hAnsi="仿宋" w:eastAsia="仿宋" w:cs="仿宋"/>
                <w:color w:val="auto"/>
                <w:sz w:val="24"/>
                <w:szCs w:val="24"/>
              </w:rPr>
            </w:pPr>
          </w:p>
        </w:tc>
        <w:tc>
          <w:tcPr>
            <w:tcW w:w="1761" w:type="pct"/>
            <w:noWrap w:val="0"/>
            <w:vAlign w:val="center"/>
          </w:tcPr>
          <w:p w14:paraId="552BD6E4">
            <w:pPr>
              <w:spacing w:line="500" w:lineRule="exact"/>
              <w:rPr>
                <w:rFonts w:ascii="仿宋" w:hAnsi="仿宋" w:eastAsia="仿宋" w:cs="仿宋"/>
                <w:color w:val="auto"/>
                <w:sz w:val="24"/>
                <w:szCs w:val="24"/>
              </w:rPr>
            </w:pPr>
          </w:p>
        </w:tc>
        <w:tc>
          <w:tcPr>
            <w:tcW w:w="960" w:type="pct"/>
            <w:noWrap w:val="0"/>
            <w:vAlign w:val="center"/>
          </w:tcPr>
          <w:p w14:paraId="1C8C386E">
            <w:pPr>
              <w:spacing w:line="500" w:lineRule="exact"/>
              <w:rPr>
                <w:rFonts w:ascii="仿宋" w:hAnsi="仿宋" w:eastAsia="仿宋" w:cs="仿宋"/>
                <w:color w:val="auto"/>
                <w:sz w:val="24"/>
                <w:szCs w:val="24"/>
              </w:rPr>
            </w:pPr>
          </w:p>
        </w:tc>
      </w:tr>
      <w:tr w14:paraId="2C95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361C2A3">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3</w:t>
            </w:r>
          </w:p>
        </w:tc>
        <w:tc>
          <w:tcPr>
            <w:tcW w:w="1838" w:type="pct"/>
            <w:noWrap w:val="0"/>
            <w:vAlign w:val="center"/>
          </w:tcPr>
          <w:p w14:paraId="56BEAD40">
            <w:pPr>
              <w:spacing w:line="500" w:lineRule="exact"/>
              <w:rPr>
                <w:rFonts w:ascii="仿宋" w:hAnsi="仿宋" w:eastAsia="仿宋" w:cs="仿宋"/>
                <w:color w:val="auto"/>
                <w:sz w:val="24"/>
                <w:szCs w:val="24"/>
              </w:rPr>
            </w:pPr>
          </w:p>
        </w:tc>
        <w:tc>
          <w:tcPr>
            <w:tcW w:w="1761" w:type="pct"/>
            <w:noWrap w:val="0"/>
            <w:vAlign w:val="center"/>
          </w:tcPr>
          <w:p w14:paraId="26FDAE51">
            <w:pPr>
              <w:spacing w:line="500" w:lineRule="exact"/>
              <w:rPr>
                <w:rFonts w:ascii="仿宋" w:hAnsi="仿宋" w:eastAsia="仿宋" w:cs="仿宋"/>
                <w:color w:val="auto"/>
                <w:sz w:val="24"/>
                <w:szCs w:val="24"/>
              </w:rPr>
            </w:pPr>
          </w:p>
        </w:tc>
        <w:tc>
          <w:tcPr>
            <w:tcW w:w="960" w:type="pct"/>
            <w:noWrap w:val="0"/>
            <w:vAlign w:val="center"/>
          </w:tcPr>
          <w:p w14:paraId="7E6FCAFE">
            <w:pPr>
              <w:spacing w:line="500" w:lineRule="exact"/>
              <w:rPr>
                <w:rFonts w:ascii="仿宋" w:hAnsi="仿宋" w:eastAsia="仿宋" w:cs="仿宋"/>
                <w:color w:val="auto"/>
                <w:sz w:val="24"/>
                <w:szCs w:val="24"/>
              </w:rPr>
            </w:pPr>
          </w:p>
        </w:tc>
      </w:tr>
      <w:tr w14:paraId="5EFF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5E0227D">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4</w:t>
            </w:r>
          </w:p>
        </w:tc>
        <w:tc>
          <w:tcPr>
            <w:tcW w:w="1838" w:type="pct"/>
            <w:noWrap w:val="0"/>
            <w:vAlign w:val="center"/>
          </w:tcPr>
          <w:p w14:paraId="0F44D5F8">
            <w:pPr>
              <w:spacing w:line="500" w:lineRule="exact"/>
              <w:rPr>
                <w:rFonts w:ascii="仿宋" w:hAnsi="仿宋" w:eastAsia="仿宋" w:cs="仿宋"/>
                <w:color w:val="auto"/>
                <w:sz w:val="24"/>
                <w:szCs w:val="24"/>
              </w:rPr>
            </w:pPr>
          </w:p>
        </w:tc>
        <w:tc>
          <w:tcPr>
            <w:tcW w:w="1761" w:type="pct"/>
            <w:noWrap w:val="0"/>
            <w:vAlign w:val="center"/>
          </w:tcPr>
          <w:p w14:paraId="2AE01DE0">
            <w:pPr>
              <w:spacing w:line="500" w:lineRule="exact"/>
              <w:rPr>
                <w:rFonts w:ascii="仿宋" w:hAnsi="仿宋" w:eastAsia="仿宋" w:cs="仿宋"/>
                <w:color w:val="auto"/>
                <w:sz w:val="24"/>
                <w:szCs w:val="24"/>
              </w:rPr>
            </w:pPr>
          </w:p>
        </w:tc>
        <w:tc>
          <w:tcPr>
            <w:tcW w:w="960" w:type="pct"/>
            <w:noWrap w:val="0"/>
            <w:vAlign w:val="center"/>
          </w:tcPr>
          <w:p w14:paraId="48FC92D1">
            <w:pPr>
              <w:spacing w:line="500" w:lineRule="exact"/>
              <w:rPr>
                <w:rFonts w:ascii="仿宋" w:hAnsi="仿宋" w:eastAsia="仿宋" w:cs="仿宋"/>
                <w:color w:val="auto"/>
                <w:sz w:val="24"/>
                <w:szCs w:val="24"/>
              </w:rPr>
            </w:pPr>
          </w:p>
        </w:tc>
      </w:tr>
      <w:tr w14:paraId="18D7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BB954AE">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5</w:t>
            </w:r>
          </w:p>
        </w:tc>
        <w:tc>
          <w:tcPr>
            <w:tcW w:w="1838" w:type="pct"/>
            <w:noWrap w:val="0"/>
            <w:vAlign w:val="center"/>
          </w:tcPr>
          <w:p w14:paraId="3605808C">
            <w:pPr>
              <w:spacing w:line="500" w:lineRule="exact"/>
              <w:rPr>
                <w:rFonts w:ascii="仿宋" w:hAnsi="仿宋" w:eastAsia="仿宋" w:cs="仿宋"/>
                <w:color w:val="auto"/>
                <w:sz w:val="24"/>
                <w:szCs w:val="24"/>
              </w:rPr>
            </w:pPr>
          </w:p>
        </w:tc>
        <w:tc>
          <w:tcPr>
            <w:tcW w:w="1761" w:type="pct"/>
            <w:noWrap w:val="0"/>
            <w:vAlign w:val="center"/>
          </w:tcPr>
          <w:p w14:paraId="78069A9D">
            <w:pPr>
              <w:spacing w:line="500" w:lineRule="exact"/>
              <w:rPr>
                <w:rFonts w:ascii="仿宋" w:hAnsi="仿宋" w:eastAsia="仿宋" w:cs="仿宋"/>
                <w:color w:val="auto"/>
                <w:sz w:val="24"/>
                <w:szCs w:val="24"/>
              </w:rPr>
            </w:pPr>
          </w:p>
        </w:tc>
        <w:tc>
          <w:tcPr>
            <w:tcW w:w="960" w:type="pct"/>
            <w:noWrap w:val="0"/>
            <w:vAlign w:val="center"/>
          </w:tcPr>
          <w:p w14:paraId="36AECFE6">
            <w:pPr>
              <w:spacing w:line="500" w:lineRule="exact"/>
              <w:rPr>
                <w:rFonts w:ascii="仿宋" w:hAnsi="仿宋" w:eastAsia="仿宋" w:cs="仿宋"/>
                <w:color w:val="auto"/>
                <w:sz w:val="24"/>
                <w:szCs w:val="24"/>
              </w:rPr>
            </w:pPr>
          </w:p>
        </w:tc>
      </w:tr>
      <w:tr w14:paraId="0E9B0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5CCC592">
            <w:pPr>
              <w:spacing w:line="500" w:lineRule="exact"/>
              <w:jc w:val="center"/>
              <w:rPr>
                <w:rFonts w:ascii="仿宋" w:hAnsi="仿宋" w:eastAsia="仿宋" w:cs="仿宋"/>
                <w:color w:val="auto"/>
                <w:sz w:val="24"/>
                <w:szCs w:val="24"/>
              </w:rPr>
            </w:pPr>
            <w:r>
              <w:rPr>
                <w:rFonts w:ascii="仿宋" w:hAnsi="仿宋" w:eastAsia="仿宋" w:cs="仿宋"/>
                <w:color w:val="auto"/>
                <w:sz w:val="24"/>
                <w:szCs w:val="24"/>
              </w:rPr>
              <w:t>6</w:t>
            </w:r>
          </w:p>
        </w:tc>
        <w:tc>
          <w:tcPr>
            <w:tcW w:w="1838" w:type="pct"/>
            <w:noWrap w:val="0"/>
            <w:vAlign w:val="center"/>
          </w:tcPr>
          <w:p w14:paraId="022A8360">
            <w:pPr>
              <w:spacing w:line="500" w:lineRule="exact"/>
              <w:rPr>
                <w:rFonts w:ascii="仿宋" w:hAnsi="仿宋" w:eastAsia="仿宋" w:cs="仿宋"/>
                <w:color w:val="auto"/>
                <w:sz w:val="24"/>
                <w:szCs w:val="24"/>
              </w:rPr>
            </w:pPr>
          </w:p>
        </w:tc>
        <w:tc>
          <w:tcPr>
            <w:tcW w:w="1761" w:type="pct"/>
            <w:noWrap w:val="0"/>
            <w:vAlign w:val="center"/>
          </w:tcPr>
          <w:p w14:paraId="309CC478">
            <w:pPr>
              <w:spacing w:line="500" w:lineRule="exact"/>
              <w:rPr>
                <w:rFonts w:ascii="仿宋" w:hAnsi="仿宋" w:eastAsia="仿宋" w:cs="仿宋"/>
                <w:color w:val="auto"/>
                <w:sz w:val="24"/>
                <w:szCs w:val="24"/>
              </w:rPr>
            </w:pPr>
          </w:p>
        </w:tc>
        <w:tc>
          <w:tcPr>
            <w:tcW w:w="960" w:type="pct"/>
            <w:noWrap w:val="0"/>
            <w:vAlign w:val="center"/>
          </w:tcPr>
          <w:p w14:paraId="5C0DF98D">
            <w:pPr>
              <w:spacing w:line="500" w:lineRule="exact"/>
              <w:rPr>
                <w:rFonts w:ascii="仿宋" w:hAnsi="仿宋" w:eastAsia="仿宋" w:cs="仿宋"/>
                <w:color w:val="auto"/>
                <w:sz w:val="24"/>
                <w:szCs w:val="24"/>
              </w:rPr>
            </w:pPr>
          </w:p>
        </w:tc>
      </w:tr>
      <w:tr w14:paraId="763BE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C3FC049">
            <w:pPr>
              <w:spacing w:line="500" w:lineRule="exact"/>
              <w:rPr>
                <w:rFonts w:ascii="仿宋" w:hAnsi="仿宋" w:eastAsia="仿宋" w:cs="Times New Roman"/>
                <w:color w:val="auto"/>
                <w:sz w:val="24"/>
                <w:szCs w:val="24"/>
              </w:rPr>
            </w:pPr>
            <w:r>
              <w:rPr>
                <w:rFonts w:hint="eastAsia" w:ascii="仿宋" w:hAnsi="仿宋" w:eastAsia="仿宋" w:cs="仿宋"/>
                <w:color w:val="auto"/>
                <w:sz w:val="24"/>
                <w:szCs w:val="24"/>
              </w:rPr>
              <w:t>……</w:t>
            </w:r>
          </w:p>
        </w:tc>
        <w:tc>
          <w:tcPr>
            <w:tcW w:w="1838" w:type="pct"/>
            <w:noWrap w:val="0"/>
            <w:vAlign w:val="center"/>
          </w:tcPr>
          <w:p w14:paraId="746465B3">
            <w:pPr>
              <w:spacing w:line="500" w:lineRule="exact"/>
              <w:rPr>
                <w:rFonts w:ascii="仿宋" w:hAnsi="仿宋" w:eastAsia="仿宋" w:cs="Times New Roman"/>
                <w:color w:val="auto"/>
                <w:sz w:val="24"/>
                <w:szCs w:val="24"/>
              </w:rPr>
            </w:pPr>
          </w:p>
        </w:tc>
        <w:tc>
          <w:tcPr>
            <w:tcW w:w="1761" w:type="pct"/>
            <w:noWrap w:val="0"/>
            <w:vAlign w:val="center"/>
          </w:tcPr>
          <w:p w14:paraId="3CCF3447">
            <w:pPr>
              <w:spacing w:line="500" w:lineRule="exact"/>
              <w:rPr>
                <w:rFonts w:ascii="仿宋" w:hAnsi="仿宋" w:eastAsia="仿宋" w:cs="Times New Roman"/>
                <w:color w:val="auto"/>
                <w:sz w:val="24"/>
                <w:szCs w:val="24"/>
              </w:rPr>
            </w:pPr>
          </w:p>
        </w:tc>
        <w:tc>
          <w:tcPr>
            <w:tcW w:w="960" w:type="pct"/>
            <w:noWrap w:val="0"/>
            <w:vAlign w:val="center"/>
          </w:tcPr>
          <w:p w14:paraId="55145C0B">
            <w:pPr>
              <w:spacing w:line="500" w:lineRule="exact"/>
              <w:rPr>
                <w:rFonts w:ascii="仿宋" w:hAnsi="仿宋" w:eastAsia="仿宋" w:cs="Times New Roman"/>
                <w:color w:val="auto"/>
                <w:sz w:val="24"/>
                <w:szCs w:val="24"/>
              </w:rPr>
            </w:pPr>
          </w:p>
        </w:tc>
      </w:tr>
    </w:tbl>
    <w:p w14:paraId="6AA6E711">
      <w:pPr>
        <w:widowControl w:val="0"/>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备注：</w:t>
      </w:r>
    </w:p>
    <w:p w14:paraId="23DF97FC">
      <w:pPr>
        <w:widowControl w:val="0"/>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上表填写以第四章“招标内容及采购要求”中内容项为响应要求，须逐条响应，未逐条响应、有缺漏将被视为无效投标。</w:t>
      </w:r>
    </w:p>
    <w:p w14:paraId="1AC02426">
      <w:pPr>
        <w:widowControl w:val="0"/>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w:t>
      </w:r>
      <w:r>
        <w:rPr>
          <w:rFonts w:hint="eastAsia" w:ascii="宋体" w:hAnsi="宋体" w:eastAsia="宋体" w:cs="宋体"/>
          <w:b/>
          <w:bCs/>
          <w:color w:val="auto"/>
          <w:sz w:val="21"/>
          <w:szCs w:val="21"/>
        </w:rPr>
        <w:t>“是否完全响应”一栏根据“投标文件响应条款”与招标文件逐项对照的结果填写，填写“是”或者“否”（如填写“否”将被视为无效投标）。</w:t>
      </w:r>
    </w:p>
    <w:p w14:paraId="0DA6F243">
      <w:pPr>
        <w:pStyle w:val="12"/>
        <w:spacing w:after="190" w:line="500" w:lineRule="exact"/>
        <w:rPr>
          <w:rFonts w:ascii="华文仿宋" w:hAnsi="华文仿宋" w:cs="华文仿宋"/>
          <w:color w:val="auto"/>
        </w:rPr>
      </w:pPr>
    </w:p>
    <w:p w14:paraId="75974E6B">
      <w:pPr>
        <w:pStyle w:val="12"/>
        <w:spacing w:after="190" w:line="500" w:lineRule="exact"/>
        <w:ind w:firstLine="5377" w:firstLineChars="1900"/>
        <w:jc w:val="right"/>
        <w:rPr>
          <w:rFonts w:ascii="华文仿宋" w:hAnsi="华文仿宋" w:cs="华文仿宋"/>
          <w:color w:val="auto"/>
          <w:sz w:val="28"/>
          <w:szCs w:val="28"/>
        </w:rPr>
      </w:pPr>
      <w:r>
        <w:rPr>
          <w:rFonts w:hint="eastAsia" w:ascii="华文仿宋" w:hAnsi="华文仿宋" w:cs="华文仿宋"/>
          <w:color w:val="auto"/>
          <w:sz w:val="28"/>
          <w:szCs w:val="28"/>
        </w:rPr>
        <w:t>投标人：</w:t>
      </w:r>
      <w:r>
        <w:rPr>
          <w:rFonts w:hint="eastAsia" w:ascii="华文仿宋" w:hAnsi="华文仿宋" w:cs="华文仿宋"/>
          <w:color w:val="auto"/>
          <w:sz w:val="28"/>
          <w:szCs w:val="28"/>
          <w:u w:val="single"/>
        </w:rPr>
        <w:t>名称</w:t>
      </w:r>
      <w:r>
        <w:rPr>
          <w:rFonts w:hint="eastAsia" w:ascii="华文仿宋" w:hAnsi="华文仿宋" w:cs="华文仿宋"/>
          <w:color w:val="auto"/>
          <w:sz w:val="28"/>
          <w:szCs w:val="28"/>
        </w:rPr>
        <w:t>（加盖公章）</w:t>
      </w:r>
    </w:p>
    <w:p w14:paraId="5F5E0BFC">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0DEE2304">
      <w:pPr>
        <w:tabs>
          <w:tab w:val="right" w:pos="9070"/>
        </w:tabs>
        <w:spacing w:line="500" w:lineRule="exact"/>
        <w:ind w:firstLine="566" w:firstLineChars="200"/>
        <w:rPr>
          <w:rFonts w:ascii="仿宋" w:hAnsi="仿宋" w:eastAsia="仿宋" w:cs="Times New Roman"/>
          <w:color w:val="auto"/>
        </w:rPr>
      </w:pPr>
    </w:p>
    <w:p w14:paraId="78B3BB59">
      <w:pPr>
        <w:pStyle w:val="12"/>
        <w:spacing w:after="190"/>
        <w:rPr>
          <w:color w:val="auto"/>
        </w:rPr>
      </w:pPr>
    </w:p>
    <w:p w14:paraId="4F312CA6">
      <w:pPr>
        <w:pStyle w:val="12"/>
        <w:numPr>
          <w:ilvl w:val="0"/>
          <w:numId w:val="8"/>
        </w:numPr>
        <w:spacing w:after="190" w:line="500" w:lineRule="exact"/>
        <w:rPr>
          <w:rFonts w:ascii="仿宋" w:hAnsi="仿宋" w:eastAsia="仿宋" w:cs="仿宋"/>
          <w:b/>
          <w:bCs/>
          <w:color w:val="auto"/>
          <w:sz w:val="28"/>
          <w:szCs w:val="28"/>
        </w:rPr>
      </w:pPr>
      <w:r>
        <w:rPr>
          <w:rFonts w:hint="eastAsia" w:ascii="仿宋" w:hAnsi="仿宋" w:eastAsia="仿宋" w:cs="仿宋"/>
          <w:b/>
          <w:bCs/>
          <w:color w:val="auto"/>
          <w:sz w:val="28"/>
          <w:szCs w:val="28"/>
        </w:rPr>
        <w:t>其他材料</w:t>
      </w:r>
    </w:p>
    <w:p w14:paraId="35D86BC2">
      <w:pPr>
        <w:tabs>
          <w:tab w:val="right" w:pos="9070"/>
        </w:tabs>
        <w:spacing w:line="500" w:lineRule="exact"/>
        <w:rPr>
          <w:rFonts w:ascii="仿宋" w:hAnsi="仿宋" w:eastAsia="仿宋" w:cs="Times New Roman"/>
          <w:color w:val="auto"/>
        </w:rPr>
      </w:pPr>
    </w:p>
    <w:p w14:paraId="4A90FFE2">
      <w:pPr>
        <w:spacing w:line="500" w:lineRule="exact"/>
        <w:outlineLvl w:val="2"/>
        <w:rPr>
          <w:rFonts w:ascii="仿宋" w:hAnsi="仿宋" w:eastAsia="仿宋" w:cs="Times New Roman"/>
          <w:b/>
          <w:bCs/>
          <w:color w:val="auto"/>
          <w:sz w:val="32"/>
          <w:szCs w:val="32"/>
        </w:rPr>
      </w:pPr>
      <w:bookmarkStart w:id="767" w:name="_Toc15287"/>
      <w:bookmarkEnd w:id="767"/>
      <w:bookmarkStart w:id="768" w:name="_Toc19208"/>
      <w:bookmarkEnd w:id="768"/>
      <w:bookmarkStart w:id="769" w:name="_Toc19498"/>
      <w:bookmarkEnd w:id="769"/>
      <w:bookmarkStart w:id="770" w:name="_Toc30952"/>
      <w:bookmarkEnd w:id="770"/>
      <w:bookmarkStart w:id="771" w:name="_Toc3769"/>
      <w:bookmarkEnd w:id="771"/>
      <w:bookmarkStart w:id="772" w:name="_Toc25217"/>
      <w:bookmarkEnd w:id="772"/>
      <w:bookmarkStart w:id="773" w:name="_Toc28328"/>
      <w:bookmarkEnd w:id="773"/>
      <w:r>
        <w:rPr>
          <w:rFonts w:hint="eastAsia" w:ascii="仿宋" w:hAnsi="仿宋" w:eastAsia="仿宋" w:cs="仿宋"/>
          <w:b/>
          <w:bCs/>
          <w:color w:val="auto"/>
          <w:sz w:val="32"/>
          <w:szCs w:val="32"/>
        </w:rPr>
        <w:br w:type="page"/>
      </w:r>
      <w:r>
        <w:rPr>
          <w:rFonts w:hint="eastAsia" w:ascii="仿宋" w:hAnsi="仿宋" w:eastAsia="仿宋" w:cs="仿宋"/>
          <w:b/>
          <w:bCs/>
          <w:color w:val="auto"/>
          <w:sz w:val="32"/>
          <w:szCs w:val="32"/>
        </w:rPr>
        <w:t>五、合同</w:t>
      </w:r>
      <w:r>
        <w:rPr>
          <w:rFonts w:hint="eastAsia" w:ascii="仿宋" w:hAnsi="仿宋" w:eastAsia="仿宋" w:cs="仿宋"/>
          <w:b/>
          <w:bCs/>
          <w:color w:val="auto"/>
          <w:sz w:val="32"/>
          <w:szCs w:val="32"/>
          <w:lang w:val="en-US" w:eastAsia="zh-CN"/>
        </w:rPr>
        <w:t>草案</w:t>
      </w:r>
      <w:r>
        <w:rPr>
          <w:rFonts w:hint="eastAsia" w:ascii="仿宋" w:hAnsi="仿宋" w:eastAsia="仿宋" w:cs="仿宋"/>
          <w:b/>
          <w:bCs/>
          <w:color w:val="auto"/>
          <w:sz w:val="32"/>
          <w:szCs w:val="32"/>
        </w:rPr>
        <w:t>条款响应</w:t>
      </w:r>
    </w:p>
    <w:p w14:paraId="28B3B888">
      <w:pPr>
        <w:spacing w:line="500" w:lineRule="exact"/>
        <w:ind w:firstLine="566" w:firstLineChars="200"/>
        <w:rPr>
          <w:rFonts w:cs="Times New Roman"/>
          <w:color w:val="auto"/>
        </w:rPr>
      </w:pPr>
      <w:r>
        <w:rPr>
          <w:rFonts w:hint="eastAsia" w:cs="华文仿宋"/>
          <w:color w:val="auto"/>
        </w:rPr>
        <w:t>完全理解并接受招标文件中“</w:t>
      </w:r>
      <w:r>
        <w:rPr>
          <w:rFonts w:hint="eastAsia" w:cs="华文仿宋"/>
          <w:color w:val="auto"/>
          <w:lang w:eastAsia="zh-CN"/>
        </w:rPr>
        <w:t>合同草案条款</w:t>
      </w:r>
      <w:r>
        <w:rPr>
          <w:rFonts w:hint="eastAsia" w:cs="华文仿宋"/>
          <w:color w:val="auto"/>
        </w:rPr>
        <w:t>”要求。</w:t>
      </w:r>
    </w:p>
    <w:p w14:paraId="0421464C">
      <w:pPr>
        <w:spacing w:line="500" w:lineRule="exact"/>
        <w:ind w:firstLine="4811" w:firstLineChars="1700"/>
        <w:rPr>
          <w:rFonts w:ascii="仿宋" w:hAnsi="仿宋" w:eastAsia="仿宋" w:cs="Times New Roman"/>
          <w:color w:val="auto"/>
        </w:rPr>
      </w:pPr>
    </w:p>
    <w:p w14:paraId="496832A9">
      <w:pPr>
        <w:pStyle w:val="12"/>
        <w:spacing w:after="190"/>
        <w:rPr>
          <w:rFonts w:cs="Times New Roman"/>
          <w:color w:val="auto"/>
        </w:rPr>
      </w:pPr>
    </w:p>
    <w:p w14:paraId="3E182598">
      <w:pPr>
        <w:pStyle w:val="12"/>
        <w:spacing w:after="190" w:line="500" w:lineRule="exact"/>
        <w:ind w:firstLine="5377" w:firstLineChars="1900"/>
        <w:rPr>
          <w:rFonts w:ascii="仿宋" w:hAnsi="仿宋" w:eastAsia="仿宋" w:cs="Times New Roman"/>
          <w:color w:val="auto"/>
        </w:rPr>
      </w:pPr>
      <w:r>
        <w:rPr>
          <w:rFonts w:hint="eastAsia" w:ascii="华文仿宋" w:hAnsi="华文仿宋" w:cs="华文仿宋"/>
          <w:color w:val="auto"/>
          <w:sz w:val="28"/>
          <w:szCs w:val="28"/>
        </w:rPr>
        <w:t>投标人：</w:t>
      </w:r>
      <w:r>
        <w:rPr>
          <w:rFonts w:hint="eastAsia" w:ascii="华文仿宋" w:hAnsi="华文仿宋" w:cs="华文仿宋"/>
          <w:color w:val="auto"/>
          <w:sz w:val="28"/>
          <w:szCs w:val="28"/>
          <w:u w:val="single"/>
        </w:rPr>
        <w:t>名称</w:t>
      </w:r>
      <w:r>
        <w:rPr>
          <w:rFonts w:hint="eastAsia" w:ascii="华文仿宋" w:hAnsi="华文仿宋" w:cs="华文仿宋"/>
          <w:color w:val="auto"/>
          <w:sz w:val="28"/>
          <w:szCs w:val="28"/>
        </w:rPr>
        <w:t>（加盖公章）</w:t>
      </w:r>
      <w:r>
        <w:rPr>
          <w:rFonts w:ascii="仿宋" w:hAnsi="仿宋" w:eastAsia="仿宋" w:cs="Times New Roman"/>
          <w:color w:val="auto"/>
        </w:rPr>
        <w:tab/>
      </w:r>
    </w:p>
    <w:p w14:paraId="3E39682F">
      <w:pPr>
        <w:pStyle w:val="27"/>
        <w:spacing w:after="190" w:line="500" w:lineRule="exact"/>
        <w:ind w:firstLine="5660" w:firstLineChars="2000"/>
        <w:rPr>
          <w:rFonts w:ascii="华文仿宋"/>
          <w:color w:val="auto"/>
          <w:sz w:val="28"/>
          <w:szCs w:val="28"/>
        </w:rPr>
      </w:pPr>
      <w:r>
        <w:rPr>
          <w:rFonts w:hint="eastAsia" w:ascii="华文仿宋" w:hAnsi="华文仿宋" w:cs="华文仿宋"/>
          <w:color w:val="auto"/>
          <w:sz w:val="28"/>
          <w:szCs w:val="28"/>
        </w:rPr>
        <w:t>日期：　年　月　日</w:t>
      </w:r>
    </w:p>
    <w:p w14:paraId="2FDD5F4C">
      <w:pPr>
        <w:pStyle w:val="27"/>
        <w:spacing w:after="190"/>
        <w:ind w:firstLine="183"/>
        <w:rPr>
          <w:rFonts w:ascii="仿宋" w:hAnsi="仿宋" w:eastAsia="仿宋"/>
          <w:color w:val="auto"/>
        </w:rPr>
      </w:pPr>
    </w:p>
    <w:p w14:paraId="0D8D008E">
      <w:pPr>
        <w:pStyle w:val="27"/>
        <w:spacing w:after="190"/>
        <w:ind w:firstLine="183"/>
        <w:rPr>
          <w:rFonts w:ascii="仿宋" w:hAnsi="仿宋" w:eastAsia="仿宋"/>
          <w:color w:val="auto"/>
        </w:rPr>
      </w:pPr>
    </w:p>
    <w:p w14:paraId="2484F3E3">
      <w:pPr>
        <w:pStyle w:val="27"/>
        <w:spacing w:after="190"/>
        <w:ind w:firstLine="183"/>
        <w:rPr>
          <w:rFonts w:ascii="仿宋" w:hAnsi="仿宋" w:eastAsia="仿宋"/>
          <w:color w:val="auto"/>
        </w:rPr>
      </w:pPr>
    </w:p>
    <w:p w14:paraId="4FEFE701">
      <w:pPr>
        <w:pStyle w:val="27"/>
        <w:spacing w:after="190"/>
        <w:ind w:firstLine="183"/>
        <w:rPr>
          <w:rFonts w:ascii="仿宋" w:hAnsi="仿宋" w:eastAsia="仿宋"/>
          <w:color w:val="auto"/>
        </w:rPr>
      </w:pPr>
    </w:p>
    <w:p w14:paraId="5E707ADC">
      <w:pPr>
        <w:pStyle w:val="27"/>
        <w:spacing w:after="190"/>
        <w:ind w:firstLine="183"/>
        <w:rPr>
          <w:rFonts w:ascii="仿宋" w:hAnsi="仿宋" w:eastAsia="仿宋"/>
          <w:color w:val="auto"/>
        </w:rPr>
      </w:pPr>
    </w:p>
    <w:p w14:paraId="16830E4D">
      <w:pPr>
        <w:pStyle w:val="27"/>
        <w:spacing w:after="190"/>
        <w:ind w:firstLine="183"/>
        <w:rPr>
          <w:rFonts w:ascii="仿宋" w:hAnsi="仿宋" w:eastAsia="仿宋"/>
          <w:color w:val="auto"/>
        </w:rPr>
      </w:pPr>
    </w:p>
    <w:p w14:paraId="4B00778A">
      <w:pPr>
        <w:pStyle w:val="27"/>
        <w:spacing w:after="190"/>
        <w:ind w:firstLine="183"/>
        <w:rPr>
          <w:rFonts w:ascii="仿宋" w:hAnsi="仿宋" w:eastAsia="仿宋"/>
          <w:color w:val="auto"/>
        </w:rPr>
      </w:pPr>
    </w:p>
    <w:p w14:paraId="5193F8DC">
      <w:pPr>
        <w:pStyle w:val="27"/>
        <w:spacing w:after="190"/>
        <w:ind w:firstLine="183"/>
        <w:rPr>
          <w:rFonts w:ascii="仿宋" w:hAnsi="仿宋" w:eastAsia="仿宋"/>
          <w:color w:val="auto"/>
        </w:rPr>
      </w:pPr>
    </w:p>
    <w:p w14:paraId="1E327B58">
      <w:pPr>
        <w:pStyle w:val="27"/>
        <w:spacing w:after="190"/>
        <w:ind w:firstLine="183"/>
        <w:rPr>
          <w:rFonts w:ascii="仿宋" w:hAnsi="仿宋" w:eastAsia="仿宋"/>
          <w:color w:val="auto"/>
        </w:rPr>
      </w:pPr>
    </w:p>
    <w:p w14:paraId="52BED897">
      <w:pPr>
        <w:pStyle w:val="27"/>
        <w:spacing w:after="190"/>
        <w:ind w:firstLine="183"/>
        <w:rPr>
          <w:rFonts w:ascii="仿宋" w:hAnsi="仿宋" w:eastAsia="仿宋"/>
          <w:color w:val="auto"/>
        </w:rPr>
      </w:pPr>
    </w:p>
    <w:p w14:paraId="2811E748">
      <w:pPr>
        <w:pStyle w:val="27"/>
        <w:spacing w:after="190"/>
        <w:ind w:firstLine="183"/>
        <w:rPr>
          <w:rFonts w:ascii="仿宋" w:hAnsi="仿宋" w:eastAsia="仿宋"/>
          <w:color w:val="auto"/>
        </w:rPr>
      </w:pPr>
    </w:p>
    <w:p w14:paraId="1A5D033B">
      <w:pPr>
        <w:pStyle w:val="27"/>
        <w:spacing w:after="190"/>
        <w:ind w:firstLine="183"/>
        <w:rPr>
          <w:rFonts w:ascii="仿宋" w:hAnsi="仿宋" w:eastAsia="仿宋"/>
          <w:color w:val="auto"/>
        </w:rPr>
      </w:pPr>
    </w:p>
    <w:p w14:paraId="143C62E9">
      <w:pPr>
        <w:pStyle w:val="27"/>
        <w:spacing w:after="190"/>
        <w:ind w:firstLine="183"/>
        <w:rPr>
          <w:rFonts w:ascii="仿宋" w:hAnsi="仿宋" w:eastAsia="仿宋"/>
          <w:color w:val="auto"/>
        </w:rPr>
      </w:pPr>
    </w:p>
    <w:p w14:paraId="2173A17C">
      <w:pPr>
        <w:pStyle w:val="27"/>
        <w:spacing w:after="190"/>
        <w:ind w:firstLine="183"/>
        <w:rPr>
          <w:rFonts w:ascii="仿宋" w:hAnsi="仿宋" w:eastAsia="仿宋"/>
          <w:color w:val="auto"/>
        </w:rPr>
      </w:pPr>
    </w:p>
    <w:p w14:paraId="17023DB5">
      <w:pPr>
        <w:pStyle w:val="27"/>
        <w:spacing w:after="190"/>
        <w:ind w:firstLine="183"/>
        <w:rPr>
          <w:rFonts w:ascii="仿宋" w:hAnsi="仿宋" w:eastAsia="仿宋"/>
          <w:color w:val="auto"/>
        </w:rPr>
      </w:pPr>
    </w:p>
    <w:p w14:paraId="4C5B55FC">
      <w:pPr>
        <w:pStyle w:val="27"/>
        <w:spacing w:after="190"/>
        <w:ind w:firstLine="183"/>
        <w:rPr>
          <w:rFonts w:ascii="仿宋" w:hAnsi="仿宋" w:eastAsia="仿宋"/>
          <w:color w:val="auto"/>
        </w:rPr>
      </w:pPr>
    </w:p>
    <w:p w14:paraId="5E299D0A">
      <w:pPr>
        <w:pStyle w:val="62"/>
        <w:rPr>
          <w:rFonts w:ascii="黑体" w:hAnsi="黑体" w:eastAsia="黑体" w:cs="Times New Roman"/>
          <w:b w:val="0"/>
          <w:bCs w:val="0"/>
          <w:color w:val="auto"/>
        </w:rPr>
      </w:pPr>
      <w:bookmarkStart w:id="774" w:name="_Toc27461"/>
      <w:bookmarkEnd w:id="774"/>
      <w:bookmarkStart w:id="775" w:name="_Toc22107"/>
      <w:bookmarkEnd w:id="775"/>
      <w:bookmarkStart w:id="776" w:name="_Toc1304"/>
      <w:bookmarkEnd w:id="776"/>
      <w:bookmarkStart w:id="777" w:name="_Toc31794"/>
      <w:bookmarkEnd w:id="777"/>
      <w:bookmarkStart w:id="778" w:name="_Toc4046"/>
      <w:bookmarkEnd w:id="778"/>
      <w:bookmarkStart w:id="779" w:name="_Toc13676"/>
      <w:bookmarkEnd w:id="779"/>
      <w:bookmarkStart w:id="780" w:name="_Toc20524"/>
      <w:bookmarkEnd w:id="780"/>
      <w:bookmarkStart w:id="781" w:name="_Toc4325"/>
      <w:bookmarkEnd w:id="781"/>
      <w:bookmarkStart w:id="782" w:name="_Toc17213"/>
      <w:bookmarkEnd w:id="782"/>
      <w:bookmarkStart w:id="783" w:name="_Toc32479"/>
      <w:bookmarkEnd w:id="783"/>
      <w:r>
        <w:rPr>
          <w:rFonts w:hint="eastAsia" w:ascii="黑体" w:hAnsi="黑体" w:eastAsia="黑体" w:cs="黑体"/>
          <w:b w:val="0"/>
          <w:bCs w:val="0"/>
          <w:color w:val="auto"/>
        </w:rPr>
        <w:br w:type="page"/>
      </w:r>
      <w:r>
        <w:rPr>
          <w:rFonts w:hint="eastAsia" w:ascii="黑体" w:hAnsi="黑体" w:eastAsia="黑体" w:cs="黑体"/>
          <w:b w:val="0"/>
          <w:bCs w:val="0"/>
          <w:color w:val="auto"/>
        </w:rPr>
        <w:t>第三部分  投标方案</w:t>
      </w:r>
    </w:p>
    <w:p w14:paraId="4293B868">
      <w:pPr>
        <w:pStyle w:val="62"/>
        <w:jc w:val="both"/>
        <w:outlineLvl w:val="2"/>
        <w:rPr>
          <w:rFonts w:ascii="仿宋" w:hAnsi="仿宋" w:eastAsia="仿宋" w:cs="Times New Roman"/>
          <w:color w:val="auto"/>
        </w:rPr>
      </w:pPr>
      <w:bookmarkStart w:id="784" w:name="_Toc18774"/>
      <w:bookmarkEnd w:id="784"/>
      <w:bookmarkStart w:id="785" w:name="_Toc22283"/>
      <w:bookmarkEnd w:id="785"/>
      <w:bookmarkStart w:id="786" w:name="_Toc10558"/>
      <w:bookmarkEnd w:id="786"/>
      <w:bookmarkStart w:id="787" w:name="_Toc2323"/>
      <w:bookmarkEnd w:id="787"/>
      <w:bookmarkStart w:id="788" w:name="_Toc28654"/>
      <w:bookmarkEnd w:id="788"/>
      <w:bookmarkStart w:id="789" w:name="_Toc26684"/>
      <w:bookmarkEnd w:id="789"/>
      <w:r>
        <w:rPr>
          <w:rFonts w:hint="eastAsia" w:ascii="仿宋" w:hAnsi="仿宋" w:eastAsia="仿宋" w:cs="仿宋"/>
          <w:color w:val="auto"/>
        </w:rPr>
        <w:t>一、投标人性质及概况</w:t>
      </w:r>
    </w:p>
    <w:p w14:paraId="6CD04950">
      <w:pPr>
        <w:spacing w:line="500" w:lineRule="exact"/>
        <w:ind w:firstLine="566" w:firstLineChars="200"/>
        <w:jc w:val="left"/>
        <w:rPr>
          <w:rFonts w:cs="Times New Roman"/>
          <w:b/>
          <w:bCs/>
          <w:color w:val="auto"/>
        </w:rPr>
      </w:pPr>
      <w:r>
        <w:rPr>
          <w:rFonts w:hint="eastAsia" w:cs="华文仿宋"/>
          <w:b/>
          <w:bCs/>
          <w:color w:val="auto"/>
        </w:rPr>
        <w:t>（一）投标人性质</w:t>
      </w:r>
    </w:p>
    <w:p w14:paraId="270B2E8E">
      <w:pPr>
        <w:spacing w:line="500" w:lineRule="exact"/>
        <w:ind w:firstLine="566" w:firstLineChars="200"/>
        <w:jc w:val="left"/>
        <w:rPr>
          <w:rFonts w:hint="eastAsia" w:cs="华文仿宋"/>
          <w:b w:val="0"/>
          <w:bCs w:val="0"/>
          <w:color w:val="auto"/>
          <w:lang w:val="en-US" w:eastAsia="zh-CN"/>
        </w:rPr>
      </w:pPr>
      <w:bookmarkStart w:id="790" w:name="_Toc25473"/>
      <w:bookmarkEnd w:id="790"/>
      <w:bookmarkStart w:id="791" w:name="_Toc23652"/>
      <w:bookmarkEnd w:id="791"/>
      <w:bookmarkStart w:id="792" w:name="_Toc10647"/>
      <w:bookmarkEnd w:id="792"/>
      <w:bookmarkStart w:id="793" w:name="_Toc3414"/>
      <w:bookmarkEnd w:id="793"/>
      <w:bookmarkStart w:id="794" w:name="_Toc13874"/>
      <w:bookmarkEnd w:id="794"/>
      <w:bookmarkStart w:id="795" w:name="_Toc1789"/>
      <w:bookmarkEnd w:id="795"/>
      <w:bookmarkStart w:id="796" w:name="_Toc26030"/>
      <w:bookmarkEnd w:id="796"/>
      <w:bookmarkStart w:id="797" w:name="_Toc14293"/>
      <w:bookmarkEnd w:id="797"/>
      <w:bookmarkStart w:id="798" w:name="_Toc4808"/>
      <w:bookmarkEnd w:id="798"/>
      <w:bookmarkStart w:id="799" w:name="_Toc1655"/>
      <w:bookmarkEnd w:id="799"/>
      <w:bookmarkStart w:id="800" w:name="_Toc22967"/>
      <w:bookmarkEnd w:id="800"/>
      <w:bookmarkStart w:id="801" w:name="_Toc1257"/>
      <w:bookmarkEnd w:id="801"/>
      <w:bookmarkStart w:id="802" w:name="_Toc14796"/>
      <w:bookmarkEnd w:id="802"/>
      <w:r>
        <w:rPr>
          <w:rFonts w:hint="eastAsia" w:cs="华文仿宋"/>
          <w:b w:val="0"/>
          <w:bCs w:val="0"/>
          <w:color w:val="auto"/>
          <w:lang w:val="en-US" w:eastAsia="zh-CN"/>
        </w:rPr>
        <w:t>本项目为专门面向小微企业项目，供应商应为小型、微型企业或监狱企业或残疾人福利性单位。供应商为小型、微型企业的，提供《小微企业声明函》，且小型、微型企业的划分标准所属行业为</w:t>
      </w:r>
      <w:r>
        <w:rPr>
          <w:rFonts w:hint="eastAsia" w:cs="华文仿宋"/>
          <w:b/>
          <w:bCs/>
          <w:color w:val="auto"/>
          <w:u w:val="single"/>
          <w:lang w:val="en-US" w:eastAsia="zh-CN"/>
        </w:rPr>
        <w:t>其他未列明行业</w:t>
      </w:r>
      <w:r>
        <w:rPr>
          <w:rFonts w:hint="eastAsia" w:cs="华文仿宋"/>
          <w:b w:val="0"/>
          <w:bCs w:val="0"/>
          <w:color w:val="auto"/>
          <w:lang w:val="en-US" w:eastAsia="zh-CN"/>
        </w:rPr>
        <w:t>；供应商为监狱企业的，应提供监狱企业的证明文件；供应商为残疾人福利性单位的，应提供《残疾人福利性单位声明函》（监狱企业或残疾人福利性单位视同小型、微型企业）。</w:t>
      </w:r>
    </w:p>
    <w:p w14:paraId="056A6743">
      <w:pPr>
        <w:pStyle w:val="63"/>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2CCE96B8">
      <w:pPr>
        <w:spacing w:line="500" w:lineRule="exact"/>
        <w:ind w:firstLine="566" w:firstLineChars="200"/>
        <w:rPr>
          <w:color w:val="auto"/>
        </w:rPr>
      </w:pPr>
      <w:r>
        <w:rPr>
          <w:rFonts w:hint="eastAsia"/>
          <w:color w:val="auto"/>
        </w:rPr>
        <w:t>本项目采购标的对应的中小企业划分标准所属行业</w:t>
      </w:r>
      <w:r>
        <w:rPr>
          <w:rFonts w:hint="eastAsia" w:cs="华文仿宋"/>
          <w:b w:val="0"/>
          <w:bCs w:val="0"/>
          <w:color w:val="auto"/>
          <w:lang w:val="en-US" w:eastAsia="zh-CN"/>
        </w:rPr>
        <w:t>为</w:t>
      </w:r>
      <w:r>
        <w:rPr>
          <w:rFonts w:hint="eastAsia" w:cs="华文仿宋"/>
          <w:b/>
          <w:bCs/>
          <w:color w:val="auto"/>
          <w:u w:val="single"/>
          <w:lang w:val="en-US" w:eastAsia="zh-CN"/>
        </w:rPr>
        <w:t>其他未列明行业</w:t>
      </w:r>
      <w:r>
        <w:rPr>
          <w:rFonts w:hint="eastAsia"/>
          <w:b/>
          <w:bCs/>
          <w:color w:val="auto"/>
          <w:u w:val="none"/>
          <w:lang w:val="en-US" w:eastAsia="zh-CN"/>
        </w:rPr>
        <w:t>。</w:t>
      </w:r>
    </w:p>
    <w:p w14:paraId="2D831E40">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企业划分标准所属行业和《中小企业划型标准规定》（工信部联企业〔2011〕300号）进行自测，判断属于中型、小型还是微型企业。也可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auto"/>
          <w:sz w:val="28"/>
          <w:szCs w:val="28"/>
          <w:lang w:eastAsia="zh-CN"/>
        </w:rPr>
        <w:t>中</w:t>
      </w:r>
      <w:r>
        <w:rPr>
          <w:rFonts w:hint="eastAsia" w:ascii="华文仿宋" w:hAnsi="华文仿宋" w:cs="华文仿宋"/>
          <w:b w:val="0"/>
          <w:bCs w:val="0"/>
          <w:color w:val="auto"/>
          <w:sz w:val="28"/>
          <w:szCs w:val="28"/>
        </w:rPr>
        <w:t>小</w:t>
      </w:r>
      <w:r>
        <w:rPr>
          <w:rFonts w:hint="eastAsia" w:ascii="华文仿宋" w:hAnsi="华文仿宋" w:cs="华文仿宋"/>
          <w:color w:val="auto"/>
          <w:lang w:val="en-US" w:eastAsia="zh-CN"/>
        </w:rPr>
        <w:t>企业规模类型自测小程序进行测算。</w:t>
      </w:r>
    </w:p>
    <w:p w14:paraId="3ABC0916">
      <w:pPr>
        <w:spacing w:line="500" w:lineRule="exact"/>
        <w:ind w:firstLine="566" w:firstLineChars="200"/>
        <w:rPr>
          <w:rFonts w:ascii="华文仿宋" w:hAnsi="华文仿宋" w:cs="华文仿宋"/>
          <w:color w:val="000000"/>
        </w:rPr>
      </w:pPr>
    </w:p>
    <w:p w14:paraId="7554FE2C">
      <w:pPr>
        <w:spacing w:line="500" w:lineRule="exact"/>
        <w:ind w:firstLine="426" w:firstLineChars="200"/>
        <w:rPr>
          <w:rFonts w:ascii="宋体" w:hAnsi="宋体" w:eastAsia="宋体" w:cs="宋体"/>
          <w:color w:val="auto"/>
          <w:sz w:val="21"/>
          <w:szCs w:val="21"/>
        </w:rPr>
      </w:pPr>
    </w:p>
    <w:p w14:paraId="0EFC077D">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w:t>
      </w:r>
      <w:r>
        <w:rPr>
          <w:rFonts w:hint="eastAsia" w:ascii="华文仿宋" w:hAnsi="华文仿宋" w:cs="华文仿宋"/>
          <w:b/>
          <w:bCs/>
          <w:color w:val="auto"/>
          <w:lang w:val="en-US" w:eastAsia="zh-CN"/>
        </w:rPr>
        <w:t>中标</w:t>
      </w:r>
      <w:r>
        <w:rPr>
          <w:rFonts w:hint="eastAsia" w:ascii="华文仿宋" w:hAnsi="华文仿宋" w:cs="华文仿宋"/>
          <w:b/>
          <w:bCs/>
          <w:color w:val="auto"/>
        </w:rPr>
        <w:t>供应商的《</w:t>
      </w:r>
      <w:r>
        <w:rPr>
          <w:rFonts w:hint="eastAsia" w:ascii="华文仿宋" w:hAnsi="华文仿宋" w:cs="华文仿宋"/>
          <w:b/>
          <w:bCs/>
          <w:color w:val="auto"/>
          <w:lang w:val="en-US" w:eastAsia="zh-CN"/>
        </w:rPr>
        <w:t>小微</w:t>
      </w:r>
      <w:r>
        <w:rPr>
          <w:rFonts w:hint="eastAsia" w:ascii="华文仿宋" w:hAnsi="华文仿宋" w:cs="华文仿宋"/>
          <w:b/>
          <w:bCs/>
          <w:color w:val="auto"/>
        </w:rPr>
        <w:t>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2EAB211A">
      <w:pPr>
        <w:pageBreakBefore/>
        <w:widowControl w:val="0"/>
        <w:spacing w:before="190" w:beforeLines="50" w:after="190" w:afterLines="50" w:line="500" w:lineRule="exact"/>
        <w:jc w:val="center"/>
        <w:rPr>
          <w:rFonts w:ascii="华文仿宋" w:hAnsi="华文仿宋" w:cs="华文仿宋"/>
          <w:b w:val="0"/>
          <w:bCs/>
          <w:color w:val="auto"/>
          <w:kern w:val="0"/>
        </w:rPr>
      </w:pPr>
      <w:r>
        <w:rPr>
          <w:rFonts w:hint="eastAsia" w:ascii="华文仿宋" w:hAnsi="华文仿宋" w:cs="华文仿宋"/>
          <w:b/>
          <w:bCs w:val="0"/>
          <w:color w:val="auto"/>
          <w:kern w:val="0"/>
          <w:lang w:val="en-US" w:eastAsia="zh-CN"/>
        </w:rPr>
        <w:t>小微</w:t>
      </w:r>
      <w:r>
        <w:rPr>
          <w:rFonts w:hint="eastAsia" w:ascii="华文仿宋" w:hAnsi="华文仿宋" w:cs="华文仿宋"/>
          <w:b/>
          <w:bCs w:val="0"/>
          <w:color w:val="auto"/>
          <w:kern w:val="0"/>
        </w:rPr>
        <w:t>企业声明函</w:t>
      </w:r>
    </w:p>
    <w:p w14:paraId="0C6A601A">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kern w:val="0"/>
        </w:rPr>
        <w:t>本公司郑重声明，根据《政府采购促进中小企业发展管理办法》（财库</w:t>
      </w:r>
      <w:r>
        <w:rPr>
          <w:rFonts w:hint="eastAsia" w:ascii="仿宋" w:hAnsi="仿宋" w:eastAsia="仿宋" w:cs="仿宋"/>
          <w:color w:val="auto"/>
          <w:kern w:val="0"/>
        </w:rPr>
        <w:t>﹝2020﹞46</w:t>
      </w:r>
      <w:r>
        <w:rPr>
          <w:rFonts w:hint="eastAsia" w:ascii="华文仿宋" w:hAnsi="华文仿宋" w:cs="华文仿宋"/>
          <w:color w:val="auto"/>
          <w:kern w:val="0"/>
        </w:rPr>
        <w:t>号）的规定，本公司参加</w:t>
      </w:r>
      <w:r>
        <w:rPr>
          <w:rFonts w:hint="eastAsia" w:ascii="华文仿宋" w:hAnsi="华文仿宋" w:cs="华文仿宋"/>
          <w:color w:val="auto"/>
          <w:kern w:val="0"/>
          <w:lang w:eastAsia="zh-CN"/>
        </w:rPr>
        <w:t>延安市公共资源交易中心（延安市市直单位政府采购中心）</w:t>
      </w:r>
      <w:r>
        <w:rPr>
          <w:rFonts w:hint="eastAsia" w:ascii="华文仿宋" w:hAnsi="华文仿宋" w:cs="华文仿宋"/>
          <w:color w:val="auto"/>
          <w:kern w:val="0"/>
        </w:rPr>
        <w:t>组织的</w:t>
      </w:r>
      <w:r>
        <w:rPr>
          <w:rFonts w:hint="eastAsia" w:ascii="华文仿宋" w:hAnsi="华文仿宋" w:cs="华文仿宋"/>
          <w:iCs/>
          <w:color w:val="auto"/>
          <w:kern w:val="0"/>
          <w:u w:val="single"/>
        </w:rPr>
        <w:t>（项目名称）</w:t>
      </w:r>
      <w:r>
        <w:rPr>
          <w:rFonts w:hint="eastAsia" w:ascii="华文仿宋" w:hAnsi="华文仿宋" w:cs="华文仿宋"/>
          <w:color w:val="000000"/>
        </w:rPr>
        <w:t>第___标段</w:t>
      </w:r>
      <w:r>
        <w:rPr>
          <w:rFonts w:hint="eastAsia" w:ascii="华文仿宋" w:hAnsi="华文仿宋" w:cs="华文仿宋"/>
          <w:iCs/>
          <w:color w:val="auto"/>
          <w:kern w:val="0"/>
        </w:rPr>
        <w:t>的</w:t>
      </w:r>
      <w:r>
        <w:rPr>
          <w:rFonts w:hint="eastAsia" w:ascii="华文仿宋" w:hAnsi="华文仿宋" w:cs="华文仿宋"/>
          <w:color w:val="auto"/>
          <w:kern w:val="0"/>
        </w:rPr>
        <w:t>采购活动，服务全部由符合政策要求的</w:t>
      </w:r>
      <w:r>
        <w:rPr>
          <w:rFonts w:hint="eastAsia" w:ascii="华文仿宋" w:hAnsi="华文仿宋" w:cs="华文仿宋"/>
          <w:color w:val="auto"/>
          <w:kern w:val="0"/>
          <w:lang w:val="en-US" w:eastAsia="zh-CN"/>
        </w:rPr>
        <w:t>中小</w:t>
      </w:r>
      <w:r>
        <w:rPr>
          <w:rFonts w:hint="eastAsia" w:ascii="华文仿宋" w:hAnsi="华文仿宋" w:cs="华文仿宋"/>
          <w:color w:val="auto"/>
          <w:kern w:val="0"/>
        </w:rPr>
        <w:t>企业承接。相关企业的具体情况如下：</w:t>
      </w:r>
    </w:p>
    <w:p w14:paraId="1C7ECE2D">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u w:val="single"/>
        </w:rPr>
        <w:t xml:space="preserve">（项目名称） </w:t>
      </w:r>
      <w:r>
        <w:rPr>
          <w:rFonts w:hint="eastAsia" w:ascii="华文仿宋" w:hAnsi="华文仿宋" w:cs="华文仿宋"/>
          <w:color w:val="auto"/>
          <w:kern w:val="0"/>
        </w:rPr>
        <w:t>，属于</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w:t>
      </w:r>
      <w:r>
        <w:rPr>
          <w:rFonts w:hint="eastAsia" w:ascii="华文仿宋" w:hAnsi="华文仿宋" w:cs="华文仿宋"/>
          <w:color w:val="auto"/>
          <w:kern w:val="0"/>
          <w:lang w:val="en-US" w:eastAsia="zh-CN"/>
        </w:rPr>
        <w:t>采购</w:t>
      </w:r>
      <w:r>
        <w:rPr>
          <w:rFonts w:hint="eastAsia" w:ascii="华文仿宋" w:hAnsi="华文仿宋" w:cs="华文仿宋"/>
          <w:color w:val="auto"/>
          <w:kern w:val="0"/>
          <w:lang w:eastAsia="zh-CN"/>
        </w:rPr>
        <w:t>文件</w:t>
      </w:r>
      <w:r>
        <w:rPr>
          <w:rFonts w:hint="eastAsia" w:ascii="华文仿宋" w:hAnsi="华文仿宋" w:cs="华文仿宋"/>
          <w:color w:val="auto"/>
          <w:kern w:val="0"/>
        </w:rPr>
        <w:t>中明确的所属行业）；承接企业为</w:t>
      </w:r>
      <w:r>
        <w:rPr>
          <w:rFonts w:hint="eastAsia" w:ascii="华文仿宋" w:hAnsi="华文仿宋" w:cs="华文仿宋"/>
          <w:color w:val="auto"/>
          <w:kern w:val="0"/>
          <w:u w:val="single"/>
        </w:rPr>
        <w:t>（企业名称）</w:t>
      </w:r>
      <w:r>
        <w:rPr>
          <w:rFonts w:hint="eastAsia" w:ascii="华文仿宋" w:hAnsi="华文仿宋" w:cs="华文仿宋"/>
          <w:color w:val="auto"/>
          <w:kern w:val="0"/>
        </w:rPr>
        <w:t>，从业人员</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人，营业收入为</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万元，资产总额为</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万元，属于</w:t>
      </w:r>
      <w:r>
        <w:rPr>
          <w:rFonts w:hint="eastAsia" w:ascii="华文仿宋" w:hAnsi="华文仿宋" w:cs="华文仿宋"/>
          <w:iCs/>
          <w:color w:val="auto"/>
          <w:kern w:val="0"/>
          <w:u w:val="single"/>
        </w:rPr>
        <w:t xml:space="preserve">       </w:t>
      </w:r>
      <w:r>
        <w:rPr>
          <w:rFonts w:hint="eastAsia" w:ascii="华文仿宋" w:hAnsi="华文仿宋" w:cs="华文仿宋"/>
          <w:color w:val="auto"/>
          <w:kern w:val="0"/>
        </w:rPr>
        <w:t>（小型企业、微型企业）。</w:t>
      </w:r>
    </w:p>
    <w:p w14:paraId="56BA943C">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rPr>
        <w:t>以上企业，不属于大企业的分支机构，不存在控股股东为大企业的情形，也不存在与大企业的负责人为同一人的情形。</w:t>
      </w:r>
    </w:p>
    <w:p w14:paraId="03A4F4F2">
      <w:pPr>
        <w:spacing w:line="500" w:lineRule="exact"/>
        <w:ind w:firstLine="566" w:firstLineChars="200"/>
        <w:jc w:val="left"/>
        <w:rPr>
          <w:rFonts w:ascii="华文仿宋" w:hAnsi="华文仿宋" w:cs="华文仿宋"/>
          <w:color w:val="auto"/>
          <w:kern w:val="0"/>
        </w:rPr>
      </w:pPr>
      <w:r>
        <w:rPr>
          <w:rFonts w:hint="eastAsia" w:ascii="华文仿宋" w:hAnsi="华文仿宋" w:cs="华文仿宋"/>
          <w:color w:val="auto"/>
          <w:kern w:val="0"/>
        </w:rPr>
        <w:t xml:space="preserve">本企业对上述声明内容的真实性负责。如有虚假，将依法承担相应责任。 </w:t>
      </w:r>
    </w:p>
    <w:p w14:paraId="144F6AE4">
      <w:pPr>
        <w:pStyle w:val="7"/>
        <w:rPr>
          <w:color w:val="auto"/>
        </w:rPr>
      </w:pPr>
    </w:p>
    <w:p w14:paraId="6F87C7EA">
      <w:pPr>
        <w:spacing w:line="500" w:lineRule="exact"/>
        <w:ind w:firstLine="5094" w:firstLineChars="1800"/>
        <w:rPr>
          <w:rFonts w:hint="eastAsia" w:ascii="华文仿宋" w:hAnsi="华文仿宋" w:cs="华文仿宋"/>
          <w:color w:val="auto"/>
          <w:kern w:val="0"/>
        </w:rPr>
      </w:pPr>
    </w:p>
    <w:p w14:paraId="3CEBC9CF">
      <w:pPr>
        <w:spacing w:line="500" w:lineRule="exact"/>
        <w:ind w:firstLine="5943" w:firstLineChars="2100"/>
        <w:rPr>
          <w:rFonts w:ascii="华文仿宋" w:hAnsi="华文仿宋" w:cs="华文仿宋"/>
          <w:color w:val="auto"/>
          <w:kern w:val="0"/>
        </w:rPr>
      </w:pPr>
      <w:r>
        <w:rPr>
          <w:rFonts w:hint="eastAsia" w:ascii="华文仿宋" w:hAnsi="华文仿宋" w:cs="华文仿宋"/>
          <w:color w:val="auto"/>
          <w:kern w:val="0"/>
        </w:rPr>
        <w:t>供应商：</w:t>
      </w:r>
      <w:r>
        <w:rPr>
          <w:rFonts w:hint="eastAsia" w:ascii="华文仿宋" w:hAnsi="华文仿宋" w:cs="华文仿宋"/>
          <w:color w:val="auto"/>
          <w:kern w:val="0"/>
          <w:u w:val="single"/>
        </w:rPr>
        <w:t>名称</w:t>
      </w:r>
      <w:r>
        <w:rPr>
          <w:rFonts w:hint="eastAsia" w:ascii="华文仿宋" w:hAnsi="华文仿宋" w:cs="华文仿宋"/>
          <w:color w:val="auto"/>
          <w:kern w:val="0"/>
        </w:rPr>
        <w:t xml:space="preserve">（加盖公章） </w:t>
      </w:r>
    </w:p>
    <w:p w14:paraId="435902DA">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rPr>
        <w:t xml:space="preserve">              日期：    年  月  日</w:t>
      </w:r>
    </w:p>
    <w:p w14:paraId="7E997D5E">
      <w:pPr>
        <w:pStyle w:val="27"/>
        <w:spacing w:line="500" w:lineRule="exact"/>
        <w:ind w:firstLine="0" w:firstLineChars="0"/>
        <w:rPr>
          <w:rFonts w:ascii="仿宋" w:hAnsi="仿宋" w:eastAsia="仿宋" w:cs="仿宋"/>
          <w:b/>
          <w:bCs/>
          <w:color w:val="000000"/>
          <w:sz w:val="28"/>
          <w:szCs w:val="32"/>
        </w:rPr>
      </w:pPr>
    </w:p>
    <w:p w14:paraId="634CFD3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填写前请认真阅读《工业和信息化部、国家统计局、国家发展和改革委员会、财政部关于印发中小企业划型标准规定的通知》（工信部联企业﹝20</w:t>
      </w:r>
      <w:r>
        <w:rPr>
          <w:rFonts w:hint="eastAsia" w:ascii="宋体" w:hAnsi="宋体" w:eastAsia="宋体" w:cs="宋体"/>
          <w:color w:val="000000"/>
          <w:sz w:val="21"/>
          <w:szCs w:val="21"/>
          <w:lang w:val="en-US" w:eastAsia="zh-CN"/>
        </w:rPr>
        <w:t>11</w:t>
      </w:r>
      <w:r>
        <w:rPr>
          <w:rFonts w:hint="eastAsia" w:ascii="宋体" w:hAnsi="宋体" w:eastAsia="宋体" w:cs="宋体"/>
          <w:color w:val="000000"/>
          <w:sz w:val="21"/>
          <w:szCs w:val="21"/>
        </w:rPr>
        <w:t>﹞300号）和财政部、工业和信息化部关于印发《政府采购促进中小企业发展管理办法》的通知(财库﹝2020﹞46号)相关规定。</w:t>
      </w:r>
    </w:p>
    <w:p w14:paraId="1D6A0702">
      <w:pPr>
        <w:pStyle w:val="27"/>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0EB2B985">
      <w:pPr>
        <w:tabs>
          <w:tab w:val="left" w:pos="5670"/>
        </w:tabs>
        <w:spacing w:line="360" w:lineRule="exact"/>
        <w:ind w:firstLine="426" w:firstLineChars="200"/>
        <w:rPr>
          <w:rFonts w:ascii="宋体" w:hAnsi="宋体" w:eastAsia="宋体" w:cs="宋体"/>
          <w:color w:val="auto"/>
          <w:sz w:val="21"/>
          <w:szCs w:val="21"/>
        </w:rPr>
      </w:pPr>
    </w:p>
    <w:p w14:paraId="2EF96248">
      <w:pPr>
        <w:tabs>
          <w:tab w:val="left" w:pos="5670"/>
        </w:tabs>
        <w:spacing w:after="190" w:afterLines="50" w:line="500" w:lineRule="exact"/>
        <w:jc w:val="center"/>
        <w:rPr>
          <w:rFonts w:cs="Times New Roman"/>
          <w:b/>
          <w:bCs/>
          <w:color w:val="auto"/>
          <w:sz w:val="30"/>
          <w:szCs w:val="30"/>
        </w:rPr>
      </w:pPr>
      <w:r>
        <w:rPr>
          <w:rFonts w:hint="eastAsia" w:cs="华文仿宋"/>
          <w:b/>
          <w:bCs/>
          <w:color w:val="auto"/>
          <w:sz w:val="30"/>
          <w:szCs w:val="30"/>
        </w:rPr>
        <w:br w:type="page"/>
      </w:r>
      <w:r>
        <w:rPr>
          <w:rFonts w:hint="eastAsia" w:cs="华文仿宋"/>
          <w:b/>
          <w:bCs/>
          <w:color w:val="auto"/>
          <w:sz w:val="30"/>
          <w:szCs w:val="30"/>
        </w:rPr>
        <w:t>监狱企业证明函</w:t>
      </w:r>
    </w:p>
    <w:p w14:paraId="03426823">
      <w:pPr>
        <w:spacing w:line="500" w:lineRule="exact"/>
        <w:ind w:firstLine="566" w:firstLineChars="200"/>
        <w:jc w:val="left"/>
        <w:rPr>
          <w:rFonts w:cs="Times New Roman"/>
          <w:color w:val="auto"/>
        </w:rPr>
      </w:pPr>
      <w:r>
        <w:rPr>
          <w:rFonts w:hint="eastAsia" w:cs="华文仿宋"/>
          <w:color w:val="auto"/>
        </w:rPr>
        <w:t>根据财政部、司法部《关于政府采购支持监狱企业发展有关问题的通知》（财库</w:t>
      </w:r>
      <w:r>
        <w:rPr>
          <w:rFonts w:hint="eastAsia" w:ascii="仿宋" w:hAnsi="仿宋" w:eastAsia="仿宋" w:cs="仿宋"/>
          <w:color w:val="auto"/>
        </w:rPr>
        <w:t>〔</w:t>
      </w:r>
      <w:r>
        <w:rPr>
          <w:rFonts w:ascii="仿宋" w:hAnsi="仿宋" w:eastAsia="仿宋" w:cs="仿宋"/>
          <w:color w:val="auto"/>
        </w:rPr>
        <w:t>2014</w:t>
      </w:r>
      <w:r>
        <w:rPr>
          <w:rFonts w:hint="eastAsia" w:ascii="仿宋" w:hAnsi="仿宋" w:eastAsia="仿宋" w:cs="仿宋"/>
          <w:color w:val="auto"/>
        </w:rPr>
        <w:t>〕</w:t>
      </w:r>
      <w:r>
        <w:rPr>
          <w:rFonts w:ascii="仿宋" w:hAnsi="仿宋" w:eastAsia="仿宋" w:cs="仿宋"/>
          <w:color w:val="auto"/>
        </w:rPr>
        <w:t>68</w:t>
      </w:r>
      <w:r>
        <w:rPr>
          <w:rFonts w:hint="eastAsia" w:cs="华文仿宋"/>
          <w:color w:val="auto"/>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6D59C8">
      <w:pPr>
        <w:spacing w:line="500" w:lineRule="exact"/>
        <w:ind w:firstLine="566" w:firstLineChars="200"/>
        <w:jc w:val="left"/>
        <w:rPr>
          <w:rFonts w:hint="eastAsia" w:cs="华文仿宋"/>
          <w:color w:val="auto"/>
        </w:rPr>
      </w:pPr>
      <w:r>
        <w:rPr>
          <w:rFonts w:hint="eastAsia" w:cs="华文仿宋"/>
          <w:color w:val="auto"/>
        </w:rPr>
        <w:t>监狱企业参加政府采购活动时，应当提供由省级以上监狱管理局、戒毒管理局（含新疆生产建设兵团）出具的属于监狱企业的证明文件。</w:t>
      </w:r>
    </w:p>
    <w:p w14:paraId="791E5FB6">
      <w:pPr>
        <w:spacing w:line="500" w:lineRule="exact"/>
        <w:ind w:firstLine="566" w:firstLineChars="200"/>
        <w:jc w:val="center"/>
        <w:rPr>
          <w:rFonts w:cs="Times New Roman"/>
          <w:b/>
          <w:bCs/>
          <w:color w:val="auto"/>
          <w:sz w:val="30"/>
          <w:szCs w:val="30"/>
        </w:rPr>
      </w:pPr>
      <w:r>
        <w:rPr>
          <w:rFonts w:hint="eastAsia" w:cs="华文仿宋"/>
          <w:color w:val="auto"/>
        </w:rPr>
        <w:br w:type="page"/>
      </w:r>
      <w:r>
        <w:rPr>
          <w:rFonts w:hint="eastAsia" w:cs="华文仿宋"/>
          <w:b/>
          <w:bCs/>
          <w:color w:val="auto"/>
          <w:sz w:val="30"/>
          <w:szCs w:val="30"/>
        </w:rPr>
        <w:t>残疾人福利性单位声明函</w:t>
      </w:r>
      <w:r>
        <w:rPr>
          <w:rFonts w:hint="eastAsia"/>
          <w:b/>
          <w:color w:val="auto"/>
          <w:sz w:val="30"/>
          <w:szCs w:val="30"/>
        </w:rPr>
        <w:t>（格式）</w:t>
      </w:r>
    </w:p>
    <w:p w14:paraId="78005DF7">
      <w:pPr>
        <w:spacing w:line="500" w:lineRule="exact"/>
        <w:ind w:firstLine="566" w:firstLineChars="200"/>
        <w:jc w:val="left"/>
        <w:rPr>
          <w:rFonts w:cs="Times New Roman"/>
          <w:color w:val="auto"/>
        </w:rPr>
      </w:pPr>
      <w:r>
        <w:rPr>
          <w:rFonts w:hint="eastAsia" w:cs="华文仿宋"/>
          <w:color w:val="auto"/>
        </w:rPr>
        <w:t>本单位郑重声明，根据《财政部民政部中国残疾人联合会关于促进残疾人就业政府采购政策的通知》（财库</w:t>
      </w:r>
      <w:r>
        <w:rPr>
          <w:rFonts w:hint="eastAsia" w:ascii="仿宋" w:hAnsi="仿宋" w:eastAsia="仿宋" w:cs="仿宋"/>
          <w:color w:val="auto"/>
        </w:rPr>
        <w:t>〔</w:t>
      </w:r>
      <w:r>
        <w:rPr>
          <w:rFonts w:ascii="仿宋" w:hAnsi="仿宋" w:eastAsia="仿宋" w:cs="仿宋"/>
          <w:color w:val="auto"/>
        </w:rPr>
        <w:t>2017</w:t>
      </w:r>
      <w:r>
        <w:rPr>
          <w:rFonts w:hint="eastAsia" w:ascii="仿宋" w:hAnsi="仿宋" w:eastAsia="仿宋" w:cs="仿宋"/>
          <w:color w:val="auto"/>
        </w:rPr>
        <w:t>〕</w:t>
      </w:r>
      <w:r>
        <w:rPr>
          <w:rFonts w:ascii="仿宋" w:hAnsi="仿宋" w:eastAsia="仿宋" w:cs="仿宋"/>
          <w:color w:val="auto"/>
        </w:rPr>
        <w:t>141</w:t>
      </w:r>
      <w:r>
        <w:rPr>
          <w:rFonts w:hint="eastAsia" w:cs="华文仿宋"/>
          <w:color w:val="auto"/>
        </w:rPr>
        <w:t>号）的规定，本单位为符合条件的残疾人福利性单位，且本单位参加</w:t>
      </w:r>
      <w:r>
        <w:rPr>
          <w:rFonts w:hint="eastAsia" w:cs="华文仿宋"/>
          <w:color w:val="auto"/>
          <w:u w:val="single"/>
        </w:rPr>
        <w:t>项目名称</w:t>
      </w:r>
      <w:r>
        <w:rPr>
          <w:rFonts w:hint="eastAsia" w:cs="华文仿宋"/>
          <w:color w:val="auto"/>
        </w:rPr>
        <w:t>（项目编号：</w:t>
      </w:r>
      <w:r>
        <w:rPr>
          <w:rFonts w:hint="eastAsia" w:ascii="华文仿宋" w:hAnsi="华文仿宋" w:cs="华文仿宋"/>
          <w:color w:val="auto"/>
          <w:u w:val="single"/>
        </w:rPr>
        <w:t xml:space="preserve">    </w:t>
      </w:r>
      <w:r>
        <w:rPr>
          <w:rFonts w:hint="eastAsia" w:cs="华文仿宋"/>
          <w:color w:val="auto"/>
        </w:rPr>
        <w:t>）</w:t>
      </w:r>
      <w:r>
        <w:rPr>
          <w:rFonts w:hint="eastAsia" w:ascii="华文仿宋" w:hAnsi="华文仿宋" w:cs="华文仿宋"/>
          <w:color w:val="auto"/>
        </w:rPr>
        <w:t>第</w:t>
      </w:r>
      <w:r>
        <w:rPr>
          <w:rFonts w:hint="eastAsia" w:ascii="华文仿宋" w:hAnsi="华文仿宋" w:cs="华文仿宋"/>
          <w:color w:val="auto"/>
          <w:u w:val="single"/>
        </w:rPr>
        <w:t xml:space="preserve">    </w:t>
      </w:r>
      <w:r>
        <w:rPr>
          <w:rFonts w:hint="eastAsia" w:ascii="华文仿宋" w:hAnsi="华文仿宋" w:cs="华文仿宋"/>
          <w:color w:val="auto"/>
        </w:rPr>
        <w:t>标段</w:t>
      </w:r>
      <w:r>
        <w:rPr>
          <w:rFonts w:hint="eastAsia" w:cs="华文仿宋"/>
          <w:color w:val="auto"/>
        </w:rPr>
        <w:t>采购活动提供本单位制造的货物（由本单位承担工程</w:t>
      </w:r>
      <w:r>
        <w:rPr>
          <w:color w:val="auto"/>
        </w:rPr>
        <w:t>/</w:t>
      </w:r>
      <w:r>
        <w:rPr>
          <w:rFonts w:hint="eastAsia" w:cs="华文仿宋"/>
          <w:color w:val="auto"/>
        </w:rPr>
        <w:t>提供服务），或者提供其他残疾人福利性单位制造的货物（不包括使用非残疾人福利性单位注册商标的货物）。</w:t>
      </w:r>
    </w:p>
    <w:p w14:paraId="18BCC4F5">
      <w:pPr>
        <w:spacing w:line="500" w:lineRule="exact"/>
        <w:ind w:firstLine="566" w:firstLineChars="200"/>
        <w:jc w:val="left"/>
        <w:rPr>
          <w:rFonts w:cs="Times New Roman"/>
          <w:color w:val="auto"/>
        </w:rPr>
      </w:pPr>
      <w:r>
        <w:rPr>
          <w:rFonts w:hint="eastAsia" w:cs="华文仿宋"/>
          <w:color w:val="auto"/>
        </w:rPr>
        <w:t>本单位对上述声明的真实性负责。如有虚假，将依法承担相应责任。</w:t>
      </w:r>
    </w:p>
    <w:p w14:paraId="36A82453">
      <w:pPr>
        <w:spacing w:line="500" w:lineRule="exact"/>
        <w:ind w:firstLine="566" w:firstLineChars="200"/>
        <w:jc w:val="left"/>
        <w:rPr>
          <w:rFonts w:cs="Times New Roman"/>
          <w:color w:val="auto"/>
        </w:rPr>
      </w:pPr>
    </w:p>
    <w:p w14:paraId="62933B38">
      <w:pPr>
        <w:tabs>
          <w:tab w:val="left" w:pos="5670"/>
        </w:tabs>
        <w:spacing w:line="500" w:lineRule="exact"/>
        <w:ind w:firstLine="5094" w:firstLineChars="1800"/>
        <w:jc w:val="left"/>
        <w:rPr>
          <w:rFonts w:cs="Times New Roman"/>
          <w:color w:val="auto"/>
        </w:rPr>
      </w:pPr>
      <w:r>
        <w:rPr>
          <w:rFonts w:hint="eastAsia" w:ascii="华文仿宋" w:hAnsi="华文仿宋" w:cs="华文仿宋"/>
          <w:color w:val="auto"/>
        </w:rPr>
        <w:t>投标人</w:t>
      </w:r>
      <w:r>
        <w:rPr>
          <w:rFonts w:hint="eastAsia" w:cs="华文仿宋"/>
          <w:color w:val="auto"/>
        </w:rPr>
        <w:t>：</w:t>
      </w:r>
      <w:r>
        <w:rPr>
          <w:rFonts w:hint="eastAsia" w:cs="华文仿宋"/>
          <w:color w:val="auto"/>
          <w:u w:val="single"/>
        </w:rPr>
        <w:t>名称</w:t>
      </w:r>
      <w:r>
        <w:rPr>
          <w:rFonts w:hint="eastAsia" w:cs="华文仿宋"/>
          <w:color w:val="auto"/>
        </w:rPr>
        <w:t>（加盖公章）</w:t>
      </w:r>
    </w:p>
    <w:p w14:paraId="79D98C4F">
      <w:pPr>
        <w:tabs>
          <w:tab w:val="left" w:pos="5670"/>
        </w:tabs>
        <w:spacing w:line="500" w:lineRule="exact"/>
        <w:ind w:firstLine="5377" w:firstLineChars="1900"/>
        <w:jc w:val="left"/>
        <w:rPr>
          <w:rFonts w:cs="Times New Roman"/>
          <w:color w:val="auto"/>
        </w:rPr>
      </w:pPr>
      <w:r>
        <w:rPr>
          <w:rFonts w:hint="eastAsia" w:cs="华文仿宋"/>
          <w:color w:val="auto"/>
        </w:rPr>
        <w:t>日期：　　年　月　日</w:t>
      </w:r>
    </w:p>
    <w:p w14:paraId="2B912A80">
      <w:pPr>
        <w:tabs>
          <w:tab w:val="left" w:pos="5670"/>
        </w:tabs>
        <w:spacing w:line="240" w:lineRule="auto"/>
        <w:ind w:firstLine="566"/>
        <w:jc w:val="left"/>
        <w:rPr>
          <w:rFonts w:ascii="宋体" w:hAnsi="宋体" w:eastAsia="宋体" w:cs="宋体"/>
          <w:b/>
          <w:bCs/>
          <w:color w:val="auto"/>
          <w:sz w:val="21"/>
          <w:szCs w:val="21"/>
        </w:rPr>
      </w:pPr>
    </w:p>
    <w:p w14:paraId="39880D3B">
      <w:pPr>
        <w:tabs>
          <w:tab w:val="left" w:pos="5670"/>
        </w:tabs>
        <w:spacing w:line="240" w:lineRule="auto"/>
        <w:ind w:firstLine="566"/>
        <w:jc w:val="left"/>
        <w:rPr>
          <w:rFonts w:ascii="宋体" w:hAnsi="宋体" w:eastAsia="宋体" w:cs="宋体"/>
          <w:b/>
          <w:bCs/>
          <w:color w:val="auto"/>
          <w:sz w:val="21"/>
          <w:szCs w:val="21"/>
        </w:rPr>
      </w:pPr>
    </w:p>
    <w:p w14:paraId="2DDA0CD2">
      <w:pPr>
        <w:ind w:firstLine="426" w:firstLineChars="200"/>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rPr>
        <w:t>备注：</w:t>
      </w:r>
      <w:r>
        <w:rPr>
          <w:rFonts w:hint="eastAsia" w:ascii="宋体" w:hAnsi="宋体" w:eastAsia="宋体" w:cs="宋体"/>
          <w:b/>
          <w:bCs/>
          <w:color w:val="auto"/>
          <w:sz w:val="21"/>
          <w:szCs w:val="21"/>
          <w:lang w:val="en-US" w:eastAsia="zh-CN"/>
        </w:rPr>
        <w:t>非残疾人福利性单位不用填写此声明函。</w:t>
      </w:r>
    </w:p>
    <w:p w14:paraId="10DF7252">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项目不分标段的，第</w:t>
      </w:r>
      <w:r>
        <w:rPr>
          <w:rFonts w:ascii="宋体" w:hAnsi="宋体" w:eastAsia="宋体" w:cs="宋体"/>
          <w:color w:val="auto"/>
          <w:sz w:val="21"/>
          <w:szCs w:val="21"/>
        </w:rPr>
        <w:t>___</w:t>
      </w:r>
      <w:r>
        <w:rPr>
          <w:rFonts w:hint="eastAsia" w:ascii="宋体" w:hAnsi="宋体" w:eastAsia="宋体" w:cs="宋体"/>
          <w:color w:val="auto"/>
          <w:sz w:val="21"/>
          <w:szCs w:val="21"/>
        </w:rPr>
        <w:t>标段空白处填写“</w:t>
      </w:r>
      <w:r>
        <w:rPr>
          <w:rFonts w:ascii="宋体" w:hAnsi="宋体" w:eastAsia="宋体" w:cs="宋体"/>
          <w:color w:val="auto"/>
          <w:sz w:val="21"/>
          <w:szCs w:val="21"/>
        </w:rPr>
        <w:t>/</w:t>
      </w:r>
      <w:r>
        <w:rPr>
          <w:rFonts w:hint="eastAsia" w:ascii="宋体" w:hAnsi="宋体" w:eastAsia="宋体" w:cs="宋体"/>
          <w:color w:val="auto"/>
          <w:sz w:val="21"/>
          <w:szCs w:val="21"/>
        </w:rPr>
        <w:t>”。</w:t>
      </w:r>
    </w:p>
    <w:p w14:paraId="6BADCE0D">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根据《财政部民政部中国残疾人联合会关于促进残疾人就业政府采购政策的通知》（财库〔</w:t>
      </w:r>
      <w:r>
        <w:rPr>
          <w:rFonts w:ascii="宋体" w:hAnsi="宋体" w:eastAsia="宋体" w:cs="宋体"/>
          <w:color w:val="auto"/>
          <w:sz w:val="21"/>
          <w:szCs w:val="21"/>
        </w:rPr>
        <w:t>2017</w:t>
      </w:r>
      <w:r>
        <w:rPr>
          <w:rFonts w:hint="eastAsia" w:ascii="宋体" w:hAnsi="宋体" w:eastAsia="宋体" w:cs="宋体"/>
          <w:color w:val="auto"/>
          <w:sz w:val="21"/>
          <w:szCs w:val="21"/>
        </w:rPr>
        <w:t>〕</w:t>
      </w:r>
      <w:r>
        <w:rPr>
          <w:rFonts w:ascii="宋体" w:hAnsi="宋体" w:eastAsia="宋体" w:cs="宋体"/>
          <w:color w:val="auto"/>
          <w:sz w:val="21"/>
          <w:szCs w:val="21"/>
        </w:rPr>
        <w:t>141</w:t>
      </w:r>
      <w:r>
        <w:rPr>
          <w:rFonts w:hint="eastAsia" w:ascii="宋体" w:hAnsi="宋体" w:eastAsia="宋体" w:cs="宋体"/>
          <w:color w:val="auto"/>
          <w:sz w:val="21"/>
          <w:szCs w:val="21"/>
        </w:rPr>
        <w:t>号）的规定：</w:t>
      </w:r>
    </w:p>
    <w:p w14:paraId="52813AA1">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一、享受政府采购支持政策的残疾人福利性单位应当同时满足以下条件：</w:t>
      </w:r>
    </w:p>
    <w:p w14:paraId="3EAED154">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（一）安置的残疾人占本单位在职职工人数的比例不低于</w:t>
      </w:r>
      <w:r>
        <w:rPr>
          <w:rFonts w:ascii="宋体" w:hAnsi="宋体" w:eastAsia="宋体" w:cs="宋体"/>
          <w:color w:val="auto"/>
          <w:sz w:val="21"/>
          <w:szCs w:val="21"/>
        </w:rPr>
        <w:t>25%</w:t>
      </w:r>
      <w:r>
        <w:rPr>
          <w:rFonts w:hint="eastAsia" w:ascii="宋体" w:hAnsi="宋体" w:eastAsia="宋体" w:cs="宋体"/>
          <w:color w:val="auto"/>
          <w:sz w:val="21"/>
          <w:szCs w:val="21"/>
        </w:rPr>
        <w:t>（含</w:t>
      </w:r>
      <w:r>
        <w:rPr>
          <w:rFonts w:ascii="宋体" w:hAnsi="宋体" w:eastAsia="宋体" w:cs="宋体"/>
          <w:color w:val="auto"/>
          <w:sz w:val="21"/>
          <w:szCs w:val="21"/>
        </w:rPr>
        <w:t>25%</w:t>
      </w:r>
      <w:r>
        <w:rPr>
          <w:rFonts w:hint="eastAsia" w:ascii="宋体" w:hAnsi="宋体" w:eastAsia="宋体" w:cs="宋体"/>
          <w:color w:val="auto"/>
          <w:sz w:val="21"/>
          <w:szCs w:val="21"/>
        </w:rPr>
        <w:t>），并且安置的残疾人人数不少于</w:t>
      </w:r>
      <w:r>
        <w:rPr>
          <w:rFonts w:ascii="宋体" w:hAnsi="宋体" w:eastAsia="宋体" w:cs="宋体"/>
          <w:color w:val="auto"/>
          <w:sz w:val="21"/>
          <w:szCs w:val="21"/>
        </w:rPr>
        <w:t>10</w:t>
      </w:r>
      <w:r>
        <w:rPr>
          <w:rFonts w:hint="eastAsia" w:ascii="宋体" w:hAnsi="宋体" w:eastAsia="宋体" w:cs="宋体"/>
          <w:color w:val="auto"/>
          <w:sz w:val="21"/>
          <w:szCs w:val="21"/>
        </w:rPr>
        <w:t>人（含</w:t>
      </w:r>
      <w:r>
        <w:rPr>
          <w:rFonts w:ascii="宋体" w:hAnsi="宋体" w:eastAsia="宋体" w:cs="宋体"/>
          <w:color w:val="auto"/>
          <w:sz w:val="21"/>
          <w:szCs w:val="21"/>
        </w:rPr>
        <w:t>10</w:t>
      </w:r>
      <w:r>
        <w:rPr>
          <w:rFonts w:hint="eastAsia" w:ascii="宋体" w:hAnsi="宋体" w:eastAsia="宋体" w:cs="宋体"/>
          <w:color w:val="auto"/>
          <w:sz w:val="21"/>
          <w:szCs w:val="21"/>
        </w:rPr>
        <w:t>人）；</w:t>
      </w:r>
    </w:p>
    <w:p w14:paraId="0D1A5A79">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（二）依法与安置的每位残疾人签订了一年以上（含一年）的劳动合同或服务协议；</w:t>
      </w:r>
    </w:p>
    <w:p w14:paraId="1ADAE0E5">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（三）为安置的每位残疾人按月足额缴纳了基本养老保险、基本医疗保险、失业保险、工伤保险和生育保险等社会保险费；</w:t>
      </w:r>
    </w:p>
    <w:p w14:paraId="0C99FCEF">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（四）通过银行等金融机构向安置的每位残疾人，按月支付了不低于单位所在区县适用的经省级人民政府批准的月最低工资标准的工资；</w:t>
      </w:r>
    </w:p>
    <w:p w14:paraId="3116491C">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（五）提供本单位制造的货物、承担的工程或者服务（以下简称产品），或者提供其他残疾人福利性单位制造的货物（不包括使用非残疾人福利性单位注册商标的货物）。</w:t>
      </w:r>
    </w:p>
    <w:p w14:paraId="05A3E895">
      <w:pPr>
        <w:tabs>
          <w:tab w:val="left" w:pos="5670"/>
        </w:tabs>
        <w:spacing w:line="240" w:lineRule="auto"/>
        <w:ind w:firstLine="566"/>
        <w:jc w:val="left"/>
        <w:rPr>
          <w:rFonts w:ascii="宋体" w:hAnsi="宋体" w:eastAsia="宋体" w:cs="Times New Roman"/>
          <w:color w:val="auto"/>
          <w:sz w:val="21"/>
          <w:szCs w:val="21"/>
        </w:rPr>
      </w:pPr>
      <w:r>
        <w:rPr>
          <w:rFonts w:hint="eastAsia" w:ascii="宋体" w:hAnsi="宋体" w:eastAsia="宋体" w:cs="宋体"/>
          <w:color w:val="auto"/>
          <w:sz w:val="21"/>
          <w:szCs w:val="21"/>
        </w:rPr>
        <w:t>前款所称残疾人是指法定劳动年龄内，持有《中华人民共和国残疾人证》或者《中华人民共和国残疾军人证（</w:t>
      </w:r>
      <w:r>
        <w:rPr>
          <w:rFonts w:ascii="宋体" w:hAnsi="宋体" w:eastAsia="宋体" w:cs="宋体"/>
          <w:color w:val="auto"/>
          <w:sz w:val="21"/>
          <w:szCs w:val="21"/>
        </w:rPr>
        <w:t>1</w:t>
      </w:r>
      <w:r>
        <w:rPr>
          <w:rFonts w:hint="eastAsia" w:ascii="宋体" w:hAnsi="宋体" w:eastAsia="宋体" w:cs="宋体"/>
          <w:color w:val="auto"/>
          <w:sz w:val="21"/>
          <w:szCs w:val="21"/>
        </w:rPr>
        <w:t>至</w:t>
      </w:r>
      <w:r>
        <w:rPr>
          <w:rFonts w:ascii="宋体" w:hAnsi="宋体" w:eastAsia="宋体" w:cs="宋体"/>
          <w:color w:val="auto"/>
          <w:sz w:val="21"/>
          <w:szCs w:val="21"/>
        </w:rPr>
        <w:t>8</w:t>
      </w:r>
      <w:r>
        <w:rPr>
          <w:rFonts w:hint="eastAsia" w:ascii="宋体" w:hAnsi="宋体" w:eastAsia="宋体" w:cs="宋体"/>
          <w:color w:val="auto"/>
          <w:sz w:val="21"/>
          <w:szCs w:val="21"/>
        </w:rPr>
        <w:t>级）》的自然人，包括具有劳动条件和劳动意愿的精神残疾人。在职职工人数是指与残疾人福利性单位建立劳动关系并依法签订劳动合同或者服务协议的雇员人数。</w:t>
      </w:r>
    </w:p>
    <w:p w14:paraId="39DE4545">
      <w:pPr>
        <w:tabs>
          <w:tab w:val="left" w:pos="5670"/>
        </w:tabs>
        <w:spacing w:line="240" w:lineRule="auto"/>
        <w:ind w:firstLine="426" w:firstLineChars="200"/>
        <w:jc w:val="left"/>
        <w:rPr>
          <w:rFonts w:ascii="宋体" w:hAnsi="宋体" w:eastAsia="宋体" w:cs="Times New Roman"/>
          <w:color w:val="auto"/>
          <w:sz w:val="21"/>
          <w:szCs w:val="21"/>
        </w:rPr>
      </w:pPr>
      <w:r>
        <w:rPr>
          <w:rFonts w:hint="eastAsia" w:ascii="宋体" w:hAnsi="宋体" w:eastAsia="宋体" w:cs="宋体"/>
          <w:color w:val="auto"/>
          <w:sz w:val="21"/>
          <w:szCs w:val="21"/>
        </w:rPr>
        <w:t>二、中标、成交供应商为残疾人福利性单位的，采购人或者其委托的采购代理机构应当随中标、成交结果同时公告其《残疾人福利性单位声明函》，接受社会监督。</w:t>
      </w:r>
    </w:p>
    <w:p w14:paraId="23169CBA">
      <w:pPr>
        <w:spacing w:line="500" w:lineRule="exact"/>
        <w:ind w:firstLine="566" w:firstLineChars="200"/>
        <w:rPr>
          <w:rFonts w:cs="Times New Roman"/>
          <w:color w:val="auto"/>
        </w:rPr>
      </w:pPr>
      <w:r>
        <w:rPr>
          <w:rFonts w:hint="eastAsia" w:cs="Times New Roman"/>
          <w:color w:val="auto"/>
        </w:rPr>
        <w:br w:type="page"/>
      </w:r>
      <w:r>
        <w:rPr>
          <w:rFonts w:hint="eastAsia" w:cs="Times New Roman"/>
          <w:b/>
          <w:bCs/>
          <w:color w:val="auto"/>
        </w:rPr>
        <w:t>（二）投标人概况</w:t>
      </w:r>
    </w:p>
    <w:p w14:paraId="5FEA13FF">
      <w:pPr>
        <w:spacing w:line="500" w:lineRule="exact"/>
        <w:ind w:firstLine="566" w:firstLineChars="200"/>
        <w:rPr>
          <w:rFonts w:cs="华文仿宋"/>
          <w:color w:val="auto"/>
        </w:rPr>
      </w:pPr>
      <w:r>
        <w:rPr>
          <w:rFonts w:hint="eastAsia" w:cs="Times New Roman"/>
          <w:color w:val="auto"/>
        </w:rPr>
        <w:t>包括但不限于成立时间、经营范围、股权变更、总公司分公司分布及经营状况、管理制度、人员配备、用户评价、正在实施的项目、评优获奖情况、以及投标人认为有利于本次中标的其他情况等说明。</w:t>
      </w:r>
    </w:p>
    <w:p w14:paraId="62832B42">
      <w:pPr>
        <w:spacing w:line="500" w:lineRule="exact"/>
        <w:ind w:firstLine="566" w:firstLineChars="200"/>
        <w:jc w:val="left"/>
        <w:rPr>
          <w:rFonts w:cs="华文仿宋"/>
          <w:color w:val="auto"/>
        </w:rPr>
      </w:pPr>
    </w:p>
    <w:p w14:paraId="570889E1">
      <w:pPr>
        <w:spacing w:line="500" w:lineRule="exact"/>
        <w:rPr>
          <w:rFonts w:cs="Times New Roman"/>
          <w:b/>
          <w:bCs/>
          <w:color w:val="auto"/>
        </w:rPr>
      </w:pPr>
    </w:p>
    <w:p w14:paraId="6F3EB6FD">
      <w:pPr>
        <w:spacing w:line="500" w:lineRule="exact"/>
        <w:rPr>
          <w:rFonts w:cs="Times New Roman"/>
          <w:b/>
          <w:bCs/>
          <w:color w:val="auto"/>
        </w:rPr>
      </w:pPr>
    </w:p>
    <w:p w14:paraId="426D8860">
      <w:pPr>
        <w:spacing w:line="500" w:lineRule="exact"/>
        <w:rPr>
          <w:rFonts w:cs="Times New Roman"/>
          <w:b/>
          <w:bCs/>
          <w:color w:val="auto"/>
        </w:rPr>
      </w:pPr>
    </w:p>
    <w:p w14:paraId="0574001C">
      <w:pPr>
        <w:spacing w:line="500" w:lineRule="exact"/>
        <w:rPr>
          <w:rFonts w:cs="Times New Roman"/>
          <w:b/>
          <w:bCs/>
          <w:color w:val="auto"/>
        </w:rPr>
      </w:pPr>
    </w:p>
    <w:p w14:paraId="4703F814">
      <w:pPr>
        <w:spacing w:line="500" w:lineRule="exact"/>
        <w:rPr>
          <w:rFonts w:cs="Times New Roman"/>
          <w:b/>
          <w:bCs/>
          <w:color w:val="auto"/>
        </w:rPr>
      </w:pPr>
    </w:p>
    <w:p w14:paraId="727A2D74">
      <w:pPr>
        <w:spacing w:line="500" w:lineRule="exact"/>
        <w:rPr>
          <w:rFonts w:cs="Times New Roman"/>
          <w:b/>
          <w:bCs/>
          <w:color w:val="auto"/>
        </w:rPr>
      </w:pPr>
    </w:p>
    <w:p w14:paraId="1A5D41D1">
      <w:pPr>
        <w:spacing w:line="500" w:lineRule="exact"/>
        <w:rPr>
          <w:rFonts w:cs="Times New Roman"/>
          <w:b/>
          <w:bCs/>
          <w:color w:val="auto"/>
        </w:rPr>
      </w:pPr>
    </w:p>
    <w:p w14:paraId="0E07691E">
      <w:pPr>
        <w:spacing w:line="500" w:lineRule="exact"/>
        <w:rPr>
          <w:rFonts w:cs="Times New Roman"/>
          <w:b/>
          <w:bCs/>
          <w:color w:val="auto"/>
        </w:rPr>
      </w:pPr>
    </w:p>
    <w:p w14:paraId="25CBD522">
      <w:pPr>
        <w:spacing w:line="500" w:lineRule="exact"/>
        <w:rPr>
          <w:rFonts w:cs="Times New Roman"/>
          <w:b/>
          <w:bCs/>
          <w:color w:val="auto"/>
        </w:rPr>
      </w:pPr>
    </w:p>
    <w:p w14:paraId="6A262DB4">
      <w:pPr>
        <w:spacing w:line="500" w:lineRule="exact"/>
        <w:rPr>
          <w:rFonts w:cs="Times New Roman"/>
          <w:b/>
          <w:bCs/>
          <w:color w:val="auto"/>
        </w:rPr>
      </w:pPr>
    </w:p>
    <w:p w14:paraId="6D2EE9FA">
      <w:pPr>
        <w:spacing w:line="500" w:lineRule="exact"/>
        <w:jc w:val="center"/>
        <w:rPr>
          <w:rFonts w:cs="Times New Roman"/>
          <w:b/>
          <w:bCs/>
          <w:color w:val="auto"/>
        </w:rPr>
      </w:pPr>
    </w:p>
    <w:p w14:paraId="31593876">
      <w:pPr>
        <w:spacing w:line="500" w:lineRule="exact"/>
        <w:outlineLvl w:val="2"/>
        <w:rPr>
          <w:rFonts w:ascii="华文仿宋" w:cs="Times New Roman"/>
          <w:color w:val="auto"/>
        </w:rPr>
      </w:pPr>
      <w:bookmarkStart w:id="803" w:name="_Toc15509"/>
      <w:bookmarkEnd w:id="803"/>
      <w:bookmarkStart w:id="804" w:name="_Toc8096"/>
      <w:bookmarkEnd w:id="804"/>
      <w:bookmarkStart w:id="805" w:name="_Toc6405"/>
      <w:bookmarkEnd w:id="805"/>
      <w:bookmarkStart w:id="806" w:name="_Toc603"/>
      <w:bookmarkEnd w:id="806"/>
      <w:bookmarkStart w:id="807" w:name="_Toc14867"/>
      <w:bookmarkEnd w:id="807"/>
      <w:bookmarkStart w:id="808" w:name="_Toc3411"/>
      <w:bookmarkEnd w:id="808"/>
      <w:bookmarkStart w:id="809" w:name="_Toc17436"/>
      <w:bookmarkEnd w:id="809"/>
      <w:bookmarkStart w:id="810" w:name="_Toc26403"/>
      <w:bookmarkEnd w:id="810"/>
      <w:bookmarkStart w:id="811" w:name="_Toc16462"/>
      <w:bookmarkEnd w:id="811"/>
      <w:bookmarkStart w:id="812" w:name="_Toc1568"/>
      <w:bookmarkEnd w:id="812"/>
      <w:bookmarkStart w:id="813" w:name="_Toc3010"/>
      <w:bookmarkEnd w:id="813"/>
      <w:bookmarkStart w:id="814" w:name="_Toc12342"/>
      <w:bookmarkEnd w:id="814"/>
      <w:bookmarkStart w:id="815" w:name="_Toc4295"/>
      <w:bookmarkEnd w:id="815"/>
      <w:bookmarkStart w:id="816" w:name="_Toc2826"/>
      <w:bookmarkEnd w:id="816"/>
      <w:bookmarkStart w:id="817" w:name="_Toc24226"/>
      <w:bookmarkEnd w:id="817"/>
      <w:bookmarkStart w:id="818" w:name="_Toc9336"/>
      <w:bookmarkEnd w:id="818"/>
      <w:bookmarkStart w:id="819" w:name="_Toc13262"/>
      <w:bookmarkEnd w:id="819"/>
      <w:r>
        <w:rPr>
          <w:rFonts w:ascii="华文仿宋" w:cs="Times New Roman"/>
          <w:b/>
          <w:bCs/>
          <w:color w:val="auto"/>
          <w:sz w:val="32"/>
          <w:szCs w:val="32"/>
        </w:rPr>
        <w:br w:type="page"/>
      </w:r>
      <w:r>
        <w:rPr>
          <w:rFonts w:hint="eastAsia" w:ascii="华文仿宋" w:hAnsi="华文仿宋" w:cs="华文仿宋"/>
          <w:b/>
          <w:bCs/>
          <w:color w:val="auto"/>
          <w:sz w:val="32"/>
          <w:szCs w:val="32"/>
        </w:rPr>
        <w:t>二、投标方案</w:t>
      </w:r>
    </w:p>
    <w:p w14:paraId="6C925188">
      <w:pPr>
        <w:spacing w:line="500" w:lineRule="exact"/>
        <w:ind w:firstLine="566" w:firstLineChars="200"/>
        <w:rPr>
          <w:bCs/>
          <w:color w:val="auto"/>
        </w:rPr>
      </w:pPr>
      <w:r>
        <w:rPr>
          <w:rFonts w:hint="eastAsia" w:cs="华文仿宋"/>
          <w:color w:val="auto"/>
          <w:lang w:eastAsia="zh-CN"/>
        </w:rPr>
        <w:t>（</w:t>
      </w:r>
      <w:r>
        <w:rPr>
          <w:rFonts w:hint="eastAsia" w:cs="华文仿宋"/>
          <w:color w:val="auto"/>
          <w:lang w:val="en-US" w:eastAsia="zh-CN"/>
        </w:rPr>
        <w:t>一</w:t>
      </w:r>
      <w:r>
        <w:rPr>
          <w:rFonts w:hint="eastAsia" w:cs="华文仿宋"/>
          <w:color w:val="auto"/>
          <w:lang w:eastAsia="zh-CN"/>
        </w:rPr>
        <w:t>）</w:t>
      </w:r>
      <w:r>
        <w:rPr>
          <w:rFonts w:hint="eastAsia" w:cs="华文仿宋"/>
          <w:color w:val="auto"/>
        </w:rPr>
        <w:t>参照招标文件第二章第八项《组织评标》各条款的要求，</w:t>
      </w:r>
      <w:r>
        <w:rPr>
          <w:bCs/>
          <w:color w:val="auto"/>
        </w:rPr>
        <w:t>结合第</w:t>
      </w:r>
      <w:r>
        <w:rPr>
          <w:rFonts w:hint="eastAsia"/>
          <w:bCs/>
          <w:color w:val="auto"/>
        </w:rPr>
        <w:t>四</w:t>
      </w:r>
      <w:r>
        <w:rPr>
          <w:bCs/>
          <w:color w:val="auto"/>
        </w:rPr>
        <w:t>章</w:t>
      </w:r>
      <w:r>
        <w:rPr>
          <w:rFonts w:hint="eastAsia" w:ascii="华文仿宋" w:hAnsi="华文仿宋" w:cs="华文仿宋"/>
          <w:color w:val="auto"/>
          <w:lang w:eastAsia="zh-CN"/>
        </w:rPr>
        <w:t>《</w:t>
      </w:r>
      <w:r>
        <w:rPr>
          <w:rFonts w:hint="eastAsia" w:ascii="华文仿宋" w:hAnsi="华文仿宋" w:cs="华文仿宋"/>
          <w:color w:val="auto"/>
        </w:rPr>
        <w:t>招标内容及采购要</w:t>
      </w:r>
      <w:r>
        <w:rPr>
          <w:rFonts w:hint="eastAsia" w:ascii="华文仿宋" w:hAnsi="华文仿宋" w:cs="华文仿宋"/>
          <w:color w:val="auto"/>
          <w:lang w:val="en-US" w:eastAsia="zh-CN"/>
        </w:rPr>
        <w:t>求</w:t>
      </w:r>
      <w:r>
        <w:rPr>
          <w:rFonts w:hint="eastAsia" w:ascii="华文仿宋" w:hAnsi="华文仿宋" w:cs="华文仿宋"/>
          <w:color w:val="auto"/>
          <w:lang w:eastAsia="zh-CN"/>
        </w:rPr>
        <w:t>》</w:t>
      </w:r>
      <w:r>
        <w:rPr>
          <w:rFonts w:hint="eastAsia" w:ascii="华文仿宋" w:hAnsi="华文仿宋" w:cs="华文仿宋"/>
          <w:color w:val="auto"/>
          <w:lang w:val="en-US" w:eastAsia="zh-CN"/>
        </w:rPr>
        <w:t>编制投标方案</w:t>
      </w:r>
      <w:r>
        <w:rPr>
          <w:bCs/>
          <w:color w:val="auto"/>
        </w:rPr>
        <w:t>。</w:t>
      </w:r>
    </w:p>
    <w:p w14:paraId="0E133F50">
      <w:pPr>
        <w:widowControl w:val="0"/>
        <w:ind w:firstLine="426" w:firstLineChars="200"/>
        <w:rPr>
          <w:rFonts w:ascii="宋体" w:hAnsi="宋体" w:eastAsia="宋体" w:cs="宋体"/>
          <w:b/>
          <w:bCs/>
          <w:color w:val="auto"/>
          <w:sz w:val="21"/>
          <w:szCs w:val="21"/>
        </w:rPr>
      </w:pPr>
    </w:p>
    <w:p w14:paraId="413877B9">
      <w:pPr>
        <w:keepNext/>
        <w:keepLines/>
        <w:rPr>
          <w:color w:val="auto"/>
        </w:rPr>
      </w:pPr>
    </w:p>
    <w:p w14:paraId="34846CB1">
      <w:pPr>
        <w:spacing w:line="500" w:lineRule="exact"/>
        <w:ind w:firstLine="566" w:firstLineChars="200"/>
        <w:rPr>
          <w:rFonts w:hint="eastAsia" w:ascii="仿宋" w:hAnsi="仿宋" w:eastAsia="仿宋" w:cs="Calibri"/>
          <w:b/>
          <w:color w:val="auto"/>
        </w:rPr>
      </w:pPr>
    </w:p>
    <w:p w14:paraId="3AB48BBB">
      <w:pPr>
        <w:spacing w:line="500" w:lineRule="exact"/>
        <w:ind w:firstLine="566" w:firstLineChars="200"/>
        <w:rPr>
          <w:rFonts w:hint="eastAsia" w:ascii="仿宋" w:hAnsi="仿宋" w:eastAsia="仿宋" w:cs="Calibri"/>
          <w:b/>
          <w:color w:val="auto"/>
        </w:rPr>
      </w:pPr>
    </w:p>
    <w:p w14:paraId="1BD9005E">
      <w:pPr>
        <w:spacing w:line="500" w:lineRule="exact"/>
        <w:ind w:firstLine="566" w:firstLineChars="200"/>
        <w:rPr>
          <w:rFonts w:hint="eastAsia" w:ascii="仿宋" w:hAnsi="仿宋" w:eastAsia="仿宋" w:cs="Calibri"/>
          <w:b/>
          <w:color w:val="auto"/>
        </w:rPr>
      </w:pPr>
    </w:p>
    <w:p w14:paraId="5F3FD0FF">
      <w:pPr>
        <w:spacing w:line="500" w:lineRule="exact"/>
        <w:ind w:firstLine="566" w:firstLineChars="200"/>
        <w:rPr>
          <w:rFonts w:hint="eastAsia" w:ascii="仿宋" w:hAnsi="仿宋" w:eastAsia="仿宋" w:cs="Calibri"/>
          <w:b/>
          <w:color w:val="auto"/>
        </w:rPr>
      </w:pPr>
    </w:p>
    <w:p w14:paraId="35C9423E">
      <w:pPr>
        <w:spacing w:line="500" w:lineRule="exact"/>
        <w:ind w:firstLine="566" w:firstLineChars="200"/>
        <w:rPr>
          <w:rFonts w:hint="eastAsia" w:ascii="仿宋" w:hAnsi="仿宋" w:eastAsia="仿宋" w:cs="Calibri"/>
          <w:b/>
          <w:color w:val="auto"/>
        </w:rPr>
      </w:pPr>
    </w:p>
    <w:p w14:paraId="1AD5B61E">
      <w:pPr>
        <w:spacing w:line="500" w:lineRule="exact"/>
        <w:ind w:firstLine="566" w:firstLineChars="200"/>
        <w:rPr>
          <w:rFonts w:hint="eastAsia" w:ascii="仿宋" w:hAnsi="仿宋" w:eastAsia="仿宋" w:cs="Calibri"/>
          <w:b/>
          <w:color w:val="auto"/>
        </w:rPr>
      </w:pPr>
    </w:p>
    <w:p w14:paraId="5A56FFC2">
      <w:pPr>
        <w:spacing w:line="500" w:lineRule="exact"/>
        <w:ind w:firstLine="566" w:firstLineChars="200"/>
        <w:rPr>
          <w:rFonts w:hint="eastAsia" w:ascii="仿宋" w:hAnsi="仿宋" w:eastAsia="仿宋" w:cs="Calibri"/>
          <w:b/>
          <w:color w:val="auto"/>
        </w:rPr>
      </w:pPr>
    </w:p>
    <w:p w14:paraId="6BB3A247">
      <w:pPr>
        <w:spacing w:line="500" w:lineRule="exact"/>
        <w:ind w:firstLine="566" w:firstLineChars="200"/>
        <w:rPr>
          <w:rFonts w:hint="eastAsia" w:ascii="仿宋" w:hAnsi="仿宋" w:eastAsia="仿宋" w:cs="Calibri"/>
          <w:b/>
          <w:color w:val="auto"/>
        </w:rPr>
      </w:pPr>
    </w:p>
    <w:p w14:paraId="483A9090">
      <w:pPr>
        <w:spacing w:line="500" w:lineRule="exact"/>
        <w:ind w:firstLine="566" w:firstLineChars="200"/>
        <w:rPr>
          <w:rFonts w:hint="eastAsia" w:ascii="仿宋" w:hAnsi="仿宋" w:eastAsia="仿宋" w:cs="Calibri"/>
          <w:b/>
          <w:color w:val="auto"/>
        </w:rPr>
      </w:pPr>
    </w:p>
    <w:p w14:paraId="4581891C">
      <w:pPr>
        <w:spacing w:line="500" w:lineRule="exact"/>
        <w:ind w:firstLine="566" w:firstLineChars="200"/>
        <w:rPr>
          <w:rFonts w:hint="eastAsia" w:ascii="仿宋" w:hAnsi="仿宋" w:eastAsia="仿宋" w:cs="Calibri"/>
          <w:b/>
          <w:color w:val="auto"/>
        </w:rPr>
      </w:pPr>
    </w:p>
    <w:p w14:paraId="5B8763AE">
      <w:pPr>
        <w:spacing w:line="500" w:lineRule="exact"/>
        <w:ind w:firstLine="566" w:firstLineChars="200"/>
        <w:rPr>
          <w:rFonts w:hint="eastAsia" w:ascii="仿宋" w:hAnsi="仿宋" w:eastAsia="仿宋" w:cs="Calibri"/>
          <w:b/>
          <w:color w:val="auto"/>
        </w:rPr>
      </w:pPr>
    </w:p>
    <w:p w14:paraId="5E61C844">
      <w:pPr>
        <w:spacing w:line="500" w:lineRule="exact"/>
        <w:ind w:firstLine="566" w:firstLineChars="200"/>
        <w:rPr>
          <w:rFonts w:hint="eastAsia" w:ascii="仿宋" w:hAnsi="仿宋" w:eastAsia="仿宋" w:cs="Calibri"/>
          <w:b/>
          <w:color w:val="auto"/>
        </w:rPr>
      </w:pPr>
    </w:p>
    <w:p w14:paraId="03A1C13F">
      <w:pPr>
        <w:spacing w:line="500" w:lineRule="exact"/>
        <w:ind w:firstLine="566" w:firstLineChars="200"/>
        <w:rPr>
          <w:rFonts w:hint="eastAsia" w:ascii="仿宋" w:hAnsi="仿宋" w:eastAsia="仿宋" w:cs="Calibri"/>
          <w:b/>
          <w:color w:val="auto"/>
        </w:rPr>
      </w:pPr>
    </w:p>
    <w:p w14:paraId="687ED26D">
      <w:pPr>
        <w:spacing w:line="500" w:lineRule="exact"/>
        <w:ind w:firstLine="566" w:firstLineChars="200"/>
        <w:rPr>
          <w:rFonts w:hint="eastAsia" w:ascii="仿宋" w:hAnsi="仿宋" w:eastAsia="仿宋" w:cs="Calibri"/>
          <w:b/>
          <w:color w:val="auto"/>
        </w:rPr>
      </w:pPr>
    </w:p>
    <w:p w14:paraId="0376628D">
      <w:pPr>
        <w:spacing w:line="500" w:lineRule="exact"/>
        <w:ind w:firstLine="566" w:firstLineChars="200"/>
        <w:rPr>
          <w:rFonts w:hint="eastAsia" w:ascii="仿宋" w:hAnsi="仿宋" w:eastAsia="仿宋" w:cs="Calibri"/>
          <w:b/>
          <w:color w:val="auto"/>
        </w:rPr>
      </w:pPr>
    </w:p>
    <w:p w14:paraId="05AAF4D5">
      <w:pPr>
        <w:spacing w:line="500" w:lineRule="exact"/>
        <w:ind w:firstLine="566" w:firstLineChars="200"/>
        <w:rPr>
          <w:rFonts w:ascii="仿宋" w:hAnsi="仿宋" w:eastAsia="仿宋" w:cs="Calibri"/>
          <w:b/>
          <w:color w:val="auto"/>
        </w:rPr>
      </w:pPr>
      <w:r>
        <w:rPr>
          <w:rFonts w:hint="eastAsia" w:ascii="仿宋" w:hAnsi="仿宋" w:eastAsia="仿宋" w:cs="Calibri"/>
          <w:b/>
          <w:color w:val="auto"/>
        </w:rPr>
        <w:t>（二）其他材料</w:t>
      </w:r>
    </w:p>
    <w:p w14:paraId="091A4969">
      <w:pPr>
        <w:spacing w:line="500" w:lineRule="exact"/>
        <w:ind w:firstLine="566" w:firstLineChars="200"/>
        <w:rPr>
          <w:rFonts w:ascii="华文仿宋" w:hAnsi="华文仿宋" w:cs="华文仿宋"/>
          <w:color w:val="auto"/>
        </w:rPr>
      </w:pPr>
      <w:r>
        <w:rPr>
          <w:rFonts w:hint="eastAsia" w:ascii="华文仿宋" w:hAnsi="华文仿宋" w:cs="华文仿宋"/>
          <w:color w:val="auto"/>
        </w:rPr>
        <w:t>根据招标文件要求，若第三章《评审要素及分值一览表》中内容须附相关证明材料，则投标人应将相关证明材料附至此处，如未按要求提供相关证明材料，将影响评分。</w:t>
      </w:r>
    </w:p>
    <w:p w14:paraId="3D7C7E6A">
      <w:pPr>
        <w:rPr>
          <w:rFonts w:ascii="华文仿宋" w:hAnsi="华文仿宋" w:cs="华文仿宋"/>
          <w:b/>
          <w:bCs/>
          <w:color w:val="auto"/>
          <w:sz w:val="32"/>
          <w:szCs w:val="32"/>
        </w:rPr>
      </w:pPr>
    </w:p>
    <w:p w14:paraId="0A984E65">
      <w:pPr>
        <w:rPr>
          <w:rFonts w:ascii="华文仿宋" w:hAnsi="华文仿宋" w:cs="华文仿宋"/>
          <w:b/>
          <w:bCs/>
          <w:color w:val="auto"/>
          <w:sz w:val="32"/>
          <w:szCs w:val="32"/>
        </w:rPr>
      </w:pPr>
    </w:p>
    <w:p w14:paraId="03BE7665">
      <w:pPr>
        <w:outlineLvl w:val="2"/>
        <w:rPr>
          <w:rFonts w:ascii="华文仿宋" w:cs="Times New Roman"/>
          <w:b/>
          <w:bCs/>
          <w:color w:val="auto"/>
          <w:sz w:val="32"/>
          <w:szCs w:val="32"/>
        </w:rPr>
      </w:pPr>
      <w:bookmarkStart w:id="820" w:name="_Toc12931"/>
      <w:bookmarkEnd w:id="820"/>
      <w:bookmarkStart w:id="821" w:name="_Toc11196"/>
      <w:bookmarkEnd w:id="821"/>
      <w:bookmarkStart w:id="822" w:name="_Toc20792"/>
      <w:bookmarkEnd w:id="822"/>
      <w:r>
        <w:rPr>
          <w:rFonts w:hint="eastAsia" w:ascii="华文仿宋" w:hAnsi="华文仿宋" w:cs="华文仿宋"/>
          <w:b/>
          <w:bCs/>
          <w:color w:val="auto"/>
          <w:sz w:val="32"/>
          <w:szCs w:val="32"/>
        </w:rPr>
        <w:br w:type="page"/>
      </w:r>
      <w:r>
        <w:rPr>
          <w:rFonts w:hint="eastAsia" w:ascii="华文仿宋" w:hAnsi="华文仿宋" w:cs="华文仿宋"/>
          <w:b/>
          <w:bCs/>
          <w:color w:val="auto"/>
          <w:sz w:val="32"/>
          <w:szCs w:val="32"/>
        </w:rPr>
        <w:t>三、参考样表</w:t>
      </w:r>
    </w:p>
    <w:p w14:paraId="368A64D3">
      <w:pPr>
        <w:spacing w:line="500" w:lineRule="exact"/>
        <w:ind w:firstLine="566" w:firstLineChars="200"/>
        <w:rPr>
          <w:rFonts w:ascii="华文仿宋" w:cs="Times New Roman"/>
          <w:b/>
          <w:bCs/>
          <w:color w:val="auto"/>
        </w:rPr>
      </w:pPr>
      <w:r>
        <w:rPr>
          <w:rFonts w:hint="eastAsia" w:ascii="华文仿宋" w:hAnsi="华文仿宋" w:cs="华文仿宋"/>
          <w:b/>
          <w:bCs/>
          <w:color w:val="auto"/>
        </w:rPr>
        <w:t>（一）业绩合同样表（仅供参考）</w:t>
      </w:r>
    </w:p>
    <w:tbl>
      <w:tblPr>
        <w:tblStyle w:val="29"/>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2FC7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34995440">
            <w:pPr>
              <w:widowControl w:val="0"/>
              <w:adjustRightInd w:val="0"/>
              <w:snapToGrid w:val="0"/>
              <w:spacing w:line="440" w:lineRule="exact"/>
              <w:jc w:val="center"/>
              <w:rPr>
                <w:rFonts w:ascii="宋体" w:cs="Times New Roman"/>
                <w:b/>
                <w:bCs/>
                <w:color w:val="auto"/>
                <w:sz w:val="24"/>
                <w:szCs w:val="24"/>
              </w:rPr>
            </w:pPr>
            <w:r>
              <w:rPr>
                <w:rFonts w:hint="eastAsia" w:ascii="宋体" w:cs="华文仿宋"/>
                <w:b/>
                <w:bCs/>
                <w:color w:val="auto"/>
                <w:sz w:val="24"/>
                <w:szCs w:val="24"/>
              </w:rPr>
              <w:t>序号</w:t>
            </w:r>
          </w:p>
        </w:tc>
        <w:tc>
          <w:tcPr>
            <w:tcW w:w="1736" w:type="dxa"/>
            <w:noWrap w:val="0"/>
            <w:vAlign w:val="center"/>
          </w:tcPr>
          <w:p w14:paraId="3A87AA44">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采购单位名称</w:t>
            </w:r>
          </w:p>
        </w:tc>
        <w:tc>
          <w:tcPr>
            <w:tcW w:w="1701" w:type="dxa"/>
            <w:noWrap w:val="0"/>
            <w:vAlign w:val="center"/>
          </w:tcPr>
          <w:p w14:paraId="76BE2A61">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合同名称</w:t>
            </w:r>
          </w:p>
        </w:tc>
        <w:tc>
          <w:tcPr>
            <w:tcW w:w="2557" w:type="dxa"/>
            <w:noWrap w:val="0"/>
            <w:vAlign w:val="center"/>
          </w:tcPr>
          <w:p w14:paraId="64F48327">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合同起止时间</w:t>
            </w:r>
          </w:p>
        </w:tc>
        <w:tc>
          <w:tcPr>
            <w:tcW w:w="1984" w:type="dxa"/>
            <w:noWrap w:val="0"/>
            <w:vAlign w:val="center"/>
          </w:tcPr>
          <w:p w14:paraId="3862858E">
            <w:pPr>
              <w:jc w:val="center"/>
              <w:rPr>
                <w:rFonts w:ascii="仿宋" w:hAnsi="仿宋" w:eastAsia="仿宋" w:cs="Times New Roman"/>
                <w:b/>
                <w:bCs/>
                <w:color w:val="auto"/>
                <w:sz w:val="24"/>
                <w:szCs w:val="24"/>
              </w:rPr>
            </w:pPr>
            <w:r>
              <w:rPr>
                <w:rFonts w:hint="eastAsia" w:ascii="仿宋" w:hAnsi="仿宋" w:eastAsia="仿宋" w:cs="仿宋"/>
                <w:b/>
                <w:bCs/>
                <w:color w:val="auto"/>
                <w:sz w:val="24"/>
                <w:szCs w:val="24"/>
              </w:rPr>
              <w:t>合同金额（万元）</w:t>
            </w:r>
          </w:p>
        </w:tc>
      </w:tr>
      <w:tr w14:paraId="6A32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40A7FE9F">
            <w:pPr>
              <w:widowControl w:val="0"/>
              <w:spacing w:line="440" w:lineRule="exact"/>
              <w:jc w:val="center"/>
              <w:rPr>
                <w:rFonts w:ascii="宋体" w:eastAsia="宋体" w:cs="Times New Roman"/>
                <w:color w:val="auto"/>
                <w:sz w:val="24"/>
                <w:szCs w:val="24"/>
              </w:rPr>
            </w:pPr>
          </w:p>
        </w:tc>
        <w:tc>
          <w:tcPr>
            <w:tcW w:w="1736" w:type="dxa"/>
            <w:noWrap w:val="0"/>
            <w:vAlign w:val="center"/>
          </w:tcPr>
          <w:p w14:paraId="69ED1A56">
            <w:pPr>
              <w:widowControl w:val="0"/>
              <w:spacing w:line="440" w:lineRule="exact"/>
              <w:jc w:val="center"/>
              <w:rPr>
                <w:rFonts w:ascii="宋体" w:eastAsia="宋体" w:cs="Times New Roman"/>
                <w:color w:val="auto"/>
                <w:sz w:val="24"/>
                <w:szCs w:val="24"/>
              </w:rPr>
            </w:pPr>
          </w:p>
        </w:tc>
        <w:tc>
          <w:tcPr>
            <w:tcW w:w="1701" w:type="dxa"/>
            <w:noWrap w:val="0"/>
            <w:vAlign w:val="center"/>
          </w:tcPr>
          <w:p w14:paraId="77564D0F">
            <w:pPr>
              <w:widowControl w:val="0"/>
              <w:spacing w:line="440" w:lineRule="exact"/>
              <w:jc w:val="center"/>
              <w:rPr>
                <w:rFonts w:ascii="宋体" w:eastAsia="宋体" w:cs="Times New Roman"/>
                <w:color w:val="auto"/>
                <w:sz w:val="24"/>
                <w:szCs w:val="24"/>
              </w:rPr>
            </w:pPr>
          </w:p>
        </w:tc>
        <w:tc>
          <w:tcPr>
            <w:tcW w:w="2557" w:type="dxa"/>
            <w:noWrap w:val="0"/>
            <w:vAlign w:val="center"/>
          </w:tcPr>
          <w:p w14:paraId="69624E72">
            <w:pPr>
              <w:widowControl w:val="0"/>
              <w:spacing w:line="440" w:lineRule="exact"/>
              <w:jc w:val="center"/>
              <w:rPr>
                <w:rFonts w:ascii="宋体" w:eastAsia="宋体" w:cs="Times New Roman"/>
                <w:color w:val="auto"/>
                <w:sz w:val="24"/>
                <w:szCs w:val="24"/>
              </w:rPr>
            </w:pPr>
          </w:p>
        </w:tc>
        <w:tc>
          <w:tcPr>
            <w:tcW w:w="1984" w:type="dxa"/>
            <w:noWrap w:val="0"/>
            <w:vAlign w:val="center"/>
          </w:tcPr>
          <w:p w14:paraId="66C48C21">
            <w:pPr>
              <w:widowControl w:val="0"/>
              <w:spacing w:line="440" w:lineRule="exact"/>
              <w:jc w:val="center"/>
              <w:rPr>
                <w:rFonts w:ascii="宋体" w:eastAsia="宋体" w:cs="Times New Roman"/>
                <w:color w:val="auto"/>
                <w:sz w:val="24"/>
                <w:szCs w:val="24"/>
              </w:rPr>
            </w:pPr>
          </w:p>
        </w:tc>
      </w:tr>
      <w:tr w14:paraId="7316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noWrap w:val="0"/>
            <w:vAlign w:val="center"/>
          </w:tcPr>
          <w:p w14:paraId="0D2D745A">
            <w:pPr>
              <w:widowControl w:val="0"/>
              <w:spacing w:line="440" w:lineRule="exact"/>
              <w:jc w:val="center"/>
              <w:rPr>
                <w:rFonts w:ascii="宋体" w:eastAsia="宋体" w:cs="Times New Roman"/>
                <w:color w:val="auto"/>
                <w:sz w:val="24"/>
                <w:szCs w:val="24"/>
              </w:rPr>
            </w:pPr>
            <w:r>
              <w:rPr>
                <w:rFonts w:hint="eastAsia" w:ascii="宋体" w:eastAsia="宋体" w:cs="宋体"/>
                <w:color w:val="auto"/>
                <w:sz w:val="24"/>
                <w:szCs w:val="24"/>
              </w:rPr>
              <w:t>……</w:t>
            </w:r>
          </w:p>
        </w:tc>
        <w:tc>
          <w:tcPr>
            <w:tcW w:w="1736" w:type="dxa"/>
            <w:noWrap w:val="0"/>
            <w:vAlign w:val="center"/>
          </w:tcPr>
          <w:p w14:paraId="311CEA14">
            <w:pPr>
              <w:widowControl w:val="0"/>
              <w:spacing w:line="440" w:lineRule="exact"/>
              <w:jc w:val="center"/>
              <w:rPr>
                <w:rFonts w:ascii="宋体" w:eastAsia="宋体" w:cs="Times New Roman"/>
                <w:color w:val="auto"/>
                <w:sz w:val="24"/>
                <w:szCs w:val="24"/>
              </w:rPr>
            </w:pPr>
          </w:p>
        </w:tc>
        <w:tc>
          <w:tcPr>
            <w:tcW w:w="1701" w:type="dxa"/>
            <w:noWrap w:val="0"/>
            <w:vAlign w:val="center"/>
          </w:tcPr>
          <w:p w14:paraId="2FCB578C">
            <w:pPr>
              <w:widowControl w:val="0"/>
              <w:spacing w:line="440" w:lineRule="exact"/>
              <w:jc w:val="center"/>
              <w:rPr>
                <w:rFonts w:ascii="宋体" w:eastAsia="宋体" w:cs="Times New Roman"/>
                <w:color w:val="auto"/>
                <w:sz w:val="24"/>
                <w:szCs w:val="24"/>
              </w:rPr>
            </w:pPr>
          </w:p>
        </w:tc>
        <w:tc>
          <w:tcPr>
            <w:tcW w:w="2557" w:type="dxa"/>
            <w:noWrap w:val="0"/>
            <w:vAlign w:val="center"/>
          </w:tcPr>
          <w:p w14:paraId="6EF9E51A">
            <w:pPr>
              <w:widowControl w:val="0"/>
              <w:spacing w:line="440" w:lineRule="exact"/>
              <w:jc w:val="center"/>
              <w:rPr>
                <w:rFonts w:ascii="宋体" w:eastAsia="宋体" w:cs="Times New Roman"/>
                <w:color w:val="auto"/>
                <w:sz w:val="24"/>
                <w:szCs w:val="24"/>
              </w:rPr>
            </w:pPr>
          </w:p>
        </w:tc>
        <w:tc>
          <w:tcPr>
            <w:tcW w:w="1984" w:type="dxa"/>
            <w:noWrap w:val="0"/>
            <w:vAlign w:val="center"/>
          </w:tcPr>
          <w:p w14:paraId="4B20D2F9">
            <w:pPr>
              <w:widowControl w:val="0"/>
              <w:spacing w:line="440" w:lineRule="exact"/>
              <w:jc w:val="center"/>
              <w:rPr>
                <w:rFonts w:ascii="宋体" w:eastAsia="宋体" w:cs="Times New Roman"/>
                <w:color w:val="auto"/>
                <w:sz w:val="24"/>
                <w:szCs w:val="24"/>
              </w:rPr>
            </w:pPr>
          </w:p>
        </w:tc>
      </w:tr>
      <w:tr w14:paraId="6302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noWrap w:val="0"/>
            <w:vAlign w:val="center"/>
          </w:tcPr>
          <w:p w14:paraId="0B55BCB8">
            <w:pPr>
              <w:widowControl w:val="0"/>
              <w:spacing w:line="440" w:lineRule="exact"/>
              <w:jc w:val="left"/>
              <w:rPr>
                <w:rFonts w:ascii="宋体" w:eastAsia="宋体" w:cs="Times New Roman"/>
                <w:color w:val="auto"/>
                <w:sz w:val="24"/>
                <w:szCs w:val="24"/>
              </w:rPr>
            </w:pPr>
            <w:r>
              <w:rPr>
                <w:rFonts w:hint="eastAsia" w:ascii="仿宋" w:hAnsi="仿宋" w:eastAsia="仿宋" w:cs="仿宋"/>
                <w:b/>
                <w:bCs/>
                <w:color w:val="auto"/>
                <w:sz w:val="24"/>
                <w:szCs w:val="24"/>
              </w:rPr>
              <w:t>数量合计（个）</w:t>
            </w:r>
            <w:r>
              <w:rPr>
                <w:rFonts w:hint="eastAsia" w:ascii="宋体" w:hAnsi="宋体" w:cs="华文仿宋"/>
                <w:color w:val="auto"/>
                <w:sz w:val="24"/>
                <w:szCs w:val="24"/>
              </w:rPr>
              <w:t>：</w:t>
            </w:r>
          </w:p>
        </w:tc>
      </w:tr>
    </w:tbl>
    <w:p w14:paraId="647E2C55">
      <w:pPr>
        <w:tabs>
          <w:tab w:val="right" w:pos="9070"/>
        </w:tabs>
        <w:snapToGrid w:val="0"/>
        <w:spacing w:line="240" w:lineRule="auto"/>
        <w:rPr>
          <w:rFonts w:ascii="华文仿宋" w:cs="Times New Roman"/>
          <w:b/>
          <w:bCs/>
          <w:color w:val="auto"/>
        </w:rPr>
      </w:pPr>
      <w:r>
        <w:rPr>
          <w:rFonts w:hint="eastAsia" w:cs="华文仿宋"/>
          <w:color w:val="auto"/>
          <w:sz w:val="24"/>
          <w:szCs w:val="24"/>
        </w:rPr>
        <w:t>注：</w:t>
      </w:r>
      <w:r>
        <w:rPr>
          <w:rFonts w:hint="eastAsia" w:ascii="仿宋" w:hAnsi="仿宋" w:eastAsia="仿宋" w:cs="仿宋"/>
          <w:color w:val="auto"/>
          <w:sz w:val="24"/>
          <w:szCs w:val="24"/>
        </w:rPr>
        <w:t>投标人须提供202</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年1月1日以来类似的项目业绩（以合同签订日期为准）。</w:t>
      </w:r>
    </w:p>
    <w:p w14:paraId="3815E353">
      <w:pPr>
        <w:tabs>
          <w:tab w:val="right" w:pos="9070"/>
        </w:tabs>
        <w:snapToGrid w:val="0"/>
        <w:spacing w:line="500" w:lineRule="exact"/>
        <w:ind w:left="566" w:leftChars="200"/>
        <w:rPr>
          <w:rFonts w:ascii="Calibri" w:hAnsi="Calibri" w:cs="Calibri"/>
          <w:color w:val="auto"/>
        </w:rPr>
      </w:pPr>
      <w:r>
        <w:rPr>
          <w:rFonts w:hint="eastAsia" w:ascii="华文仿宋" w:hAnsi="华文仿宋" w:cs="华文仿宋"/>
          <w:b/>
          <w:bCs/>
          <w:color w:val="auto"/>
        </w:rPr>
        <w:t>（二）</w:t>
      </w:r>
      <w:r>
        <w:rPr>
          <w:rFonts w:hint="eastAsia" w:ascii="Calibri" w:hAnsi="Calibri" w:cs="华文仿宋"/>
          <w:b/>
          <w:bCs/>
          <w:color w:val="auto"/>
        </w:rPr>
        <w:t>项目团队样表（仅供参考）</w:t>
      </w:r>
    </w:p>
    <w:p w14:paraId="48A068EA">
      <w:pPr>
        <w:tabs>
          <w:tab w:val="right" w:pos="9070"/>
        </w:tabs>
        <w:spacing w:line="480" w:lineRule="exact"/>
        <w:ind w:firstLine="566" w:firstLineChars="200"/>
        <w:rPr>
          <w:rFonts w:ascii="Calibri" w:hAnsi="Calibri" w:cs="Calibri"/>
          <w:color w:val="auto"/>
        </w:rPr>
      </w:pPr>
      <w:r>
        <w:rPr>
          <w:rFonts w:ascii="Calibri" w:hAnsi="Calibri" w:cs="Calibri"/>
          <w:color w:val="auto"/>
        </w:rPr>
        <w:t>1</w:t>
      </w:r>
      <w:r>
        <w:rPr>
          <w:rFonts w:hint="eastAsia" w:ascii="Calibri" w:hAnsi="Calibri" w:cs="华文仿宋"/>
          <w:color w:val="auto"/>
          <w:lang w:val="en-US" w:eastAsia="zh-CN"/>
        </w:rPr>
        <w:t>.</w:t>
      </w:r>
      <w:r>
        <w:rPr>
          <w:rFonts w:hint="eastAsia" w:ascii="Calibri" w:hAnsi="Calibri" w:cs="华文仿宋"/>
          <w:color w:val="auto"/>
        </w:rPr>
        <w:t>项目团队情况概述</w:t>
      </w:r>
    </w:p>
    <w:p w14:paraId="2AE6E034">
      <w:pPr>
        <w:tabs>
          <w:tab w:val="right" w:pos="9070"/>
        </w:tabs>
        <w:spacing w:line="480" w:lineRule="exact"/>
        <w:ind w:firstLine="566" w:firstLineChars="200"/>
        <w:rPr>
          <w:rFonts w:ascii="Calibri" w:hAnsi="Calibri" w:cs="Calibri"/>
          <w:color w:val="auto"/>
        </w:rPr>
      </w:pPr>
      <w:r>
        <w:rPr>
          <w:rFonts w:hint="eastAsia" w:ascii="Calibri" w:hAnsi="Calibri" w:cs="华文仿宋"/>
          <w:color w:val="auto"/>
        </w:rPr>
        <w:t>概述内容包括但不限于为本项目提供货物服务的团队整体情况、团队负责人、联系人基本情况、背景、能力介绍等，具体内容自行编制。</w:t>
      </w:r>
    </w:p>
    <w:p w14:paraId="267BF8EA">
      <w:pPr>
        <w:tabs>
          <w:tab w:val="right" w:pos="9070"/>
        </w:tabs>
        <w:spacing w:line="500" w:lineRule="exact"/>
        <w:ind w:firstLine="566" w:firstLineChars="200"/>
        <w:rPr>
          <w:rFonts w:ascii="Calibri" w:hAnsi="Calibri" w:cs="Calibri"/>
          <w:color w:val="auto"/>
        </w:rPr>
      </w:pPr>
      <w:r>
        <w:rPr>
          <w:rFonts w:hint="eastAsia" w:ascii="仿宋" w:hAnsi="仿宋" w:eastAsia="仿宋" w:cs="仿宋"/>
          <w:color w:val="auto"/>
        </w:rPr>
        <w:t>2</w:t>
      </w:r>
      <w:r>
        <w:rPr>
          <w:rFonts w:hint="eastAsia" w:ascii="仿宋" w:hAnsi="仿宋" w:eastAsia="仿宋" w:cs="仿宋"/>
          <w:color w:val="auto"/>
          <w:lang w:val="en-US" w:eastAsia="zh-CN"/>
        </w:rPr>
        <w:t>.</w:t>
      </w:r>
      <w:r>
        <w:rPr>
          <w:rFonts w:hint="eastAsia" w:ascii="Calibri" w:hAnsi="Calibri" w:cs="华文仿宋"/>
          <w:color w:val="auto"/>
        </w:rPr>
        <w:t>项目团队人员清单</w:t>
      </w:r>
    </w:p>
    <w:tbl>
      <w:tblPr>
        <w:tblStyle w:val="29"/>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4DB4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2186825C">
            <w:pPr>
              <w:tabs>
                <w:tab w:val="right" w:pos="9070"/>
              </w:tabs>
              <w:spacing w:line="500" w:lineRule="exact"/>
              <w:rPr>
                <w:rFonts w:ascii="仿宋" w:hAnsi="仿宋" w:eastAsia="仿宋" w:cs="Times New Roman"/>
                <w:color w:val="auto"/>
                <w:sz w:val="24"/>
                <w:szCs w:val="24"/>
              </w:rPr>
            </w:pPr>
            <w:r>
              <w:rPr>
                <w:rFonts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项目负责人</w:t>
            </w:r>
            <w:r>
              <w:rPr>
                <w:rFonts w:ascii="仿宋" w:hAnsi="仿宋" w:eastAsia="仿宋" w:cs="仿宋"/>
                <w:color w:val="auto"/>
                <w:sz w:val="24"/>
                <w:szCs w:val="24"/>
              </w:rPr>
              <w:t>/</w:t>
            </w:r>
            <w:r>
              <w:rPr>
                <w:rFonts w:hint="eastAsia" w:ascii="仿宋" w:hAnsi="仿宋" w:eastAsia="仿宋" w:cs="仿宋"/>
                <w:color w:val="auto"/>
                <w:sz w:val="24"/>
                <w:szCs w:val="24"/>
              </w:rPr>
              <w:t>技术负责人</w:t>
            </w:r>
          </w:p>
        </w:tc>
      </w:tr>
      <w:tr w14:paraId="2841B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E51CFD4">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15CAE322">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1535581D">
            <w:pPr>
              <w:jc w:val="center"/>
              <w:rPr>
                <w:rFonts w:ascii="仿宋" w:hAnsi="仿宋" w:eastAsia="仿宋" w:cs="Times New Roman"/>
                <w:color w:val="auto"/>
                <w:sz w:val="24"/>
                <w:szCs w:val="24"/>
              </w:rPr>
            </w:pPr>
            <w:r>
              <w:rPr>
                <w:rFonts w:hint="eastAsia" w:ascii="仿宋" w:hAnsi="仿宋" w:eastAsia="仿宋" w:cs="仿宋"/>
                <w:color w:val="auto"/>
                <w:sz w:val="24"/>
                <w:szCs w:val="24"/>
              </w:rPr>
              <w:t>资格</w:t>
            </w:r>
          </w:p>
        </w:tc>
        <w:tc>
          <w:tcPr>
            <w:tcW w:w="1387" w:type="dxa"/>
            <w:gridSpan w:val="2"/>
            <w:noWrap w:val="0"/>
            <w:vAlign w:val="center"/>
          </w:tcPr>
          <w:p w14:paraId="07E4BEC3">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604" w:type="dxa"/>
            <w:gridSpan w:val="3"/>
            <w:noWrap w:val="0"/>
            <w:vAlign w:val="center"/>
          </w:tcPr>
          <w:p w14:paraId="67A34ABA">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在本行业从业工作年限</w:t>
            </w:r>
          </w:p>
        </w:tc>
        <w:tc>
          <w:tcPr>
            <w:tcW w:w="1740" w:type="dxa"/>
            <w:tcBorders>
              <w:right w:val="single" w:color="auto" w:sz="2" w:space="0"/>
            </w:tcBorders>
            <w:noWrap w:val="0"/>
            <w:vAlign w:val="center"/>
          </w:tcPr>
          <w:p w14:paraId="4978AAB3">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7584CB4E">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91" w:type="dxa"/>
            <w:gridSpan w:val="2"/>
            <w:tcBorders>
              <w:left w:val="single" w:color="auto" w:sz="2" w:space="0"/>
              <w:right w:val="single" w:color="auto" w:sz="12" w:space="0"/>
            </w:tcBorders>
            <w:noWrap w:val="0"/>
            <w:vAlign w:val="center"/>
          </w:tcPr>
          <w:p w14:paraId="69969396">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37A56837">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3597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DC6AEE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0D2D9C2D">
            <w:pPr>
              <w:rPr>
                <w:rFonts w:ascii="仿宋" w:hAnsi="仿宋" w:eastAsia="仿宋" w:cs="Times New Roman"/>
                <w:color w:val="auto"/>
                <w:sz w:val="24"/>
                <w:szCs w:val="24"/>
              </w:rPr>
            </w:pPr>
          </w:p>
        </w:tc>
        <w:tc>
          <w:tcPr>
            <w:tcW w:w="1260" w:type="dxa"/>
            <w:noWrap w:val="0"/>
            <w:vAlign w:val="center"/>
          </w:tcPr>
          <w:p w14:paraId="62AD767B">
            <w:pPr>
              <w:rPr>
                <w:rFonts w:ascii="仿宋" w:hAnsi="仿宋" w:eastAsia="仿宋" w:cs="Times New Roman"/>
                <w:color w:val="auto"/>
                <w:sz w:val="24"/>
                <w:szCs w:val="24"/>
              </w:rPr>
            </w:pPr>
          </w:p>
        </w:tc>
        <w:tc>
          <w:tcPr>
            <w:tcW w:w="1387" w:type="dxa"/>
            <w:gridSpan w:val="2"/>
            <w:noWrap w:val="0"/>
            <w:vAlign w:val="center"/>
          </w:tcPr>
          <w:p w14:paraId="735E6F91">
            <w:pPr>
              <w:rPr>
                <w:rFonts w:ascii="仿宋" w:hAnsi="仿宋" w:eastAsia="仿宋" w:cs="Times New Roman"/>
                <w:color w:val="auto"/>
                <w:sz w:val="24"/>
                <w:szCs w:val="24"/>
              </w:rPr>
            </w:pPr>
          </w:p>
        </w:tc>
        <w:tc>
          <w:tcPr>
            <w:tcW w:w="1604" w:type="dxa"/>
            <w:gridSpan w:val="3"/>
            <w:noWrap w:val="0"/>
            <w:vAlign w:val="center"/>
          </w:tcPr>
          <w:p w14:paraId="458390A1">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2AEACF56">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285E1A4">
            <w:pPr>
              <w:rPr>
                <w:rFonts w:ascii="仿宋" w:hAnsi="仿宋" w:eastAsia="仿宋" w:cs="Times New Roman"/>
                <w:color w:val="auto"/>
                <w:sz w:val="24"/>
                <w:szCs w:val="24"/>
              </w:rPr>
            </w:pPr>
          </w:p>
        </w:tc>
      </w:tr>
      <w:tr w14:paraId="60733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1F87B69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1C0834B2">
            <w:pPr>
              <w:rPr>
                <w:rFonts w:ascii="仿宋" w:hAnsi="仿宋" w:eastAsia="仿宋" w:cs="Times New Roman"/>
                <w:color w:val="auto"/>
                <w:sz w:val="24"/>
                <w:szCs w:val="24"/>
              </w:rPr>
            </w:pPr>
          </w:p>
        </w:tc>
        <w:tc>
          <w:tcPr>
            <w:tcW w:w="1260" w:type="dxa"/>
            <w:noWrap w:val="0"/>
            <w:vAlign w:val="center"/>
          </w:tcPr>
          <w:p w14:paraId="5B224B68">
            <w:pPr>
              <w:rPr>
                <w:rFonts w:ascii="仿宋" w:hAnsi="仿宋" w:eastAsia="仿宋" w:cs="Times New Roman"/>
                <w:color w:val="auto"/>
                <w:sz w:val="24"/>
                <w:szCs w:val="24"/>
              </w:rPr>
            </w:pPr>
          </w:p>
        </w:tc>
        <w:tc>
          <w:tcPr>
            <w:tcW w:w="1387" w:type="dxa"/>
            <w:gridSpan w:val="2"/>
            <w:noWrap w:val="0"/>
            <w:vAlign w:val="center"/>
          </w:tcPr>
          <w:p w14:paraId="43F843C9">
            <w:pPr>
              <w:rPr>
                <w:rFonts w:ascii="仿宋" w:hAnsi="仿宋" w:eastAsia="仿宋" w:cs="Times New Roman"/>
                <w:color w:val="auto"/>
                <w:sz w:val="24"/>
                <w:szCs w:val="24"/>
              </w:rPr>
            </w:pPr>
          </w:p>
        </w:tc>
        <w:tc>
          <w:tcPr>
            <w:tcW w:w="1604" w:type="dxa"/>
            <w:gridSpan w:val="3"/>
            <w:noWrap w:val="0"/>
            <w:vAlign w:val="center"/>
          </w:tcPr>
          <w:p w14:paraId="74A97C40">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74436038">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8928FE1">
            <w:pPr>
              <w:rPr>
                <w:rFonts w:ascii="仿宋" w:hAnsi="仿宋" w:eastAsia="仿宋" w:cs="Times New Roman"/>
                <w:color w:val="auto"/>
                <w:sz w:val="24"/>
                <w:szCs w:val="24"/>
              </w:rPr>
            </w:pPr>
          </w:p>
        </w:tc>
      </w:tr>
      <w:tr w14:paraId="1613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22128DF">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5A6DB7F8">
            <w:pPr>
              <w:rPr>
                <w:rFonts w:ascii="仿宋" w:hAnsi="仿宋" w:eastAsia="仿宋" w:cs="Times New Roman"/>
                <w:color w:val="auto"/>
                <w:sz w:val="24"/>
                <w:szCs w:val="24"/>
              </w:rPr>
            </w:pPr>
          </w:p>
        </w:tc>
        <w:tc>
          <w:tcPr>
            <w:tcW w:w="1260" w:type="dxa"/>
            <w:noWrap w:val="0"/>
            <w:vAlign w:val="center"/>
          </w:tcPr>
          <w:p w14:paraId="4735C101">
            <w:pPr>
              <w:rPr>
                <w:rFonts w:ascii="仿宋" w:hAnsi="仿宋" w:eastAsia="仿宋" w:cs="Times New Roman"/>
                <w:color w:val="auto"/>
                <w:sz w:val="24"/>
                <w:szCs w:val="24"/>
              </w:rPr>
            </w:pPr>
          </w:p>
        </w:tc>
        <w:tc>
          <w:tcPr>
            <w:tcW w:w="1387" w:type="dxa"/>
            <w:gridSpan w:val="2"/>
            <w:noWrap w:val="0"/>
            <w:vAlign w:val="center"/>
          </w:tcPr>
          <w:p w14:paraId="6DBDEEEC">
            <w:pPr>
              <w:rPr>
                <w:rFonts w:ascii="仿宋" w:hAnsi="仿宋" w:eastAsia="仿宋" w:cs="Times New Roman"/>
                <w:color w:val="auto"/>
                <w:sz w:val="24"/>
                <w:szCs w:val="24"/>
              </w:rPr>
            </w:pPr>
          </w:p>
        </w:tc>
        <w:tc>
          <w:tcPr>
            <w:tcW w:w="1604" w:type="dxa"/>
            <w:gridSpan w:val="3"/>
            <w:noWrap w:val="0"/>
            <w:vAlign w:val="center"/>
          </w:tcPr>
          <w:p w14:paraId="1E0BAB7D">
            <w:pPr>
              <w:rPr>
                <w:rFonts w:ascii="仿宋" w:hAnsi="仿宋" w:eastAsia="仿宋" w:cs="Times New Roman"/>
                <w:color w:val="auto"/>
                <w:sz w:val="24"/>
                <w:szCs w:val="24"/>
              </w:rPr>
            </w:pPr>
          </w:p>
        </w:tc>
        <w:tc>
          <w:tcPr>
            <w:tcW w:w="1740" w:type="dxa"/>
            <w:tcBorders>
              <w:right w:val="single" w:color="auto" w:sz="2" w:space="0"/>
            </w:tcBorders>
            <w:noWrap w:val="0"/>
            <w:vAlign w:val="center"/>
          </w:tcPr>
          <w:p w14:paraId="1CF7F5EA">
            <w:pPr>
              <w:rPr>
                <w:rFonts w:ascii="仿宋" w:hAnsi="仿宋" w:eastAsia="仿宋" w:cs="Times New Roman"/>
                <w:color w:val="auto"/>
                <w:sz w:val="24"/>
                <w:szCs w:val="24"/>
              </w:rPr>
            </w:pPr>
          </w:p>
        </w:tc>
        <w:tc>
          <w:tcPr>
            <w:tcW w:w="1091" w:type="dxa"/>
            <w:gridSpan w:val="2"/>
            <w:tcBorders>
              <w:left w:val="single" w:color="auto" w:sz="2" w:space="0"/>
              <w:right w:val="single" w:color="auto" w:sz="12" w:space="0"/>
            </w:tcBorders>
            <w:noWrap w:val="0"/>
            <w:vAlign w:val="center"/>
          </w:tcPr>
          <w:p w14:paraId="0005838E">
            <w:pPr>
              <w:rPr>
                <w:rFonts w:ascii="仿宋" w:hAnsi="仿宋" w:eastAsia="仿宋" w:cs="Times New Roman"/>
                <w:color w:val="auto"/>
                <w:sz w:val="24"/>
                <w:szCs w:val="24"/>
              </w:rPr>
            </w:pPr>
          </w:p>
        </w:tc>
      </w:tr>
      <w:tr w14:paraId="6B03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365A84F9">
            <w:pPr>
              <w:rPr>
                <w:rFonts w:ascii="仿宋" w:hAnsi="仿宋" w:eastAsia="仿宋" w:cs="Times New Roman"/>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技术人员</w:t>
            </w:r>
          </w:p>
        </w:tc>
      </w:tr>
      <w:tr w14:paraId="13ED8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A5FDA3B">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65080B18">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60" w:type="dxa"/>
            <w:noWrap w:val="0"/>
            <w:vAlign w:val="center"/>
          </w:tcPr>
          <w:p w14:paraId="70D3A727">
            <w:pPr>
              <w:jc w:val="center"/>
              <w:rPr>
                <w:rFonts w:ascii="仿宋" w:hAnsi="仿宋" w:eastAsia="仿宋" w:cs="Times New Roman"/>
                <w:color w:val="auto"/>
                <w:sz w:val="24"/>
                <w:szCs w:val="24"/>
              </w:rPr>
            </w:pPr>
            <w:r>
              <w:rPr>
                <w:rFonts w:hint="eastAsia" w:ascii="仿宋" w:hAnsi="仿宋" w:eastAsia="仿宋" w:cs="仿宋"/>
                <w:color w:val="auto"/>
                <w:sz w:val="24"/>
                <w:szCs w:val="24"/>
              </w:rPr>
              <w:t>资格</w:t>
            </w:r>
          </w:p>
        </w:tc>
        <w:tc>
          <w:tcPr>
            <w:tcW w:w="1404" w:type="dxa"/>
            <w:gridSpan w:val="3"/>
            <w:noWrap w:val="0"/>
            <w:vAlign w:val="center"/>
          </w:tcPr>
          <w:p w14:paraId="6DE54DA3">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587" w:type="dxa"/>
            <w:gridSpan w:val="2"/>
            <w:noWrap w:val="0"/>
            <w:vAlign w:val="center"/>
          </w:tcPr>
          <w:p w14:paraId="0921E941">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在本行业从业工作年限</w:t>
            </w:r>
          </w:p>
        </w:tc>
        <w:tc>
          <w:tcPr>
            <w:tcW w:w="1782" w:type="dxa"/>
            <w:gridSpan w:val="2"/>
            <w:noWrap w:val="0"/>
            <w:vAlign w:val="center"/>
          </w:tcPr>
          <w:p w14:paraId="006744FD">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371C7E90">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5DF855C1">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081C5C4A">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1813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6050FF5">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288356F0">
            <w:pPr>
              <w:rPr>
                <w:rFonts w:ascii="仿宋" w:hAnsi="仿宋" w:eastAsia="仿宋" w:cs="Times New Roman"/>
                <w:color w:val="auto"/>
                <w:sz w:val="24"/>
                <w:szCs w:val="24"/>
              </w:rPr>
            </w:pPr>
          </w:p>
        </w:tc>
        <w:tc>
          <w:tcPr>
            <w:tcW w:w="1260" w:type="dxa"/>
            <w:noWrap w:val="0"/>
            <w:vAlign w:val="center"/>
          </w:tcPr>
          <w:p w14:paraId="5BC4573F">
            <w:pPr>
              <w:rPr>
                <w:rFonts w:ascii="仿宋" w:hAnsi="仿宋" w:eastAsia="仿宋" w:cs="Times New Roman"/>
                <w:color w:val="auto"/>
                <w:sz w:val="24"/>
                <w:szCs w:val="24"/>
              </w:rPr>
            </w:pPr>
          </w:p>
        </w:tc>
        <w:tc>
          <w:tcPr>
            <w:tcW w:w="1404" w:type="dxa"/>
            <w:gridSpan w:val="3"/>
            <w:noWrap w:val="0"/>
            <w:vAlign w:val="center"/>
          </w:tcPr>
          <w:p w14:paraId="7D660097">
            <w:pPr>
              <w:rPr>
                <w:rFonts w:ascii="仿宋" w:hAnsi="仿宋" w:eastAsia="仿宋" w:cs="Times New Roman"/>
                <w:color w:val="auto"/>
                <w:sz w:val="24"/>
                <w:szCs w:val="24"/>
              </w:rPr>
            </w:pPr>
          </w:p>
        </w:tc>
        <w:tc>
          <w:tcPr>
            <w:tcW w:w="1587" w:type="dxa"/>
            <w:gridSpan w:val="2"/>
            <w:noWrap w:val="0"/>
            <w:vAlign w:val="center"/>
          </w:tcPr>
          <w:p w14:paraId="4A5849EC">
            <w:pPr>
              <w:rPr>
                <w:rFonts w:ascii="仿宋" w:hAnsi="仿宋" w:eastAsia="仿宋" w:cs="Times New Roman"/>
                <w:color w:val="auto"/>
                <w:sz w:val="24"/>
                <w:szCs w:val="24"/>
              </w:rPr>
            </w:pPr>
          </w:p>
        </w:tc>
        <w:tc>
          <w:tcPr>
            <w:tcW w:w="1782" w:type="dxa"/>
            <w:gridSpan w:val="2"/>
            <w:noWrap w:val="0"/>
            <w:vAlign w:val="center"/>
          </w:tcPr>
          <w:p w14:paraId="1C3761B6">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2C9045C">
            <w:pPr>
              <w:rPr>
                <w:rFonts w:ascii="仿宋" w:hAnsi="仿宋" w:eastAsia="仿宋" w:cs="Times New Roman"/>
                <w:color w:val="auto"/>
                <w:sz w:val="24"/>
                <w:szCs w:val="24"/>
              </w:rPr>
            </w:pPr>
          </w:p>
        </w:tc>
      </w:tr>
      <w:tr w14:paraId="1C6F1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4937BD0">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2CC015ED">
            <w:pPr>
              <w:rPr>
                <w:rFonts w:ascii="仿宋" w:hAnsi="仿宋" w:eastAsia="仿宋" w:cs="Times New Roman"/>
                <w:color w:val="auto"/>
                <w:sz w:val="24"/>
                <w:szCs w:val="24"/>
              </w:rPr>
            </w:pPr>
          </w:p>
        </w:tc>
        <w:tc>
          <w:tcPr>
            <w:tcW w:w="1260" w:type="dxa"/>
            <w:noWrap w:val="0"/>
            <w:vAlign w:val="center"/>
          </w:tcPr>
          <w:p w14:paraId="23426DA7">
            <w:pPr>
              <w:rPr>
                <w:rFonts w:ascii="仿宋" w:hAnsi="仿宋" w:eastAsia="仿宋" w:cs="Times New Roman"/>
                <w:color w:val="auto"/>
                <w:sz w:val="24"/>
                <w:szCs w:val="24"/>
              </w:rPr>
            </w:pPr>
          </w:p>
        </w:tc>
        <w:tc>
          <w:tcPr>
            <w:tcW w:w="1404" w:type="dxa"/>
            <w:gridSpan w:val="3"/>
            <w:noWrap w:val="0"/>
            <w:vAlign w:val="center"/>
          </w:tcPr>
          <w:p w14:paraId="57E10FFB">
            <w:pPr>
              <w:rPr>
                <w:rFonts w:ascii="仿宋" w:hAnsi="仿宋" w:eastAsia="仿宋" w:cs="Times New Roman"/>
                <w:color w:val="auto"/>
                <w:sz w:val="24"/>
                <w:szCs w:val="24"/>
              </w:rPr>
            </w:pPr>
          </w:p>
        </w:tc>
        <w:tc>
          <w:tcPr>
            <w:tcW w:w="1587" w:type="dxa"/>
            <w:gridSpan w:val="2"/>
            <w:noWrap w:val="0"/>
            <w:vAlign w:val="center"/>
          </w:tcPr>
          <w:p w14:paraId="2A0159AE">
            <w:pPr>
              <w:rPr>
                <w:rFonts w:ascii="仿宋" w:hAnsi="仿宋" w:eastAsia="仿宋" w:cs="Times New Roman"/>
                <w:color w:val="auto"/>
                <w:sz w:val="24"/>
                <w:szCs w:val="24"/>
              </w:rPr>
            </w:pPr>
          </w:p>
        </w:tc>
        <w:tc>
          <w:tcPr>
            <w:tcW w:w="1782" w:type="dxa"/>
            <w:gridSpan w:val="2"/>
            <w:noWrap w:val="0"/>
            <w:vAlign w:val="center"/>
          </w:tcPr>
          <w:p w14:paraId="6881F561">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3C7C169A">
            <w:pPr>
              <w:rPr>
                <w:rFonts w:ascii="仿宋" w:hAnsi="仿宋" w:eastAsia="仿宋" w:cs="Times New Roman"/>
                <w:color w:val="auto"/>
                <w:sz w:val="24"/>
                <w:szCs w:val="24"/>
              </w:rPr>
            </w:pPr>
          </w:p>
        </w:tc>
      </w:tr>
      <w:tr w14:paraId="5C55A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A2DABD0">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06BB9E0D">
            <w:pPr>
              <w:rPr>
                <w:rFonts w:ascii="仿宋" w:hAnsi="仿宋" w:eastAsia="仿宋" w:cs="Times New Roman"/>
                <w:color w:val="auto"/>
                <w:sz w:val="24"/>
                <w:szCs w:val="24"/>
              </w:rPr>
            </w:pPr>
          </w:p>
        </w:tc>
        <w:tc>
          <w:tcPr>
            <w:tcW w:w="1260" w:type="dxa"/>
            <w:noWrap w:val="0"/>
            <w:vAlign w:val="center"/>
          </w:tcPr>
          <w:p w14:paraId="783F154E">
            <w:pPr>
              <w:rPr>
                <w:rFonts w:ascii="仿宋" w:hAnsi="仿宋" w:eastAsia="仿宋" w:cs="Times New Roman"/>
                <w:color w:val="auto"/>
                <w:sz w:val="24"/>
                <w:szCs w:val="24"/>
              </w:rPr>
            </w:pPr>
          </w:p>
        </w:tc>
        <w:tc>
          <w:tcPr>
            <w:tcW w:w="1404" w:type="dxa"/>
            <w:gridSpan w:val="3"/>
            <w:noWrap w:val="0"/>
            <w:vAlign w:val="center"/>
          </w:tcPr>
          <w:p w14:paraId="65D74D54">
            <w:pPr>
              <w:rPr>
                <w:rFonts w:ascii="仿宋" w:hAnsi="仿宋" w:eastAsia="仿宋" w:cs="Times New Roman"/>
                <w:color w:val="auto"/>
                <w:sz w:val="24"/>
                <w:szCs w:val="24"/>
              </w:rPr>
            </w:pPr>
          </w:p>
        </w:tc>
        <w:tc>
          <w:tcPr>
            <w:tcW w:w="1587" w:type="dxa"/>
            <w:gridSpan w:val="2"/>
            <w:noWrap w:val="0"/>
            <w:vAlign w:val="center"/>
          </w:tcPr>
          <w:p w14:paraId="72CD506B">
            <w:pPr>
              <w:rPr>
                <w:rFonts w:ascii="仿宋" w:hAnsi="仿宋" w:eastAsia="仿宋" w:cs="Times New Roman"/>
                <w:color w:val="auto"/>
                <w:sz w:val="24"/>
                <w:szCs w:val="24"/>
              </w:rPr>
            </w:pPr>
          </w:p>
        </w:tc>
        <w:tc>
          <w:tcPr>
            <w:tcW w:w="1782" w:type="dxa"/>
            <w:gridSpan w:val="2"/>
            <w:noWrap w:val="0"/>
            <w:vAlign w:val="center"/>
          </w:tcPr>
          <w:p w14:paraId="42BAE21D">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5A4C9801">
            <w:pPr>
              <w:rPr>
                <w:rFonts w:ascii="仿宋" w:hAnsi="仿宋" w:eastAsia="仿宋" w:cs="Times New Roman"/>
                <w:color w:val="auto"/>
                <w:sz w:val="24"/>
                <w:szCs w:val="24"/>
              </w:rPr>
            </w:pPr>
          </w:p>
        </w:tc>
      </w:tr>
      <w:tr w14:paraId="409CA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73B5A423">
            <w:pPr>
              <w:rPr>
                <w:rFonts w:ascii="仿宋" w:hAnsi="仿宋" w:eastAsia="仿宋" w:cs="Times New Roman"/>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辅助人员</w:t>
            </w:r>
          </w:p>
        </w:tc>
      </w:tr>
      <w:tr w14:paraId="5872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433FE264">
            <w:pPr>
              <w:jc w:val="center"/>
              <w:rPr>
                <w:rFonts w:ascii="仿宋" w:hAnsi="仿宋" w:eastAsia="仿宋" w:cs="Times New Roman"/>
                <w:color w:val="auto"/>
                <w:sz w:val="24"/>
                <w:szCs w:val="24"/>
              </w:rPr>
            </w:pPr>
            <w:r>
              <w:rPr>
                <w:rFonts w:hint="eastAsia" w:ascii="仿宋" w:hAnsi="仿宋" w:eastAsia="仿宋" w:cs="仿宋"/>
                <w:color w:val="auto"/>
                <w:sz w:val="24"/>
                <w:szCs w:val="24"/>
              </w:rPr>
              <w:t>姓名</w:t>
            </w:r>
          </w:p>
        </w:tc>
        <w:tc>
          <w:tcPr>
            <w:tcW w:w="969" w:type="dxa"/>
            <w:tcBorders>
              <w:left w:val="single" w:color="auto" w:sz="6" w:space="0"/>
            </w:tcBorders>
            <w:noWrap w:val="0"/>
            <w:vAlign w:val="center"/>
          </w:tcPr>
          <w:p w14:paraId="0928415B">
            <w:pPr>
              <w:jc w:val="center"/>
              <w:rPr>
                <w:rFonts w:ascii="仿宋" w:hAnsi="仿宋" w:eastAsia="仿宋" w:cs="Times New Roman"/>
                <w:color w:val="auto"/>
                <w:sz w:val="24"/>
                <w:szCs w:val="24"/>
              </w:rPr>
            </w:pPr>
            <w:r>
              <w:rPr>
                <w:rFonts w:hint="eastAsia" w:ascii="仿宋" w:hAnsi="仿宋" w:eastAsia="仿宋" w:cs="仿宋"/>
                <w:color w:val="auto"/>
                <w:sz w:val="24"/>
                <w:szCs w:val="24"/>
              </w:rPr>
              <w:t>年龄</w:t>
            </w:r>
          </w:p>
        </w:tc>
        <w:tc>
          <w:tcPr>
            <w:tcW w:w="1284" w:type="dxa"/>
            <w:gridSpan w:val="2"/>
            <w:tcBorders>
              <w:right w:val="single" w:color="auto" w:sz="2" w:space="0"/>
            </w:tcBorders>
            <w:noWrap w:val="0"/>
            <w:vAlign w:val="center"/>
          </w:tcPr>
          <w:p w14:paraId="3C941128">
            <w:pPr>
              <w:jc w:val="center"/>
              <w:rPr>
                <w:rFonts w:ascii="仿宋" w:hAnsi="仿宋" w:eastAsia="仿宋" w:cs="Times New Roman"/>
                <w:color w:val="auto"/>
                <w:sz w:val="24"/>
                <w:szCs w:val="24"/>
              </w:rPr>
            </w:pPr>
            <w:r>
              <w:rPr>
                <w:rFonts w:hint="eastAsia" w:ascii="仿宋" w:hAnsi="仿宋" w:eastAsia="仿宋" w:cs="仿宋"/>
                <w:color w:val="auto"/>
                <w:sz w:val="24"/>
                <w:szCs w:val="24"/>
              </w:rPr>
              <w:t>学历</w:t>
            </w:r>
          </w:p>
        </w:tc>
        <w:tc>
          <w:tcPr>
            <w:tcW w:w="1386" w:type="dxa"/>
            <w:gridSpan w:val="3"/>
            <w:tcBorders>
              <w:left w:val="single" w:color="auto" w:sz="2" w:space="0"/>
            </w:tcBorders>
            <w:noWrap w:val="0"/>
            <w:vAlign w:val="center"/>
          </w:tcPr>
          <w:p w14:paraId="4A8B9350">
            <w:pPr>
              <w:jc w:val="center"/>
              <w:rPr>
                <w:rFonts w:ascii="仿宋" w:hAnsi="仿宋" w:eastAsia="仿宋" w:cs="Times New Roman"/>
                <w:color w:val="auto"/>
                <w:sz w:val="24"/>
                <w:szCs w:val="24"/>
              </w:rPr>
            </w:pPr>
            <w:r>
              <w:rPr>
                <w:rFonts w:hint="eastAsia" w:ascii="仿宋" w:hAnsi="仿宋" w:eastAsia="仿宋" w:cs="仿宋"/>
                <w:color w:val="auto"/>
                <w:sz w:val="24"/>
                <w:szCs w:val="24"/>
              </w:rPr>
              <w:t>职称</w:t>
            </w:r>
          </w:p>
        </w:tc>
        <w:tc>
          <w:tcPr>
            <w:tcW w:w="1581" w:type="dxa"/>
            <w:noWrap w:val="0"/>
            <w:vAlign w:val="center"/>
          </w:tcPr>
          <w:p w14:paraId="56E72C53">
            <w:pPr>
              <w:spacing w:line="28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从事类似项目工作年限</w:t>
            </w:r>
          </w:p>
        </w:tc>
        <w:tc>
          <w:tcPr>
            <w:tcW w:w="1782" w:type="dxa"/>
            <w:gridSpan w:val="2"/>
            <w:noWrap w:val="0"/>
            <w:vAlign w:val="center"/>
          </w:tcPr>
          <w:p w14:paraId="1617FE67">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主要工作</w:t>
            </w:r>
          </w:p>
          <w:p w14:paraId="28F507CE">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业绩和经历</w:t>
            </w:r>
          </w:p>
        </w:tc>
        <w:tc>
          <w:tcPr>
            <w:tcW w:w="1049" w:type="dxa"/>
            <w:tcBorders>
              <w:right w:val="single" w:color="auto" w:sz="12" w:space="0"/>
            </w:tcBorders>
            <w:noWrap w:val="0"/>
            <w:vAlign w:val="center"/>
          </w:tcPr>
          <w:p w14:paraId="6209DA68">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当前</w:t>
            </w:r>
          </w:p>
          <w:p w14:paraId="062399F2">
            <w:pPr>
              <w:spacing w:line="240" w:lineRule="exact"/>
              <w:jc w:val="center"/>
              <w:rPr>
                <w:rFonts w:ascii="仿宋" w:hAnsi="仿宋" w:eastAsia="仿宋" w:cs="Times New Roman"/>
                <w:color w:val="auto"/>
                <w:sz w:val="24"/>
                <w:szCs w:val="24"/>
              </w:rPr>
            </w:pPr>
            <w:r>
              <w:rPr>
                <w:rFonts w:hint="eastAsia" w:ascii="仿宋" w:hAnsi="仿宋" w:eastAsia="仿宋" w:cs="仿宋"/>
                <w:color w:val="auto"/>
                <w:sz w:val="24"/>
                <w:szCs w:val="24"/>
              </w:rPr>
              <w:t>分工</w:t>
            </w:r>
          </w:p>
        </w:tc>
      </w:tr>
      <w:tr w14:paraId="1A31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0F649AB">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6D89F41E">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0BF782F4">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4FF7A32B">
            <w:pPr>
              <w:rPr>
                <w:rFonts w:ascii="仿宋" w:hAnsi="仿宋" w:eastAsia="仿宋" w:cs="Times New Roman"/>
                <w:color w:val="auto"/>
                <w:sz w:val="24"/>
                <w:szCs w:val="24"/>
              </w:rPr>
            </w:pPr>
          </w:p>
        </w:tc>
        <w:tc>
          <w:tcPr>
            <w:tcW w:w="1581" w:type="dxa"/>
            <w:noWrap w:val="0"/>
            <w:vAlign w:val="center"/>
          </w:tcPr>
          <w:p w14:paraId="4AF40393">
            <w:pPr>
              <w:rPr>
                <w:rFonts w:ascii="仿宋" w:hAnsi="仿宋" w:eastAsia="仿宋" w:cs="Times New Roman"/>
                <w:color w:val="auto"/>
                <w:sz w:val="24"/>
                <w:szCs w:val="24"/>
              </w:rPr>
            </w:pPr>
          </w:p>
        </w:tc>
        <w:tc>
          <w:tcPr>
            <w:tcW w:w="1782" w:type="dxa"/>
            <w:gridSpan w:val="2"/>
            <w:noWrap w:val="0"/>
            <w:vAlign w:val="center"/>
          </w:tcPr>
          <w:p w14:paraId="7DE734A5">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68B44F7C">
            <w:pPr>
              <w:rPr>
                <w:rFonts w:ascii="仿宋" w:hAnsi="仿宋" w:eastAsia="仿宋" w:cs="Times New Roman"/>
                <w:color w:val="auto"/>
                <w:sz w:val="24"/>
                <w:szCs w:val="24"/>
              </w:rPr>
            </w:pPr>
          </w:p>
        </w:tc>
      </w:tr>
      <w:tr w14:paraId="3684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FDED4D8">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6F230992">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7C705F51">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5C823EF">
            <w:pPr>
              <w:rPr>
                <w:rFonts w:ascii="仿宋" w:hAnsi="仿宋" w:eastAsia="仿宋" w:cs="Times New Roman"/>
                <w:color w:val="auto"/>
                <w:sz w:val="24"/>
                <w:szCs w:val="24"/>
              </w:rPr>
            </w:pPr>
          </w:p>
        </w:tc>
        <w:tc>
          <w:tcPr>
            <w:tcW w:w="1581" w:type="dxa"/>
            <w:noWrap w:val="0"/>
            <w:vAlign w:val="center"/>
          </w:tcPr>
          <w:p w14:paraId="72134F30">
            <w:pPr>
              <w:rPr>
                <w:rFonts w:ascii="仿宋" w:hAnsi="仿宋" w:eastAsia="仿宋" w:cs="Times New Roman"/>
                <w:color w:val="auto"/>
                <w:sz w:val="24"/>
                <w:szCs w:val="24"/>
              </w:rPr>
            </w:pPr>
          </w:p>
        </w:tc>
        <w:tc>
          <w:tcPr>
            <w:tcW w:w="1782" w:type="dxa"/>
            <w:gridSpan w:val="2"/>
            <w:noWrap w:val="0"/>
            <w:vAlign w:val="center"/>
          </w:tcPr>
          <w:p w14:paraId="4B4E9098">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7C113459">
            <w:pPr>
              <w:rPr>
                <w:rFonts w:ascii="仿宋" w:hAnsi="仿宋" w:eastAsia="仿宋" w:cs="Times New Roman"/>
                <w:color w:val="auto"/>
                <w:sz w:val="24"/>
                <w:szCs w:val="24"/>
              </w:rPr>
            </w:pPr>
          </w:p>
        </w:tc>
      </w:tr>
      <w:tr w14:paraId="6A87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0BA68C43">
            <w:pPr>
              <w:rPr>
                <w:rFonts w:ascii="仿宋" w:hAnsi="仿宋" w:eastAsia="仿宋" w:cs="Times New Roman"/>
                <w:color w:val="auto"/>
                <w:sz w:val="24"/>
                <w:szCs w:val="24"/>
              </w:rPr>
            </w:pPr>
          </w:p>
        </w:tc>
        <w:tc>
          <w:tcPr>
            <w:tcW w:w="969" w:type="dxa"/>
            <w:tcBorders>
              <w:left w:val="single" w:color="auto" w:sz="6" w:space="0"/>
            </w:tcBorders>
            <w:noWrap w:val="0"/>
            <w:vAlign w:val="center"/>
          </w:tcPr>
          <w:p w14:paraId="38E268C6">
            <w:pPr>
              <w:rPr>
                <w:rFonts w:ascii="仿宋" w:hAnsi="仿宋" w:eastAsia="仿宋" w:cs="Times New Roman"/>
                <w:color w:val="auto"/>
                <w:sz w:val="24"/>
                <w:szCs w:val="24"/>
              </w:rPr>
            </w:pPr>
          </w:p>
        </w:tc>
        <w:tc>
          <w:tcPr>
            <w:tcW w:w="1284" w:type="dxa"/>
            <w:gridSpan w:val="2"/>
            <w:tcBorders>
              <w:right w:val="single" w:color="auto" w:sz="2" w:space="0"/>
            </w:tcBorders>
            <w:noWrap w:val="0"/>
            <w:vAlign w:val="center"/>
          </w:tcPr>
          <w:p w14:paraId="275D9BF1">
            <w:pPr>
              <w:rPr>
                <w:rFonts w:ascii="仿宋" w:hAnsi="仿宋" w:eastAsia="仿宋" w:cs="Times New Roman"/>
                <w:color w:val="auto"/>
                <w:sz w:val="24"/>
                <w:szCs w:val="24"/>
              </w:rPr>
            </w:pPr>
          </w:p>
        </w:tc>
        <w:tc>
          <w:tcPr>
            <w:tcW w:w="1386" w:type="dxa"/>
            <w:gridSpan w:val="3"/>
            <w:tcBorders>
              <w:left w:val="single" w:color="auto" w:sz="2" w:space="0"/>
            </w:tcBorders>
            <w:noWrap w:val="0"/>
            <w:vAlign w:val="center"/>
          </w:tcPr>
          <w:p w14:paraId="71FAFAD1">
            <w:pPr>
              <w:rPr>
                <w:rFonts w:ascii="仿宋" w:hAnsi="仿宋" w:eastAsia="仿宋" w:cs="Times New Roman"/>
                <w:color w:val="auto"/>
                <w:sz w:val="24"/>
                <w:szCs w:val="24"/>
              </w:rPr>
            </w:pPr>
          </w:p>
        </w:tc>
        <w:tc>
          <w:tcPr>
            <w:tcW w:w="1581" w:type="dxa"/>
            <w:noWrap w:val="0"/>
            <w:vAlign w:val="center"/>
          </w:tcPr>
          <w:p w14:paraId="68969000">
            <w:pPr>
              <w:rPr>
                <w:rFonts w:ascii="仿宋" w:hAnsi="仿宋" w:eastAsia="仿宋" w:cs="Times New Roman"/>
                <w:color w:val="auto"/>
                <w:sz w:val="24"/>
                <w:szCs w:val="24"/>
              </w:rPr>
            </w:pPr>
          </w:p>
        </w:tc>
        <w:tc>
          <w:tcPr>
            <w:tcW w:w="1782" w:type="dxa"/>
            <w:gridSpan w:val="2"/>
            <w:noWrap w:val="0"/>
            <w:vAlign w:val="center"/>
          </w:tcPr>
          <w:p w14:paraId="6724563E">
            <w:pPr>
              <w:rPr>
                <w:rFonts w:ascii="仿宋" w:hAnsi="仿宋" w:eastAsia="仿宋" w:cs="Times New Roman"/>
                <w:color w:val="auto"/>
                <w:sz w:val="24"/>
                <w:szCs w:val="24"/>
              </w:rPr>
            </w:pPr>
          </w:p>
        </w:tc>
        <w:tc>
          <w:tcPr>
            <w:tcW w:w="1049" w:type="dxa"/>
            <w:tcBorders>
              <w:right w:val="single" w:color="auto" w:sz="12" w:space="0"/>
            </w:tcBorders>
            <w:noWrap w:val="0"/>
            <w:vAlign w:val="center"/>
          </w:tcPr>
          <w:p w14:paraId="6634856F">
            <w:pPr>
              <w:rPr>
                <w:rFonts w:ascii="仿宋" w:hAnsi="仿宋" w:eastAsia="仿宋" w:cs="Times New Roman"/>
                <w:color w:val="auto"/>
                <w:sz w:val="24"/>
                <w:szCs w:val="24"/>
              </w:rPr>
            </w:pPr>
          </w:p>
        </w:tc>
      </w:tr>
      <w:tr w14:paraId="1FDC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483FDC87">
            <w:pPr>
              <w:jc w:val="center"/>
              <w:rPr>
                <w:rFonts w:ascii="仿宋" w:hAnsi="仿宋" w:eastAsia="仿宋" w:cs="Times New Roman"/>
                <w:color w:val="auto"/>
                <w:sz w:val="24"/>
                <w:szCs w:val="24"/>
              </w:rPr>
            </w:pPr>
            <w:r>
              <w:rPr>
                <w:rFonts w:hint="eastAsia" w:ascii="仿宋" w:hAnsi="仿宋" w:eastAsia="仿宋" w:cs="仿宋"/>
                <w:color w:val="auto"/>
                <w:sz w:val="24"/>
                <w:szCs w:val="24"/>
              </w:rPr>
              <w:t>备注</w:t>
            </w:r>
          </w:p>
        </w:tc>
        <w:tc>
          <w:tcPr>
            <w:tcW w:w="8051" w:type="dxa"/>
            <w:gridSpan w:val="10"/>
            <w:tcBorders>
              <w:left w:val="single" w:color="auto" w:sz="6" w:space="0"/>
              <w:bottom w:val="single" w:color="auto" w:sz="12" w:space="0"/>
              <w:right w:val="single" w:color="auto" w:sz="12" w:space="0"/>
            </w:tcBorders>
            <w:noWrap w:val="0"/>
            <w:vAlign w:val="center"/>
          </w:tcPr>
          <w:p w14:paraId="5F29B123">
            <w:pPr>
              <w:rPr>
                <w:rFonts w:ascii="仿宋" w:hAnsi="仿宋" w:eastAsia="仿宋" w:cs="Times New Roman"/>
                <w:color w:val="auto"/>
                <w:sz w:val="24"/>
                <w:szCs w:val="24"/>
              </w:rPr>
            </w:pPr>
            <w:r>
              <w:rPr>
                <w:rFonts w:hint="eastAsia" w:ascii="仿宋" w:hAnsi="仿宋" w:eastAsia="仿宋" w:cs="仿宋"/>
                <w:color w:val="auto"/>
                <w:sz w:val="24"/>
                <w:szCs w:val="24"/>
              </w:rPr>
              <w:t>表格空间不足时请自行扩展。</w:t>
            </w:r>
          </w:p>
        </w:tc>
      </w:tr>
    </w:tbl>
    <w:p w14:paraId="67815D71">
      <w:pPr>
        <w:rPr>
          <w:rFonts w:hint="eastAsia" w:eastAsia="华文仿宋"/>
          <w:color w:val="auto"/>
          <w:lang w:val="en-US" w:eastAsia="zh-CN"/>
        </w:rPr>
      </w:pPr>
    </w:p>
    <w:sectPr>
      <w:headerReference r:id="rId15" w:type="default"/>
      <w:footerReference r:id="rId16" w:type="default"/>
      <w:pgSz w:w="11906" w:h="16838"/>
      <w:pgMar w:top="1304" w:right="1418" w:bottom="1304" w:left="1418" w:header="851" w:footer="794" w:gutter="0"/>
      <w:pgNumType w:fmt="decimal" w:chapStyle="1"/>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95235CD-EFBE-444B-A960-D7FFCBD7A5C2}"/>
  </w:font>
  <w:font w:name="黑体">
    <w:panose1 w:val="02010609060101010101"/>
    <w:charset w:val="86"/>
    <w:family w:val="auto"/>
    <w:pitch w:val="default"/>
    <w:sig w:usb0="800002BF" w:usb1="38CF7CFA" w:usb2="00000016" w:usb3="00000000" w:csb0="00040001" w:csb1="00000000"/>
    <w:embedRegular r:id="rId2" w:fontKey="{238069F8-E6DD-46F7-8A8C-D7D73CF33B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3A507E1C-6F30-4B97-B621-FA15B7B19477}"/>
  </w:font>
  <w:font w:name="Calibri Light">
    <w:panose1 w:val="020F0302020204030204"/>
    <w:charset w:val="00"/>
    <w:family w:val="swiss"/>
    <w:pitch w:val="default"/>
    <w:sig w:usb0="E0002AFF" w:usb1="C000247B" w:usb2="00000009" w:usb3="00000000" w:csb0="200001FF" w:csb1="00000000"/>
    <w:embedRegular r:id="rId4" w:fontKey="{A841F108-B8C9-4E81-990E-4BA306933C85}"/>
  </w:font>
  <w:font w:name="华文仿宋">
    <w:panose1 w:val="02010600040101010101"/>
    <w:charset w:val="86"/>
    <w:family w:val="auto"/>
    <w:pitch w:val="default"/>
    <w:sig w:usb0="00000287" w:usb1="080F0000" w:usb2="00000000" w:usb3="00000000" w:csb0="0004009F" w:csb1="DFD70000"/>
    <w:embedRegular r:id="rId5" w:fontKey="{F20998E3-9B3B-4ABC-9ADF-B597E628CFEB}"/>
  </w:font>
  <w:font w:name="仿宋">
    <w:panose1 w:val="02010609060101010101"/>
    <w:charset w:val="86"/>
    <w:family w:val="modern"/>
    <w:pitch w:val="default"/>
    <w:sig w:usb0="800002BF" w:usb1="38CF7CFA" w:usb2="00000016" w:usb3="00000000" w:csb0="00040001" w:csb1="00000000"/>
    <w:embedRegular r:id="rId6" w:fontKey="{E701E06E-ACD9-4A90-8001-58A28AF6C274}"/>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1)">
    <w:altName w:val="Arial"/>
    <w:panose1 w:val="00000000000000000000"/>
    <w:charset w:val="00"/>
    <w:family w:val="swiss"/>
    <w:pitch w:val="default"/>
    <w:sig w:usb0="00000000" w:usb1="00000000" w:usb2="00000008" w:usb3="00000000" w:csb0="0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embedRegular r:id="rId7" w:fontKey="{0BFD5345-8936-4639-9ED5-FD02EEF8E06E}"/>
  </w:font>
  <w:font w:name="仿宋_GB2312">
    <w:panose1 w:val="02010609030101010101"/>
    <w:charset w:val="86"/>
    <w:family w:val="modern"/>
    <w:pitch w:val="default"/>
    <w:sig w:usb0="00000001" w:usb1="080E0000" w:usb2="00000000" w:usb3="00000000" w:csb0="00040000" w:csb1="00000000"/>
    <w:embedRegular r:id="rId8" w:fontKey="{662C87BF-334E-4212-98C1-A6F0A5012B8F}"/>
  </w:font>
  <w:font w:name="微软雅黑">
    <w:panose1 w:val="020B0503020204020204"/>
    <w:charset w:val="86"/>
    <w:family w:val="auto"/>
    <w:pitch w:val="default"/>
    <w:sig w:usb0="80000287" w:usb1="2ACF3C50" w:usb2="00000016" w:usb3="00000000" w:csb0="0004001F" w:csb1="00000000"/>
    <w:embedRegular r:id="rId9" w:fontKey="{07C6BCE8-20B0-433A-B430-2B9F01A87463}"/>
  </w:font>
  <w:font w:name="CESI仿宋-GB13000">
    <w:altName w:val="仿宋"/>
    <w:panose1 w:val="02000500000000000000"/>
    <w:charset w:val="86"/>
    <w:family w:val="auto"/>
    <w:pitch w:val="default"/>
    <w:sig w:usb0="00000000" w:usb1="00000000" w:usb2="00000016" w:usb3="00000000" w:csb0="0004000F" w:csb1="00000000"/>
    <w:embedRegular r:id="rId10" w:fontKey="{88788D8C-C3ED-4238-A9D4-C15585B27555}"/>
  </w:font>
  <w:font w:name="WPSEMBED1">
    <w:panose1 w:val="02010600040101010101"/>
    <w:charset w:val="86"/>
    <w:family w:val="auto"/>
    <w:pitch w:val="default"/>
    <w:sig w:usb0="00000287" w:usb1="080F0000" w:usb2="00000000" w:usb3="00000000" w:csb0="0004009F" w:csb1="DFD70000"/>
  </w:font>
  <w:font w:name="KSOF9675F26C">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F06D8">
    <w:pPr>
      <w:pStyle w:val="17"/>
      <w:jc w:val="center"/>
      <w:rPr>
        <w:sz w:val="21"/>
        <w:szCs w:val="21"/>
      </w:rPr>
    </w:pPr>
  </w:p>
  <w:p w14:paraId="49C1EC10">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C82EA">
    <w:pPr>
      <w:pStyle w:val="17"/>
      <w:jc w:val="center"/>
      <w:rPr>
        <w:sz w:val="21"/>
        <w:szCs w:val="21"/>
      </w:rPr>
    </w:pPr>
  </w:p>
  <w:p w14:paraId="6BB5A686">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6D392">
    <w:pPr>
      <w:pStyle w:val="17"/>
      <w:tabs>
        <w:tab w:val="clear" w:pos="4153"/>
        <w:tab w:val="clear" w:pos="8306"/>
      </w:tabs>
      <w:rPr>
        <w:rFonts w:asci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1557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155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141D64">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文本框 2" o:spid="_x0000_s1026" o:spt="202" type="#_x0000_t202" style="position:absolute;left:0pt;margin-top:0pt;height:9.1pt;width:144pt;mso-position-horizontal:center;mso-position-horizontal-relative:margin;mso-wrap-style:none;z-index:251659264;mso-width-relative:page;mso-height-relative:page;" filled="f" stroked="f" coordsize="21600,21600" o:gfxdata="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4XCXbTAAAABAEAAA8AAAAAAAAAAQAgAAAAIgAAAGRycy9kb3ducmV2LnhtbFBLAQIUABQA&#10;AAAIAIdO4kBzLuGULgIAAFQEAAAOAAAAAAAAAAEAIAAAACIBAABkcnMvZTJvRG9jLnhtbFBLBQYA&#10;AAAABgAGAFkBAADCBQAAAAA=&#10;">
              <v:fill on="f" focussize="0,0"/>
              <v:stroke on="f" weight="0.5pt"/>
              <v:imagedata o:title=""/>
              <o:lock v:ext="edit" aspectratio="f"/>
              <v:textbox inset="0mm,0mm,0mm,0mm">
                <w:txbxContent>
                  <w:p w14:paraId="0B141D64">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4D454EDB">
    <w:pPr>
      <w:pStyle w:val="17"/>
      <w:tabs>
        <w:tab w:val="clear" w:pos="4153"/>
        <w:tab w:val="clear" w:pos="8306"/>
      </w:tabs>
      <w:ind w:right="-2"/>
      <w:jc w:val="both"/>
      <w:rPr>
        <w:rFonts w:asci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0D543">
    <w:pPr>
      <w:pStyle w:val="17"/>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174F81">
                          <w:pPr>
                            <w:pStyle w:val="17"/>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16</w:t>
                          </w:r>
                          <w:r>
                            <w:rPr>
                              <w:rFonts w:hint="eastAsia" w:eastAsia="华文仿宋"/>
                              <w:lang w:eastAsia="zh-CN"/>
                            </w:rPr>
                            <w:fldChar w:fldCharType="end"/>
                          </w:r>
                          <w:r>
                            <w:rPr>
                              <w:rFonts w:hint="eastAsia" w:eastAsia="华文仿宋"/>
                              <w:lang w:eastAsia="zh-CN"/>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E+Zc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J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RPmXMQIAAGMEAAAOAAAAAAAAAAEAIAAAAB8BAABkcnMvZTJvRG9jLnhtbFBLBQYA&#10;AAAABgAGAFkBAADCBQAAAAA=&#10;">
              <v:fill on="f" focussize="0,0"/>
              <v:stroke on="f" weight="0.5pt"/>
              <v:imagedata o:title=""/>
              <o:lock v:ext="edit" aspectratio="f"/>
              <v:textbox inset="0mm,0mm,0mm,0mm" style="mso-fit-shape-to-text:t;">
                <w:txbxContent>
                  <w:p w14:paraId="3C174F81">
                    <w:pPr>
                      <w:pStyle w:val="17"/>
                      <w:rPr>
                        <w:rFonts w:hint="eastAsia" w:eastAsia="华文仿宋"/>
                        <w:lang w:eastAsia="zh-CN"/>
                      </w:rPr>
                    </w:pPr>
                    <w:r>
                      <w:rPr>
                        <w:rFonts w:hint="eastAsia" w:eastAsia="华文仿宋"/>
                        <w:lang w:eastAsia="zh-CN"/>
                      </w:rPr>
                      <w:t xml:space="preserve">第 </w:t>
                    </w:r>
                    <w:r>
                      <w:rPr>
                        <w:rFonts w:hint="eastAsia" w:eastAsia="华文仿宋"/>
                        <w:lang w:eastAsia="zh-CN"/>
                      </w:rPr>
                      <w:fldChar w:fldCharType="begin"/>
                    </w:r>
                    <w:r>
                      <w:rPr>
                        <w:rFonts w:hint="eastAsia" w:eastAsia="华文仿宋"/>
                        <w:lang w:eastAsia="zh-CN"/>
                      </w:rPr>
                      <w:instrText xml:space="preserve"> PAGE  \* MERGEFORMAT </w:instrText>
                    </w:r>
                    <w:r>
                      <w:rPr>
                        <w:rFonts w:hint="eastAsia" w:eastAsia="华文仿宋"/>
                        <w:lang w:eastAsia="zh-CN"/>
                      </w:rPr>
                      <w:fldChar w:fldCharType="separate"/>
                    </w:r>
                    <w:r>
                      <w:rPr>
                        <w:rFonts w:hint="eastAsia" w:eastAsia="华文仿宋"/>
                        <w:lang w:eastAsia="zh-CN"/>
                      </w:rPr>
                      <w:t>16</w:t>
                    </w:r>
                    <w:r>
                      <w:rPr>
                        <w:rFonts w:hint="eastAsia" w:eastAsia="华文仿宋"/>
                        <w:lang w:eastAsia="zh-CN"/>
                      </w:rPr>
                      <w:fldChar w:fldCharType="end"/>
                    </w:r>
                    <w:r>
                      <w:rPr>
                        <w:rFonts w:hint="eastAsia" w:eastAsia="华文仿宋"/>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FCC06">
    <w:pPr>
      <w:pStyle w:val="17"/>
      <w:tabs>
        <w:tab w:val="clear" w:pos="4153"/>
        <w:tab w:val="clear" w:pos="8306"/>
      </w:tabs>
      <w:rPr>
        <w:rFonts w:asci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E80EE7">
                          <w:pPr>
                            <w:pStyle w:val="17"/>
                          </w:pPr>
                          <w:r>
                            <w:t xml:space="preserve">第 </w:t>
                          </w:r>
                          <w:r>
                            <w:fldChar w:fldCharType="begin"/>
                          </w:r>
                          <w:r>
                            <w:instrText xml:space="preserve"> PAGE  \* MERGEFORMAT </w:instrText>
                          </w:r>
                          <w:r>
                            <w:fldChar w:fldCharType="separate"/>
                          </w:r>
                          <w:r>
                            <w:t>17</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9RK1MsAgAAVQ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peR3la62eIerCIC91b06FphnOPw8i6q5yKX/Ah8EPc40Vc0QXC46XpZDrN4eLwDRvgZ4/X&#10;rfPhnTCKRKOgDtVLorLDxoc+dAiJ2bRZN1KmCkpN2oJeX73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j1ErUywCAABVBAAADgAAAAAAAAABACAAAAAfAQAAZHJzL2Uyb0RvYy54bWxQSwUGAAAAAAYA&#10;BgBZAQAAvQUAAAAA&#10;">
              <v:fill on="f" focussize="0,0"/>
              <v:stroke on="f" weight="0.5pt"/>
              <v:imagedata o:title=""/>
              <o:lock v:ext="edit" aspectratio="f"/>
              <v:textbox inset="0mm,0mm,0mm,0mm" style="mso-fit-shape-to-text:t;">
                <w:txbxContent>
                  <w:p w14:paraId="0AE80EE7">
                    <w:pPr>
                      <w:pStyle w:val="17"/>
                    </w:pPr>
                    <w:r>
                      <w:t xml:space="preserve">第 </w:t>
                    </w:r>
                    <w:r>
                      <w:fldChar w:fldCharType="begin"/>
                    </w:r>
                    <w:r>
                      <w:instrText xml:space="preserve"> PAGE  \* MERGEFORMAT </w:instrText>
                    </w:r>
                    <w:r>
                      <w:fldChar w:fldCharType="separate"/>
                    </w:r>
                    <w:r>
                      <w:t>17</w:t>
                    </w:r>
                    <w:r>
                      <w:fldChar w:fldCharType="end"/>
                    </w:r>
                    <w:r>
                      <w:t xml:space="preserve"> 页</w:t>
                    </w:r>
                  </w:p>
                </w:txbxContent>
              </v:textbox>
            </v:shape>
          </w:pict>
        </mc:Fallback>
      </mc:AlternateContent>
    </w:r>
  </w:p>
  <w:p w14:paraId="16A98A5D">
    <w:pPr>
      <w:pStyle w:val="17"/>
      <w:tabs>
        <w:tab w:val="clear" w:pos="4153"/>
        <w:tab w:val="clear" w:pos="8306"/>
      </w:tabs>
      <w:ind w:right="-2"/>
      <w:jc w:val="both"/>
      <w:rPr>
        <w:rFonts w:asci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AC146">
    <w:pPr>
      <w:pStyle w:val="18"/>
      <w:tabs>
        <w:tab w:val="left" w:pos="368"/>
      </w:tabs>
      <w:jc w:val="center"/>
      <w:rPr>
        <w:rFonts w:hint="eastAsia" w:ascii="Calibri" w:hAnsi="Calibri"/>
        <w:b w:val="0"/>
        <w:bCs w:val="0"/>
        <w:color w:val="auto"/>
        <w:szCs w:val="20"/>
        <w:lang w:eastAsia="zh-CN"/>
      </w:rPr>
    </w:pPr>
    <w:r>
      <w:rPr>
        <w:rFonts w:hint="eastAsia" w:ascii="Calibri" w:hAnsi="Calibri"/>
        <w:b w:val="0"/>
        <w:bCs w:val="0"/>
        <w:color w:val="auto"/>
        <w:szCs w:val="20"/>
        <w:lang w:val="en-US" w:eastAsia="zh-CN"/>
      </w:rPr>
      <w:t>延安市自然资源局中心城区现状地形图测绘</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C4337">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0AE60">
    <w:pPr>
      <w:pStyle w:val="1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687F">
    <w:pPr>
      <w:pStyle w:val="18"/>
      <w:tabs>
        <w:tab w:val="left" w:pos="368"/>
      </w:tabs>
      <w:jc w:val="center"/>
      <w:rPr>
        <w:rFonts w:hint="eastAsia" w:ascii="Calibri" w:hAnsi="Calibri"/>
        <w:b w:val="0"/>
        <w:bCs w:val="0"/>
        <w:color w:val="auto"/>
        <w:szCs w:val="20"/>
        <w:lang w:eastAsia="zh-CN"/>
      </w:rPr>
    </w:pPr>
  </w:p>
  <w:p w14:paraId="3A74AD51">
    <w:pPr>
      <w:pStyle w:val="18"/>
      <w:tabs>
        <w:tab w:val="left" w:pos="368"/>
      </w:tabs>
      <w:jc w:val="center"/>
      <w:rPr>
        <w:rFonts w:hint="eastAsia" w:ascii="Calibri" w:hAnsi="Calibri"/>
        <w:b w:val="0"/>
        <w:bCs w:val="0"/>
        <w:color w:val="auto"/>
        <w:szCs w:val="20"/>
        <w:lang w:eastAsia="zh-CN"/>
      </w:rPr>
    </w:pPr>
    <w:r>
      <w:rPr>
        <w:rFonts w:hint="eastAsia" w:ascii="Calibri" w:hAnsi="Calibri"/>
        <w:b w:val="0"/>
        <w:bCs w:val="0"/>
        <w:color w:val="auto"/>
        <w:szCs w:val="20"/>
        <w:lang w:val="en-US" w:eastAsia="zh-CN"/>
      </w:rPr>
      <w:t>延安市自然资源局中心城区现状地形图测绘</w:t>
    </w:r>
  </w:p>
  <w:p w14:paraId="6F5C12A4">
    <w:pPr>
      <w:pStyle w:val="18"/>
      <w:pBdr>
        <w:bottom w:val="none" w:color="auto" w:sz="0" w:space="1"/>
      </w:pBdr>
      <w:jc w:val="both"/>
      <w:rPr>
        <w:rFonts w:ascii="华文仿宋" w:hAnsi="华文仿宋" w:eastAsia="华文仿宋" w:cs="华文仿宋"/>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CCE19">
    <w:pPr>
      <w:pStyle w:val="18"/>
      <w:rPr>
        <w:rFonts w:hint="eastAsia"/>
        <w:b w:val="0"/>
        <w:bCs w:val="0"/>
        <w:lang w:eastAsia="zh-CN"/>
      </w:rPr>
    </w:pPr>
    <w:r>
      <w:rPr>
        <w:rFonts w:hint="eastAsia"/>
        <w:b w:val="0"/>
        <w:bCs w:val="0"/>
        <w:lang w:val="en-US" w:eastAsia="zh-CN"/>
      </w:rPr>
      <w:t>延安市自然资源局中心城区现状地形图测绘</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7B14A">
    <w:pPr>
      <w:pStyle w:val="18"/>
    </w:pPr>
    <w:r>
      <w:rPr>
        <w:rFonts w:hint="eastAsia"/>
        <w:b w:val="0"/>
        <w:bCs w:val="0"/>
        <w:lang w:val="en-US" w:eastAsia="zh-CN"/>
      </w:rPr>
      <w:t>延安市自然资源局中心城区现状地形图测绘</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AC080">
    <w:pPr>
      <w:pStyle w:val="18"/>
    </w:pPr>
    <w:r>
      <w:rPr>
        <w:rFonts w:hint="eastAsia"/>
        <w:lang w:val="en-US" w:eastAsia="zh-CN"/>
      </w:rPr>
      <w:t>延安市自然资源局中心城区现状地形图测绘</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49589E"/>
    <w:multiLevelType w:val="singleLevel"/>
    <w:tmpl w:val="B849589E"/>
    <w:lvl w:ilvl="0" w:tentative="0">
      <w:start w:val="1"/>
      <w:numFmt w:val="chineseCounting"/>
      <w:suff w:val="nothing"/>
      <w:lvlText w:val="%1、"/>
      <w:lvlJc w:val="left"/>
      <w:rPr>
        <w:rFonts w:hint="eastAsia"/>
      </w:rPr>
    </w:lvl>
  </w:abstractNum>
  <w:abstractNum w:abstractNumId="1">
    <w:nsid w:val="CB34A4AD"/>
    <w:multiLevelType w:val="singleLevel"/>
    <w:tmpl w:val="CB34A4AD"/>
    <w:lvl w:ilvl="0" w:tentative="0">
      <w:start w:val="1"/>
      <w:numFmt w:val="decimal"/>
      <w:pStyle w:val="6"/>
      <w:lvlText w:val="%1."/>
      <w:lvlJc w:val="left"/>
      <w:pPr>
        <w:tabs>
          <w:tab w:val="left" w:pos="780"/>
        </w:tabs>
        <w:ind w:left="780" w:hanging="360"/>
      </w:pPr>
    </w:lvl>
  </w:abstractNum>
  <w:abstractNum w:abstractNumId="2">
    <w:nsid w:val="F56EA9AF"/>
    <w:multiLevelType w:val="singleLevel"/>
    <w:tmpl w:val="F56EA9AF"/>
    <w:lvl w:ilvl="0" w:tentative="0">
      <w:start w:val="2"/>
      <w:numFmt w:val="decimal"/>
      <w:lvlText w:val="%1."/>
      <w:lvlJc w:val="left"/>
      <w:pPr>
        <w:tabs>
          <w:tab w:val="left" w:pos="312"/>
        </w:tabs>
      </w:pPr>
    </w:lvl>
  </w:abstractNum>
  <w:abstractNum w:abstractNumId="3">
    <w:nsid w:val="00000008"/>
    <w:multiLevelType w:val="singleLevel"/>
    <w:tmpl w:val="00000008"/>
    <w:lvl w:ilvl="0" w:tentative="0">
      <w:start w:val="2"/>
      <w:numFmt w:val="chineseCounting"/>
      <w:suff w:val="nothing"/>
      <w:lvlText w:val="（%1）"/>
      <w:lvlJc w:val="left"/>
      <w:rPr>
        <w:rFonts w:hint="eastAsia"/>
      </w:rPr>
    </w:lvl>
  </w:abstractNum>
  <w:abstractNum w:abstractNumId="4">
    <w:nsid w:val="0000000C"/>
    <w:multiLevelType w:val="multilevel"/>
    <w:tmpl w:val="0000000C"/>
    <w:lvl w:ilvl="0" w:tentative="0">
      <w:start w:val="1"/>
      <w:numFmt w:val="chineseCountingThousand"/>
      <w:suff w:val="space"/>
      <w:lvlText w:val="%1. "/>
      <w:lvlJc w:val="left"/>
      <w:pPr>
        <w:ind w:left="907" w:hanging="907"/>
      </w:pPr>
      <w:rPr>
        <w:rFonts w:hint="eastAsia"/>
      </w:rPr>
    </w:lvl>
    <w:lvl w:ilvl="1" w:tentative="0">
      <w:start w:val="1"/>
      <w:numFmt w:val="decima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32B495BE"/>
    <w:multiLevelType w:val="singleLevel"/>
    <w:tmpl w:val="32B495BE"/>
    <w:lvl w:ilvl="0" w:tentative="0">
      <w:start w:val="1"/>
      <w:numFmt w:val="decimal"/>
      <w:lvlText w:val="%1."/>
      <w:lvlJc w:val="left"/>
      <w:pPr>
        <w:tabs>
          <w:tab w:val="left" w:pos="312"/>
        </w:tabs>
      </w:pPr>
    </w:lvl>
  </w:abstractNum>
  <w:abstractNum w:abstractNumId="6">
    <w:nsid w:val="33A643BA"/>
    <w:multiLevelType w:val="singleLevel"/>
    <w:tmpl w:val="33A643BA"/>
    <w:lvl w:ilvl="0" w:tentative="0">
      <w:start w:val="4"/>
      <w:numFmt w:val="chineseCounting"/>
      <w:suff w:val="space"/>
      <w:lvlText w:val="第%1章"/>
      <w:lvlJc w:val="left"/>
      <w:rPr>
        <w:rFonts w:hint="eastAsia"/>
      </w:rPr>
    </w:lvl>
  </w:abstractNum>
  <w:abstractNum w:abstractNumId="7">
    <w:nsid w:val="57AC316F"/>
    <w:multiLevelType w:val="singleLevel"/>
    <w:tmpl w:val="57AC316F"/>
    <w:lvl w:ilvl="0" w:tentative="0">
      <w:start w:val="5"/>
      <w:numFmt w:val="chineseCounting"/>
      <w:suff w:val="nothing"/>
      <w:lvlText w:val="（%1）"/>
      <w:lvlJc w:val="left"/>
      <w:rPr>
        <w:rFonts w:hint="eastAsia"/>
      </w:rPr>
    </w:lvl>
  </w:abstractNum>
  <w:num w:numId="1">
    <w:abstractNumId w:val="1"/>
  </w:num>
  <w:num w:numId="2">
    <w:abstractNumId w:val="4"/>
  </w:num>
  <w:num w:numId="3">
    <w:abstractNumId w:val="0"/>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 w:name="KSO_WPS_MARK_KEY" w:val="54c13c8d-24b6-41b2-8d3d-49c482db0a9f"/>
  </w:docVars>
  <w:rsids>
    <w:rsidRoot w:val="00692EAE"/>
    <w:rsid w:val="00014E92"/>
    <w:rsid w:val="00065D43"/>
    <w:rsid w:val="00073BB2"/>
    <w:rsid w:val="000833F9"/>
    <w:rsid w:val="0009534E"/>
    <w:rsid w:val="000A7059"/>
    <w:rsid w:val="0012448A"/>
    <w:rsid w:val="001475E5"/>
    <w:rsid w:val="0018052B"/>
    <w:rsid w:val="001A2E8D"/>
    <w:rsid w:val="001E1327"/>
    <w:rsid w:val="001E3EB8"/>
    <w:rsid w:val="0027334D"/>
    <w:rsid w:val="002A216D"/>
    <w:rsid w:val="002B44FD"/>
    <w:rsid w:val="002F7DC1"/>
    <w:rsid w:val="00332D2C"/>
    <w:rsid w:val="00396E9F"/>
    <w:rsid w:val="003D4D7A"/>
    <w:rsid w:val="0044098B"/>
    <w:rsid w:val="00464C0B"/>
    <w:rsid w:val="00465BBD"/>
    <w:rsid w:val="004B48CF"/>
    <w:rsid w:val="004B77AD"/>
    <w:rsid w:val="004C7FF8"/>
    <w:rsid w:val="004E68E8"/>
    <w:rsid w:val="00532B0B"/>
    <w:rsid w:val="005563CB"/>
    <w:rsid w:val="00585353"/>
    <w:rsid w:val="0059791F"/>
    <w:rsid w:val="005F0F64"/>
    <w:rsid w:val="005F765D"/>
    <w:rsid w:val="00604F80"/>
    <w:rsid w:val="00655102"/>
    <w:rsid w:val="00692EAE"/>
    <w:rsid w:val="0075573B"/>
    <w:rsid w:val="0076232D"/>
    <w:rsid w:val="00767AC4"/>
    <w:rsid w:val="007B4982"/>
    <w:rsid w:val="00857A2D"/>
    <w:rsid w:val="008E4665"/>
    <w:rsid w:val="00903331"/>
    <w:rsid w:val="009C512B"/>
    <w:rsid w:val="00A57F30"/>
    <w:rsid w:val="00A61A14"/>
    <w:rsid w:val="00A65ED7"/>
    <w:rsid w:val="00AC791D"/>
    <w:rsid w:val="00AD5045"/>
    <w:rsid w:val="00AE5B21"/>
    <w:rsid w:val="00B9653C"/>
    <w:rsid w:val="00BB255E"/>
    <w:rsid w:val="00BC6751"/>
    <w:rsid w:val="00C347BF"/>
    <w:rsid w:val="00C6664C"/>
    <w:rsid w:val="00CF2BFF"/>
    <w:rsid w:val="00D835D3"/>
    <w:rsid w:val="00DD674B"/>
    <w:rsid w:val="00DE42F9"/>
    <w:rsid w:val="00E8375A"/>
    <w:rsid w:val="00E973CF"/>
    <w:rsid w:val="00EB1E59"/>
    <w:rsid w:val="00EB49E3"/>
    <w:rsid w:val="00EF5331"/>
    <w:rsid w:val="00F05259"/>
    <w:rsid w:val="00F134FF"/>
    <w:rsid w:val="00F243A8"/>
    <w:rsid w:val="00F326A4"/>
    <w:rsid w:val="00F4497D"/>
    <w:rsid w:val="00F47026"/>
    <w:rsid w:val="012A2737"/>
    <w:rsid w:val="012F5F9F"/>
    <w:rsid w:val="01421AD5"/>
    <w:rsid w:val="01436DE7"/>
    <w:rsid w:val="014868D6"/>
    <w:rsid w:val="015E0632"/>
    <w:rsid w:val="01611507"/>
    <w:rsid w:val="017356AF"/>
    <w:rsid w:val="018D0F17"/>
    <w:rsid w:val="019125FC"/>
    <w:rsid w:val="01987FE8"/>
    <w:rsid w:val="01A77037"/>
    <w:rsid w:val="01B70CC2"/>
    <w:rsid w:val="02005B8D"/>
    <w:rsid w:val="021926DF"/>
    <w:rsid w:val="021D229B"/>
    <w:rsid w:val="021F6013"/>
    <w:rsid w:val="022D1D0C"/>
    <w:rsid w:val="02303DD4"/>
    <w:rsid w:val="02486813"/>
    <w:rsid w:val="02637735"/>
    <w:rsid w:val="02647ECA"/>
    <w:rsid w:val="02785A4B"/>
    <w:rsid w:val="028E0814"/>
    <w:rsid w:val="029512D4"/>
    <w:rsid w:val="02963DFC"/>
    <w:rsid w:val="02A77926"/>
    <w:rsid w:val="02AD361F"/>
    <w:rsid w:val="02B667DD"/>
    <w:rsid w:val="02BF3353"/>
    <w:rsid w:val="02C1356F"/>
    <w:rsid w:val="02C74C71"/>
    <w:rsid w:val="02CB1CF7"/>
    <w:rsid w:val="02D5625F"/>
    <w:rsid w:val="02DC2156"/>
    <w:rsid w:val="02E62FD5"/>
    <w:rsid w:val="02EC30BD"/>
    <w:rsid w:val="02F036FA"/>
    <w:rsid w:val="02F327FE"/>
    <w:rsid w:val="03015719"/>
    <w:rsid w:val="03092397"/>
    <w:rsid w:val="03244FD8"/>
    <w:rsid w:val="03327FC8"/>
    <w:rsid w:val="03443858"/>
    <w:rsid w:val="036B5288"/>
    <w:rsid w:val="037979A5"/>
    <w:rsid w:val="039842CF"/>
    <w:rsid w:val="039D7B38"/>
    <w:rsid w:val="039E431A"/>
    <w:rsid w:val="03A4569A"/>
    <w:rsid w:val="03A762C0"/>
    <w:rsid w:val="03E219EE"/>
    <w:rsid w:val="03E2554B"/>
    <w:rsid w:val="040B7160"/>
    <w:rsid w:val="041C56B0"/>
    <w:rsid w:val="042C2C6A"/>
    <w:rsid w:val="04310280"/>
    <w:rsid w:val="043A7135"/>
    <w:rsid w:val="04401935"/>
    <w:rsid w:val="044704D0"/>
    <w:rsid w:val="04471640"/>
    <w:rsid w:val="04484651"/>
    <w:rsid w:val="044C6E68"/>
    <w:rsid w:val="045F4DED"/>
    <w:rsid w:val="046A44ED"/>
    <w:rsid w:val="046B19E4"/>
    <w:rsid w:val="046C750A"/>
    <w:rsid w:val="04706FFA"/>
    <w:rsid w:val="04A10F62"/>
    <w:rsid w:val="04A30D95"/>
    <w:rsid w:val="04C33949"/>
    <w:rsid w:val="04C410F4"/>
    <w:rsid w:val="04C50E82"/>
    <w:rsid w:val="04D806FC"/>
    <w:rsid w:val="04FE63B4"/>
    <w:rsid w:val="050369E9"/>
    <w:rsid w:val="050634BB"/>
    <w:rsid w:val="05067755"/>
    <w:rsid w:val="05284D91"/>
    <w:rsid w:val="052B2F21"/>
    <w:rsid w:val="052D4EEB"/>
    <w:rsid w:val="053C512E"/>
    <w:rsid w:val="053D2CF7"/>
    <w:rsid w:val="053F077B"/>
    <w:rsid w:val="05421C37"/>
    <w:rsid w:val="054229B7"/>
    <w:rsid w:val="0543026B"/>
    <w:rsid w:val="055F3D0E"/>
    <w:rsid w:val="057E7A8F"/>
    <w:rsid w:val="05812B41"/>
    <w:rsid w:val="059E49D5"/>
    <w:rsid w:val="05AB5E10"/>
    <w:rsid w:val="05C23886"/>
    <w:rsid w:val="05C3315A"/>
    <w:rsid w:val="05C6234C"/>
    <w:rsid w:val="05C8248C"/>
    <w:rsid w:val="05DB1295"/>
    <w:rsid w:val="05DC0DD7"/>
    <w:rsid w:val="05FC7001"/>
    <w:rsid w:val="06071298"/>
    <w:rsid w:val="060B06C8"/>
    <w:rsid w:val="060F2843"/>
    <w:rsid w:val="061439B5"/>
    <w:rsid w:val="06231E4A"/>
    <w:rsid w:val="063D115E"/>
    <w:rsid w:val="064F49ED"/>
    <w:rsid w:val="066F6E3E"/>
    <w:rsid w:val="0679513B"/>
    <w:rsid w:val="067F229B"/>
    <w:rsid w:val="06C75C3F"/>
    <w:rsid w:val="06CC597B"/>
    <w:rsid w:val="06E23AB3"/>
    <w:rsid w:val="070E2AFA"/>
    <w:rsid w:val="070E4D5E"/>
    <w:rsid w:val="07100621"/>
    <w:rsid w:val="0718536E"/>
    <w:rsid w:val="071A5F0E"/>
    <w:rsid w:val="071B7BAD"/>
    <w:rsid w:val="073B6F6F"/>
    <w:rsid w:val="07520C39"/>
    <w:rsid w:val="075D53D7"/>
    <w:rsid w:val="07AE6410"/>
    <w:rsid w:val="07B31723"/>
    <w:rsid w:val="07BE62CF"/>
    <w:rsid w:val="07C35693"/>
    <w:rsid w:val="07CB36FF"/>
    <w:rsid w:val="07F25288"/>
    <w:rsid w:val="082425D6"/>
    <w:rsid w:val="083B347B"/>
    <w:rsid w:val="083D5445"/>
    <w:rsid w:val="083F3B30"/>
    <w:rsid w:val="08470072"/>
    <w:rsid w:val="084A5DB4"/>
    <w:rsid w:val="08602EE2"/>
    <w:rsid w:val="08665568"/>
    <w:rsid w:val="08674270"/>
    <w:rsid w:val="087A63D0"/>
    <w:rsid w:val="087D1CE6"/>
    <w:rsid w:val="08803584"/>
    <w:rsid w:val="088C1A79"/>
    <w:rsid w:val="089112ED"/>
    <w:rsid w:val="08935065"/>
    <w:rsid w:val="08A07782"/>
    <w:rsid w:val="08A2799E"/>
    <w:rsid w:val="08C65134"/>
    <w:rsid w:val="08D55065"/>
    <w:rsid w:val="08E409A9"/>
    <w:rsid w:val="091B0441"/>
    <w:rsid w:val="09280F5B"/>
    <w:rsid w:val="09592106"/>
    <w:rsid w:val="096A04BC"/>
    <w:rsid w:val="097A6225"/>
    <w:rsid w:val="09C5548B"/>
    <w:rsid w:val="09CF47C3"/>
    <w:rsid w:val="09EA59EB"/>
    <w:rsid w:val="09F91840"/>
    <w:rsid w:val="0A051A16"/>
    <w:rsid w:val="0A0C672F"/>
    <w:rsid w:val="0A120031"/>
    <w:rsid w:val="0A1246B0"/>
    <w:rsid w:val="0A1B6D7D"/>
    <w:rsid w:val="0A2500D2"/>
    <w:rsid w:val="0A31076B"/>
    <w:rsid w:val="0A3E54A5"/>
    <w:rsid w:val="0A466107"/>
    <w:rsid w:val="0A4A5BF8"/>
    <w:rsid w:val="0A560A40"/>
    <w:rsid w:val="0A782765"/>
    <w:rsid w:val="0A8D0153"/>
    <w:rsid w:val="0AB1211B"/>
    <w:rsid w:val="0AB15C77"/>
    <w:rsid w:val="0AD11E75"/>
    <w:rsid w:val="0AD656DD"/>
    <w:rsid w:val="0AE222D4"/>
    <w:rsid w:val="0AE34A90"/>
    <w:rsid w:val="0AFB3396"/>
    <w:rsid w:val="0B112BB9"/>
    <w:rsid w:val="0B2621C1"/>
    <w:rsid w:val="0B2B5A29"/>
    <w:rsid w:val="0B440899"/>
    <w:rsid w:val="0B4A355A"/>
    <w:rsid w:val="0B770C6E"/>
    <w:rsid w:val="0B880938"/>
    <w:rsid w:val="0B8E4BB5"/>
    <w:rsid w:val="0B937B18"/>
    <w:rsid w:val="0BA13F3D"/>
    <w:rsid w:val="0BCA092D"/>
    <w:rsid w:val="0BCA5242"/>
    <w:rsid w:val="0BD95485"/>
    <w:rsid w:val="0BDE0CED"/>
    <w:rsid w:val="0BDE6F3F"/>
    <w:rsid w:val="0BE107DE"/>
    <w:rsid w:val="0C0E7E79"/>
    <w:rsid w:val="0C2448DD"/>
    <w:rsid w:val="0C28767C"/>
    <w:rsid w:val="0C2E330B"/>
    <w:rsid w:val="0C3923C8"/>
    <w:rsid w:val="0C6311F3"/>
    <w:rsid w:val="0C801DA5"/>
    <w:rsid w:val="0CB212DF"/>
    <w:rsid w:val="0CBD6B55"/>
    <w:rsid w:val="0CD36378"/>
    <w:rsid w:val="0CDF07EB"/>
    <w:rsid w:val="0CE157B5"/>
    <w:rsid w:val="0CE40585"/>
    <w:rsid w:val="0CE560AB"/>
    <w:rsid w:val="0CEC7AB2"/>
    <w:rsid w:val="0CF42D28"/>
    <w:rsid w:val="0CFE46F5"/>
    <w:rsid w:val="0D067D90"/>
    <w:rsid w:val="0D074274"/>
    <w:rsid w:val="0D116EA1"/>
    <w:rsid w:val="0D1B387B"/>
    <w:rsid w:val="0D1C7D1F"/>
    <w:rsid w:val="0D1F336B"/>
    <w:rsid w:val="0D224C0A"/>
    <w:rsid w:val="0D2C7836"/>
    <w:rsid w:val="0D3A05F9"/>
    <w:rsid w:val="0D5116CB"/>
    <w:rsid w:val="0D613984"/>
    <w:rsid w:val="0D6B65B1"/>
    <w:rsid w:val="0D7C1107"/>
    <w:rsid w:val="0D8442CC"/>
    <w:rsid w:val="0D9755F8"/>
    <w:rsid w:val="0DA675E9"/>
    <w:rsid w:val="0DDC300B"/>
    <w:rsid w:val="0DE45C36"/>
    <w:rsid w:val="0DFF319D"/>
    <w:rsid w:val="0E2310E6"/>
    <w:rsid w:val="0E26072A"/>
    <w:rsid w:val="0E303356"/>
    <w:rsid w:val="0E3E5A73"/>
    <w:rsid w:val="0E401CB6"/>
    <w:rsid w:val="0E4D3F08"/>
    <w:rsid w:val="0E59465B"/>
    <w:rsid w:val="0E611762"/>
    <w:rsid w:val="0E6B438E"/>
    <w:rsid w:val="0E853D3D"/>
    <w:rsid w:val="0E9F20E3"/>
    <w:rsid w:val="0EA0672E"/>
    <w:rsid w:val="0EE24587"/>
    <w:rsid w:val="0EEC3721"/>
    <w:rsid w:val="0EEF3211"/>
    <w:rsid w:val="0EF379BC"/>
    <w:rsid w:val="0F0132A6"/>
    <w:rsid w:val="0F024CF3"/>
    <w:rsid w:val="0F0526A1"/>
    <w:rsid w:val="0F081EC3"/>
    <w:rsid w:val="0F0944D6"/>
    <w:rsid w:val="0F451D76"/>
    <w:rsid w:val="0F607BE9"/>
    <w:rsid w:val="0F7014AD"/>
    <w:rsid w:val="0F7A2ADB"/>
    <w:rsid w:val="0F87344A"/>
    <w:rsid w:val="0FB22C0A"/>
    <w:rsid w:val="0FB73D2F"/>
    <w:rsid w:val="0FCD76AD"/>
    <w:rsid w:val="0FD22917"/>
    <w:rsid w:val="0FDF5034"/>
    <w:rsid w:val="0FEB1C2B"/>
    <w:rsid w:val="0FED3F88"/>
    <w:rsid w:val="0FF85943"/>
    <w:rsid w:val="10015A45"/>
    <w:rsid w:val="10101691"/>
    <w:rsid w:val="10233173"/>
    <w:rsid w:val="10240C99"/>
    <w:rsid w:val="10262C63"/>
    <w:rsid w:val="102A0ADE"/>
    <w:rsid w:val="10306B91"/>
    <w:rsid w:val="10392996"/>
    <w:rsid w:val="1048477E"/>
    <w:rsid w:val="10493E45"/>
    <w:rsid w:val="104B4477"/>
    <w:rsid w:val="104D30C3"/>
    <w:rsid w:val="10645539"/>
    <w:rsid w:val="106B65C6"/>
    <w:rsid w:val="108312FE"/>
    <w:rsid w:val="108C51BC"/>
    <w:rsid w:val="10946B1D"/>
    <w:rsid w:val="10956862"/>
    <w:rsid w:val="10C55FD8"/>
    <w:rsid w:val="10D91A83"/>
    <w:rsid w:val="10EC085B"/>
    <w:rsid w:val="10F1501F"/>
    <w:rsid w:val="111555A1"/>
    <w:rsid w:val="11357601"/>
    <w:rsid w:val="11423ACC"/>
    <w:rsid w:val="11497AA4"/>
    <w:rsid w:val="114D481B"/>
    <w:rsid w:val="114E06C3"/>
    <w:rsid w:val="115F642C"/>
    <w:rsid w:val="11607AA4"/>
    <w:rsid w:val="11630A00"/>
    <w:rsid w:val="11714438"/>
    <w:rsid w:val="117868D3"/>
    <w:rsid w:val="11A26319"/>
    <w:rsid w:val="11A93C7D"/>
    <w:rsid w:val="11A958FA"/>
    <w:rsid w:val="11B92C2E"/>
    <w:rsid w:val="11E132E5"/>
    <w:rsid w:val="11E46CC1"/>
    <w:rsid w:val="11EB4770"/>
    <w:rsid w:val="11F37030"/>
    <w:rsid w:val="11FF1E70"/>
    <w:rsid w:val="122447BE"/>
    <w:rsid w:val="125A6BF4"/>
    <w:rsid w:val="126A3816"/>
    <w:rsid w:val="127E6D86"/>
    <w:rsid w:val="12823D4A"/>
    <w:rsid w:val="129B7938"/>
    <w:rsid w:val="129F25C4"/>
    <w:rsid w:val="12A8795F"/>
    <w:rsid w:val="12A90717"/>
    <w:rsid w:val="12AE7A81"/>
    <w:rsid w:val="12AF4946"/>
    <w:rsid w:val="12B46A47"/>
    <w:rsid w:val="12BC3C29"/>
    <w:rsid w:val="12BF6143"/>
    <w:rsid w:val="12C02EFB"/>
    <w:rsid w:val="12C10A21"/>
    <w:rsid w:val="12E0534B"/>
    <w:rsid w:val="12EE547F"/>
    <w:rsid w:val="12FB0B7B"/>
    <w:rsid w:val="12FB4B4E"/>
    <w:rsid w:val="13021765"/>
    <w:rsid w:val="13285B03"/>
    <w:rsid w:val="132C6ADB"/>
    <w:rsid w:val="133063F9"/>
    <w:rsid w:val="13347445"/>
    <w:rsid w:val="13490BE3"/>
    <w:rsid w:val="136202C9"/>
    <w:rsid w:val="136B2768"/>
    <w:rsid w:val="13712447"/>
    <w:rsid w:val="138C483A"/>
    <w:rsid w:val="13980163"/>
    <w:rsid w:val="13A03E8B"/>
    <w:rsid w:val="13AD4FA0"/>
    <w:rsid w:val="13B50586"/>
    <w:rsid w:val="13C00213"/>
    <w:rsid w:val="13C92283"/>
    <w:rsid w:val="13D12EE6"/>
    <w:rsid w:val="14007645"/>
    <w:rsid w:val="140B464A"/>
    <w:rsid w:val="141E6EE4"/>
    <w:rsid w:val="1423262E"/>
    <w:rsid w:val="14261483"/>
    <w:rsid w:val="14292D22"/>
    <w:rsid w:val="142A5125"/>
    <w:rsid w:val="144E5BFE"/>
    <w:rsid w:val="145204CA"/>
    <w:rsid w:val="145C30F7"/>
    <w:rsid w:val="145D71B3"/>
    <w:rsid w:val="146B6E96"/>
    <w:rsid w:val="146E6986"/>
    <w:rsid w:val="147621EA"/>
    <w:rsid w:val="14942891"/>
    <w:rsid w:val="14956609"/>
    <w:rsid w:val="14A22207"/>
    <w:rsid w:val="14AA3E63"/>
    <w:rsid w:val="14D07641"/>
    <w:rsid w:val="14D7277E"/>
    <w:rsid w:val="14DA6A78"/>
    <w:rsid w:val="14E32ED1"/>
    <w:rsid w:val="14E761DD"/>
    <w:rsid w:val="14F652AD"/>
    <w:rsid w:val="150C1BA5"/>
    <w:rsid w:val="15100313"/>
    <w:rsid w:val="15127C5A"/>
    <w:rsid w:val="151579D2"/>
    <w:rsid w:val="151A6D63"/>
    <w:rsid w:val="15451DDD"/>
    <w:rsid w:val="15453B8B"/>
    <w:rsid w:val="154930C6"/>
    <w:rsid w:val="15617D83"/>
    <w:rsid w:val="15684104"/>
    <w:rsid w:val="15712BD2"/>
    <w:rsid w:val="15741F45"/>
    <w:rsid w:val="15785D0F"/>
    <w:rsid w:val="15806971"/>
    <w:rsid w:val="15811988"/>
    <w:rsid w:val="15826B8D"/>
    <w:rsid w:val="159B74FB"/>
    <w:rsid w:val="15B17473"/>
    <w:rsid w:val="15BD5E17"/>
    <w:rsid w:val="15C34AB0"/>
    <w:rsid w:val="15C50828"/>
    <w:rsid w:val="15EE5FD1"/>
    <w:rsid w:val="15F139D5"/>
    <w:rsid w:val="15F508CB"/>
    <w:rsid w:val="160F7B21"/>
    <w:rsid w:val="16227A29"/>
    <w:rsid w:val="162E2871"/>
    <w:rsid w:val="16315EBE"/>
    <w:rsid w:val="164368D5"/>
    <w:rsid w:val="165827DA"/>
    <w:rsid w:val="166444E5"/>
    <w:rsid w:val="166B7621"/>
    <w:rsid w:val="166D339A"/>
    <w:rsid w:val="16730284"/>
    <w:rsid w:val="167950A5"/>
    <w:rsid w:val="167F37F2"/>
    <w:rsid w:val="16A42B33"/>
    <w:rsid w:val="16A50D85"/>
    <w:rsid w:val="16AE1C29"/>
    <w:rsid w:val="16BA5EB3"/>
    <w:rsid w:val="16BD63D6"/>
    <w:rsid w:val="16D927DD"/>
    <w:rsid w:val="16E01DBD"/>
    <w:rsid w:val="16E2427A"/>
    <w:rsid w:val="16EA144D"/>
    <w:rsid w:val="16ED44DA"/>
    <w:rsid w:val="16F2701E"/>
    <w:rsid w:val="16F41EE7"/>
    <w:rsid w:val="171E6442"/>
    <w:rsid w:val="1723614E"/>
    <w:rsid w:val="17333191"/>
    <w:rsid w:val="173619DD"/>
    <w:rsid w:val="17377504"/>
    <w:rsid w:val="173E6AE4"/>
    <w:rsid w:val="173F4400"/>
    <w:rsid w:val="174A36DB"/>
    <w:rsid w:val="17654110"/>
    <w:rsid w:val="1767428D"/>
    <w:rsid w:val="1780534F"/>
    <w:rsid w:val="178A3AD7"/>
    <w:rsid w:val="1791619B"/>
    <w:rsid w:val="17A3178F"/>
    <w:rsid w:val="17A42169"/>
    <w:rsid w:val="17A80401"/>
    <w:rsid w:val="17B172B6"/>
    <w:rsid w:val="17C24895"/>
    <w:rsid w:val="17C621FC"/>
    <w:rsid w:val="17D122AE"/>
    <w:rsid w:val="17DC1639"/>
    <w:rsid w:val="17DC32D8"/>
    <w:rsid w:val="17E175E6"/>
    <w:rsid w:val="17F17FFA"/>
    <w:rsid w:val="17F2796A"/>
    <w:rsid w:val="17F44CBB"/>
    <w:rsid w:val="17F77217"/>
    <w:rsid w:val="17FA6EAF"/>
    <w:rsid w:val="17FF44C5"/>
    <w:rsid w:val="180A4C18"/>
    <w:rsid w:val="1811244B"/>
    <w:rsid w:val="18115FA7"/>
    <w:rsid w:val="182B58BF"/>
    <w:rsid w:val="18316649"/>
    <w:rsid w:val="183C19FE"/>
    <w:rsid w:val="183D2FD1"/>
    <w:rsid w:val="18414ADE"/>
    <w:rsid w:val="18420856"/>
    <w:rsid w:val="18495CFA"/>
    <w:rsid w:val="184C6FDF"/>
    <w:rsid w:val="18504D21"/>
    <w:rsid w:val="185E0B0B"/>
    <w:rsid w:val="18611A70"/>
    <w:rsid w:val="18625F4B"/>
    <w:rsid w:val="187F1162"/>
    <w:rsid w:val="187F3EE9"/>
    <w:rsid w:val="189362B8"/>
    <w:rsid w:val="18A64941"/>
    <w:rsid w:val="18BD7EDC"/>
    <w:rsid w:val="18C63235"/>
    <w:rsid w:val="18C9398A"/>
    <w:rsid w:val="18D442BE"/>
    <w:rsid w:val="18DF42F7"/>
    <w:rsid w:val="18E216F1"/>
    <w:rsid w:val="18E86D07"/>
    <w:rsid w:val="18E92A80"/>
    <w:rsid w:val="190B50EC"/>
    <w:rsid w:val="191915B7"/>
    <w:rsid w:val="191A70DD"/>
    <w:rsid w:val="191B4526"/>
    <w:rsid w:val="19461C80"/>
    <w:rsid w:val="194B77F9"/>
    <w:rsid w:val="194C32E2"/>
    <w:rsid w:val="195F08E7"/>
    <w:rsid w:val="196D2878"/>
    <w:rsid w:val="1991767C"/>
    <w:rsid w:val="19A03A86"/>
    <w:rsid w:val="19A077D8"/>
    <w:rsid w:val="19AF3CC9"/>
    <w:rsid w:val="19D674A8"/>
    <w:rsid w:val="19DF45AE"/>
    <w:rsid w:val="19EB676A"/>
    <w:rsid w:val="19EE47F1"/>
    <w:rsid w:val="1A037B71"/>
    <w:rsid w:val="1A073B05"/>
    <w:rsid w:val="1A110F8D"/>
    <w:rsid w:val="1A14446F"/>
    <w:rsid w:val="1A295829"/>
    <w:rsid w:val="1A344F03"/>
    <w:rsid w:val="1A3C5FD6"/>
    <w:rsid w:val="1A404921"/>
    <w:rsid w:val="1A45329D"/>
    <w:rsid w:val="1A50687F"/>
    <w:rsid w:val="1A5F3514"/>
    <w:rsid w:val="1A642D06"/>
    <w:rsid w:val="1A654388"/>
    <w:rsid w:val="1A714BAB"/>
    <w:rsid w:val="1A7F369B"/>
    <w:rsid w:val="1A853D17"/>
    <w:rsid w:val="1A9E33B7"/>
    <w:rsid w:val="1AA650CC"/>
    <w:rsid w:val="1AB2774D"/>
    <w:rsid w:val="1AB93B33"/>
    <w:rsid w:val="1AE23C2A"/>
    <w:rsid w:val="1AE259D8"/>
    <w:rsid w:val="1AF30C6E"/>
    <w:rsid w:val="1AF56AE4"/>
    <w:rsid w:val="1AFB5181"/>
    <w:rsid w:val="1AFD4FCD"/>
    <w:rsid w:val="1AFE425A"/>
    <w:rsid w:val="1B105598"/>
    <w:rsid w:val="1B171298"/>
    <w:rsid w:val="1B261D69"/>
    <w:rsid w:val="1B3939DF"/>
    <w:rsid w:val="1B3C158C"/>
    <w:rsid w:val="1B3F2E2B"/>
    <w:rsid w:val="1B5763C6"/>
    <w:rsid w:val="1B617245"/>
    <w:rsid w:val="1B632FBD"/>
    <w:rsid w:val="1B7538D9"/>
    <w:rsid w:val="1B8575B5"/>
    <w:rsid w:val="1BAB226E"/>
    <w:rsid w:val="1BD14CC5"/>
    <w:rsid w:val="1BD96DDB"/>
    <w:rsid w:val="1BE96BCA"/>
    <w:rsid w:val="1BED0AD9"/>
    <w:rsid w:val="1BF53518"/>
    <w:rsid w:val="1C146065"/>
    <w:rsid w:val="1C163B8C"/>
    <w:rsid w:val="1C2C33AF"/>
    <w:rsid w:val="1C5648D0"/>
    <w:rsid w:val="1C5E0187"/>
    <w:rsid w:val="1C625023"/>
    <w:rsid w:val="1C752FA8"/>
    <w:rsid w:val="1C796955"/>
    <w:rsid w:val="1CA37EA1"/>
    <w:rsid w:val="1CC45697"/>
    <w:rsid w:val="1CC565E8"/>
    <w:rsid w:val="1CD53DCE"/>
    <w:rsid w:val="1CDB049A"/>
    <w:rsid w:val="1CF96EB8"/>
    <w:rsid w:val="1CFB5F01"/>
    <w:rsid w:val="1D0B1216"/>
    <w:rsid w:val="1D29146A"/>
    <w:rsid w:val="1D2D5631"/>
    <w:rsid w:val="1D300C7D"/>
    <w:rsid w:val="1D3266E6"/>
    <w:rsid w:val="1D3D339A"/>
    <w:rsid w:val="1D3F35B6"/>
    <w:rsid w:val="1D5232E9"/>
    <w:rsid w:val="1D573933"/>
    <w:rsid w:val="1D5F77B4"/>
    <w:rsid w:val="1D715330"/>
    <w:rsid w:val="1D721295"/>
    <w:rsid w:val="1DA3440B"/>
    <w:rsid w:val="1DAB09B6"/>
    <w:rsid w:val="1DBA49EB"/>
    <w:rsid w:val="1DE278B3"/>
    <w:rsid w:val="1DF30DD1"/>
    <w:rsid w:val="1DF60A19"/>
    <w:rsid w:val="1E0A7720"/>
    <w:rsid w:val="1E0F417C"/>
    <w:rsid w:val="1E2C3B3A"/>
    <w:rsid w:val="1E403142"/>
    <w:rsid w:val="1E6E7EF3"/>
    <w:rsid w:val="1E967206"/>
    <w:rsid w:val="1EBB0A1A"/>
    <w:rsid w:val="1ED32208"/>
    <w:rsid w:val="1EDD3086"/>
    <w:rsid w:val="1EE12B77"/>
    <w:rsid w:val="1EE435CB"/>
    <w:rsid w:val="1EEA4F4F"/>
    <w:rsid w:val="1F0E1492"/>
    <w:rsid w:val="1F257CB7"/>
    <w:rsid w:val="1F3D58D3"/>
    <w:rsid w:val="1F6431AA"/>
    <w:rsid w:val="1F6A0705"/>
    <w:rsid w:val="1F7C7944"/>
    <w:rsid w:val="1F82454D"/>
    <w:rsid w:val="1F866D0F"/>
    <w:rsid w:val="1F8F60E9"/>
    <w:rsid w:val="1FB73CB1"/>
    <w:rsid w:val="1FB8741A"/>
    <w:rsid w:val="1FB931AC"/>
    <w:rsid w:val="1FC95A99"/>
    <w:rsid w:val="1FE741BD"/>
    <w:rsid w:val="1FF97A4C"/>
    <w:rsid w:val="20126D60"/>
    <w:rsid w:val="20500551"/>
    <w:rsid w:val="20530343"/>
    <w:rsid w:val="2074045F"/>
    <w:rsid w:val="207407CA"/>
    <w:rsid w:val="20855833"/>
    <w:rsid w:val="20B61DE1"/>
    <w:rsid w:val="20B9542D"/>
    <w:rsid w:val="20CF0E3E"/>
    <w:rsid w:val="20DF30E6"/>
    <w:rsid w:val="20DF65AB"/>
    <w:rsid w:val="20EC5803"/>
    <w:rsid w:val="20FD356C"/>
    <w:rsid w:val="21004E0A"/>
    <w:rsid w:val="21090163"/>
    <w:rsid w:val="210D2754"/>
    <w:rsid w:val="211C4519"/>
    <w:rsid w:val="21242DBE"/>
    <w:rsid w:val="21500A96"/>
    <w:rsid w:val="215353DE"/>
    <w:rsid w:val="21676C37"/>
    <w:rsid w:val="21AF0D0A"/>
    <w:rsid w:val="21C04848"/>
    <w:rsid w:val="21C83B7A"/>
    <w:rsid w:val="21D95D87"/>
    <w:rsid w:val="21EF1C4A"/>
    <w:rsid w:val="21F42BC1"/>
    <w:rsid w:val="21FB3F4F"/>
    <w:rsid w:val="21FD6BC4"/>
    <w:rsid w:val="22004601"/>
    <w:rsid w:val="220D00D4"/>
    <w:rsid w:val="22165591"/>
    <w:rsid w:val="2234120F"/>
    <w:rsid w:val="2242206E"/>
    <w:rsid w:val="22431452"/>
    <w:rsid w:val="224376A4"/>
    <w:rsid w:val="22525D60"/>
    <w:rsid w:val="22665141"/>
    <w:rsid w:val="226E1C50"/>
    <w:rsid w:val="228026A7"/>
    <w:rsid w:val="22874F67"/>
    <w:rsid w:val="228F6446"/>
    <w:rsid w:val="22992F0D"/>
    <w:rsid w:val="22A85759"/>
    <w:rsid w:val="22AA3280"/>
    <w:rsid w:val="22BD1205"/>
    <w:rsid w:val="22D71DD3"/>
    <w:rsid w:val="22DF73CD"/>
    <w:rsid w:val="22E5535D"/>
    <w:rsid w:val="22EA18E2"/>
    <w:rsid w:val="22EA7B20"/>
    <w:rsid w:val="230A2EA2"/>
    <w:rsid w:val="233139A1"/>
    <w:rsid w:val="23486990"/>
    <w:rsid w:val="235A4636"/>
    <w:rsid w:val="236C49D9"/>
    <w:rsid w:val="236F23F8"/>
    <w:rsid w:val="236F44B0"/>
    <w:rsid w:val="237733D9"/>
    <w:rsid w:val="238C6E29"/>
    <w:rsid w:val="23BE00A5"/>
    <w:rsid w:val="23DF33FD"/>
    <w:rsid w:val="23E427C1"/>
    <w:rsid w:val="23E8105A"/>
    <w:rsid w:val="23F942C3"/>
    <w:rsid w:val="24305A06"/>
    <w:rsid w:val="24523A4E"/>
    <w:rsid w:val="24767174"/>
    <w:rsid w:val="247B4ED4"/>
    <w:rsid w:val="24802AEC"/>
    <w:rsid w:val="2488354C"/>
    <w:rsid w:val="248D2E59"/>
    <w:rsid w:val="249B7324"/>
    <w:rsid w:val="249F40AD"/>
    <w:rsid w:val="24AF2DCF"/>
    <w:rsid w:val="24BD5534"/>
    <w:rsid w:val="24CE5459"/>
    <w:rsid w:val="24D740D4"/>
    <w:rsid w:val="24E0567E"/>
    <w:rsid w:val="25006BE0"/>
    <w:rsid w:val="25033A80"/>
    <w:rsid w:val="25070B98"/>
    <w:rsid w:val="250A44A9"/>
    <w:rsid w:val="250F2223"/>
    <w:rsid w:val="25210BCA"/>
    <w:rsid w:val="252E056F"/>
    <w:rsid w:val="256C0CC0"/>
    <w:rsid w:val="256F56FB"/>
    <w:rsid w:val="257D2ECD"/>
    <w:rsid w:val="2589183B"/>
    <w:rsid w:val="25B44BE3"/>
    <w:rsid w:val="25C06B8A"/>
    <w:rsid w:val="25C64874"/>
    <w:rsid w:val="25CC204F"/>
    <w:rsid w:val="25E371D4"/>
    <w:rsid w:val="25F767DC"/>
    <w:rsid w:val="25FF73E4"/>
    <w:rsid w:val="260C05C2"/>
    <w:rsid w:val="260D24A3"/>
    <w:rsid w:val="261A071C"/>
    <w:rsid w:val="262141A2"/>
    <w:rsid w:val="263129AE"/>
    <w:rsid w:val="263C0155"/>
    <w:rsid w:val="263C73D4"/>
    <w:rsid w:val="26446154"/>
    <w:rsid w:val="264659B5"/>
    <w:rsid w:val="266A3452"/>
    <w:rsid w:val="267D718F"/>
    <w:rsid w:val="26967C55"/>
    <w:rsid w:val="26993304"/>
    <w:rsid w:val="269B2634"/>
    <w:rsid w:val="269C55D5"/>
    <w:rsid w:val="26A526DC"/>
    <w:rsid w:val="26A56376"/>
    <w:rsid w:val="26A76454"/>
    <w:rsid w:val="26BD5C77"/>
    <w:rsid w:val="26CA0394"/>
    <w:rsid w:val="26CF59AB"/>
    <w:rsid w:val="26D703BB"/>
    <w:rsid w:val="26D7485F"/>
    <w:rsid w:val="26E06E67"/>
    <w:rsid w:val="26E2748C"/>
    <w:rsid w:val="26E31456"/>
    <w:rsid w:val="27054F28"/>
    <w:rsid w:val="27247AA4"/>
    <w:rsid w:val="272A1BAA"/>
    <w:rsid w:val="27343A60"/>
    <w:rsid w:val="273B3040"/>
    <w:rsid w:val="275B0FEC"/>
    <w:rsid w:val="277315B0"/>
    <w:rsid w:val="27764078"/>
    <w:rsid w:val="277735CB"/>
    <w:rsid w:val="2778394C"/>
    <w:rsid w:val="278247CB"/>
    <w:rsid w:val="278510AC"/>
    <w:rsid w:val="27925790"/>
    <w:rsid w:val="27D52B4D"/>
    <w:rsid w:val="27F51DBA"/>
    <w:rsid w:val="27FE77F3"/>
    <w:rsid w:val="28125B4F"/>
    <w:rsid w:val="28153891"/>
    <w:rsid w:val="28161985"/>
    <w:rsid w:val="28180C8B"/>
    <w:rsid w:val="2818512F"/>
    <w:rsid w:val="281D44F4"/>
    <w:rsid w:val="281F7EBE"/>
    <w:rsid w:val="28245882"/>
    <w:rsid w:val="282B09BF"/>
    <w:rsid w:val="28506677"/>
    <w:rsid w:val="28612632"/>
    <w:rsid w:val="28796405"/>
    <w:rsid w:val="289B1FE8"/>
    <w:rsid w:val="28A349F9"/>
    <w:rsid w:val="28B22E8E"/>
    <w:rsid w:val="28B430AA"/>
    <w:rsid w:val="28BB4440"/>
    <w:rsid w:val="28C13FB4"/>
    <w:rsid w:val="28C84A61"/>
    <w:rsid w:val="28D177B8"/>
    <w:rsid w:val="28D948BF"/>
    <w:rsid w:val="28DD687E"/>
    <w:rsid w:val="28E27C5A"/>
    <w:rsid w:val="28FE5E96"/>
    <w:rsid w:val="290556B4"/>
    <w:rsid w:val="290A03D1"/>
    <w:rsid w:val="29130C1E"/>
    <w:rsid w:val="291B6C85"/>
    <w:rsid w:val="29341AF5"/>
    <w:rsid w:val="293715E5"/>
    <w:rsid w:val="294C6E3F"/>
    <w:rsid w:val="296279D8"/>
    <w:rsid w:val="29824F56"/>
    <w:rsid w:val="29B905F1"/>
    <w:rsid w:val="29C235A5"/>
    <w:rsid w:val="29C41D34"/>
    <w:rsid w:val="29C6608A"/>
    <w:rsid w:val="29C70BBB"/>
    <w:rsid w:val="29CC4D65"/>
    <w:rsid w:val="29E03A2B"/>
    <w:rsid w:val="29F02881"/>
    <w:rsid w:val="29F7267F"/>
    <w:rsid w:val="2A133E00"/>
    <w:rsid w:val="2A1A6F3D"/>
    <w:rsid w:val="2A204996"/>
    <w:rsid w:val="2A21651D"/>
    <w:rsid w:val="2A257EAA"/>
    <w:rsid w:val="2A353D77"/>
    <w:rsid w:val="2A3C3357"/>
    <w:rsid w:val="2A3F69A3"/>
    <w:rsid w:val="2A5A3A8E"/>
    <w:rsid w:val="2A7F1496"/>
    <w:rsid w:val="2A832EC5"/>
    <w:rsid w:val="2A88659C"/>
    <w:rsid w:val="2AA762F6"/>
    <w:rsid w:val="2AAB228B"/>
    <w:rsid w:val="2ABA427C"/>
    <w:rsid w:val="2AC320A4"/>
    <w:rsid w:val="2ADB2B70"/>
    <w:rsid w:val="2ADC1FC3"/>
    <w:rsid w:val="2AE17B94"/>
    <w:rsid w:val="2AF02E62"/>
    <w:rsid w:val="2AF03BA2"/>
    <w:rsid w:val="2AF93B6E"/>
    <w:rsid w:val="2AF94DA4"/>
    <w:rsid w:val="2AFA5A3A"/>
    <w:rsid w:val="2B004385"/>
    <w:rsid w:val="2B080D19"/>
    <w:rsid w:val="2B382596"/>
    <w:rsid w:val="2B3B716B"/>
    <w:rsid w:val="2B502629"/>
    <w:rsid w:val="2B512E32"/>
    <w:rsid w:val="2B55294D"/>
    <w:rsid w:val="2B6A39AF"/>
    <w:rsid w:val="2BA20D6C"/>
    <w:rsid w:val="2BAA613D"/>
    <w:rsid w:val="2BAD07E2"/>
    <w:rsid w:val="2BB63A38"/>
    <w:rsid w:val="2BBB564C"/>
    <w:rsid w:val="2BCC070B"/>
    <w:rsid w:val="2BCC2EAA"/>
    <w:rsid w:val="2BDB3F3F"/>
    <w:rsid w:val="2BE16FE6"/>
    <w:rsid w:val="2BE4239C"/>
    <w:rsid w:val="2C122C6D"/>
    <w:rsid w:val="2C19528B"/>
    <w:rsid w:val="2C1A4694"/>
    <w:rsid w:val="2C235173"/>
    <w:rsid w:val="2C2C2F57"/>
    <w:rsid w:val="2C6C2ACA"/>
    <w:rsid w:val="2C6D3C9C"/>
    <w:rsid w:val="2C7956DC"/>
    <w:rsid w:val="2C89668B"/>
    <w:rsid w:val="2C9B7CA1"/>
    <w:rsid w:val="2CC55E02"/>
    <w:rsid w:val="2CC633AC"/>
    <w:rsid w:val="2CD40D4A"/>
    <w:rsid w:val="2CED26E7"/>
    <w:rsid w:val="2CF92AD5"/>
    <w:rsid w:val="2D1161A8"/>
    <w:rsid w:val="2D197471"/>
    <w:rsid w:val="2D263E4A"/>
    <w:rsid w:val="2D572256"/>
    <w:rsid w:val="2D5E7C02"/>
    <w:rsid w:val="2D636E4D"/>
    <w:rsid w:val="2D727090"/>
    <w:rsid w:val="2DA41B2C"/>
    <w:rsid w:val="2DAD00C8"/>
    <w:rsid w:val="2DB25C5B"/>
    <w:rsid w:val="2DD45655"/>
    <w:rsid w:val="2DDF7346"/>
    <w:rsid w:val="2DE0049D"/>
    <w:rsid w:val="2DF857E7"/>
    <w:rsid w:val="2DF950BB"/>
    <w:rsid w:val="2E110657"/>
    <w:rsid w:val="2E156399"/>
    <w:rsid w:val="2E1819E5"/>
    <w:rsid w:val="2E24038A"/>
    <w:rsid w:val="2E2411D6"/>
    <w:rsid w:val="2E316D24"/>
    <w:rsid w:val="2E357085"/>
    <w:rsid w:val="2E366167"/>
    <w:rsid w:val="2E444588"/>
    <w:rsid w:val="2E6112CF"/>
    <w:rsid w:val="2E67296D"/>
    <w:rsid w:val="2E9410A5"/>
    <w:rsid w:val="2EC102CF"/>
    <w:rsid w:val="2EC20A5B"/>
    <w:rsid w:val="2EE10029"/>
    <w:rsid w:val="2EED3D25"/>
    <w:rsid w:val="2F0E3FE2"/>
    <w:rsid w:val="2F1523C9"/>
    <w:rsid w:val="2F236894"/>
    <w:rsid w:val="2F36237D"/>
    <w:rsid w:val="2F365903"/>
    <w:rsid w:val="2F4B4D51"/>
    <w:rsid w:val="2F4D3910"/>
    <w:rsid w:val="2F527179"/>
    <w:rsid w:val="2F561AA3"/>
    <w:rsid w:val="2F940A8D"/>
    <w:rsid w:val="2F9E31C6"/>
    <w:rsid w:val="2FBC19C0"/>
    <w:rsid w:val="2FF41FDE"/>
    <w:rsid w:val="300E150D"/>
    <w:rsid w:val="303869B6"/>
    <w:rsid w:val="30466CDD"/>
    <w:rsid w:val="304B626A"/>
    <w:rsid w:val="304C1E1A"/>
    <w:rsid w:val="30512BB9"/>
    <w:rsid w:val="3069477A"/>
    <w:rsid w:val="306B6744"/>
    <w:rsid w:val="307B26FD"/>
    <w:rsid w:val="307C42CD"/>
    <w:rsid w:val="308271CF"/>
    <w:rsid w:val="308415B4"/>
    <w:rsid w:val="308B0B94"/>
    <w:rsid w:val="309612E7"/>
    <w:rsid w:val="30980BBB"/>
    <w:rsid w:val="30BC6003"/>
    <w:rsid w:val="30C6397A"/>
    <w:rsid w:val="30DD0957"/>
    <w:rsid w:val="30DE5607"/>
    <w:rsid w:val="30E262DA"/>
    <w:rsid w:val="30EB33E1"/>
    <w:rsid w:val="30EE0EFE"/>
    <w:rsid w:val="3104598F"/>
    <w:rsid w:val="31244B45"/>
    <w:rsid w:val="313308E4"/>
    <w:rsid w:val="3145621F"/>
    <w:rsid w:val="31526E01"/>
    <w:rsid w:val="315326A5"/>
    <w:rsid w:val="315C42DF"/>
    <w:rsid w:val="316737CE"/>
    <w:rsid w:val="317F12ED"/>
    <w:rsid w:val="31922CF8"/>
    <w:rsid w:val="31B269F5"/>
    <w:rsid w:val="31B639EF"/>
    <w:rsid w:val="31F7580D"/>
    <w:rsid w:val="31FC517A"/>
    <w:rsid w:val="320622E1"/>
    <w:rsid w:val="321666BA"/>
    <w:rsid w:val="322272D6"/>
    <w:rsid w:val="3239599B"/>
    <w:rsid w:val="32427031"/>
    <w:rsid w:val="324C7EAF"/>
    <w:rsid w:val="326C7146"/>
    <w:rsid w:val="32780CA4"/>
    <w:rsid w:val="32786EF6"/>
    <w:rsid w:val="327E10B2"/>
    <w:rsid w:val="328238D1"/>
    <w:rsid w:val="328C4514"/>
    <w:rsid w:val="328F66E9"/>
    <w:rsid w:val="329830F5"/>
    <w:rsid w:val="329B4993"/>
    <w:rsid w:val="32AE0B6A"/>
    <w:rsid w:val="32C07C5C"/>
    <w:rsid w:val="32CA590D"/>
    <w:rsid w:val="32CE688B"/>
    <w:rsid w:val="32EC2A98"/>
    <w:rsid w:val="32F522F5"/>
    <w:rsid w:val="331C1F78"/>
    <w:rsid w:val="331F3816"/>
    <w:rsid w:val="332D7CE1"/>
    <w:rsid w:val="3338475E"/>
    <w:rsid w:val="333D1021"/>
    <w:rsid w:val="334838FE"/>
    <w:rsid w:val="334A0A90"/>
    <w:rsid w:val="334B1737"/>
    <w:rsid w:val="335949E2"/>
    <w:rsid w:val="33833DA5"/>
    <w:rsid w:val="339F6438"/>
    <w:rsid w:val="33BF44FB"/>
    <w:rsid w:val="33C46C09"/>
    <w:rsid w:val="33E02FA5"/>
    <w:rsid w:val="33E71FB8"/>
    <w:rsid w:val="33EF31E8"/>
    <w:rsid w:val="34093BC0"/>
    <w:rsid w:val="34496D9C"/>
    <w:rsid w:val="3458094E"/>
    <w:rsid w:val="3459484B"/>
    <w:rsid w:val="345B6AD0"/>
    <w:rsid w:val="345D2848"/>
    <w:rsid w:val="34627E5E"/>
    <w:rsid w:val="34640A9B"/>
    <w:rsid w:val="34685268"/>
    <w:rsid w:val="34825E0A"/>
    <w:rsid w:val="34863498"/>
    <w:rsid w:val="348A5C2C"/>
    <w:rsid w:val="34920EBF"/>
    <w:rsid w:val="34A93571"/>
    <w:rsid w:val="34B00BC9"/>
    <w:rsid w:val="34DF325D"/>
    <w:rsid w:val="34F678C3"/>
    <w:rsid w:val="34F7125B"/>
    <w:rsid w:val="34FC0CD6"/>
    <w:rsid w:val="34FD36E3"/>
    <w:rsid w:val="350031D3"/>
    <w:rsid w:val="35050F88"/>
    <w:rsid w:val="350D15E3"/>
    <w:rsid w:val="35107A26"/>
    <w:rsid w:val="3511077F"/>
    <w:rsid w:val="352A3E47"/>
    <w:rsid w:val="354D6418"/>
    <w:rsid w:val="35550D69"/>
    <w:rsid w:val="35652963"/>
    <w:rsid w:val="35954D78"/>
    <w:rsid w:val="35973E3A"/>
    <w:rsid w:val="35A065EF"/>
    <w:rsid w:val="35A818A1"/>
    <w:rsid w:val="35C66D41"/>
    <w:rsid w:val="35FB40C6"/>
    <w:rsid w:val="360F1920"/>
    <w:rsid w:val="36274EBB"/>
    <w:rsid w:val="362B63F4"/>
    <w:rsid w:val="36304799"/>
    <w:rsid w:val="36323F79"/>
    <w:rsid w:val="363650FE"/>
    <w:rsid w:val="36620EB9"/>
    <w:rsid w:val="36750FE8"/>
    <w:rsid w:val="368D4E24"/>
    <w:rsid w:val="36A90322"/>
    <w:rsid w:val="36D603B0"/>
    <w:rsid w:val="36E035D0"/>
    <w:rsid w:val="36E84025"/>
    <w:rsid w:val="36EC3A0F"/>
    <w:rsid w:val="36F31241"/>
    <w:rsid w:val="36FF3742"/>
    <w:rsid w:val="370A0339"/>
    <w:rsid w:val="37242836"/>
    <w:rsid w:val="3748158D"/>
    <w:rsid w:val="375905E2"/>
    <w:rsid w:val="375C1F86"/>
    <w:rsid w:val="378620B5"/>
    <w:rsid w:val="378F54A1"/>
    <w:rsid w:val="3793032E"/>
    <w:rsid w:val="379540A7"/>
    <w:rsid w:val="379F4F25"/>
    <w:rsid w:val="37AD4195"/>
    <w:rsid w:val="37B432C0"/>
    <w:rsid w:val="37E82428"/>
    <w:rsid w:val="37EF2076"/>
    <w:rsid w:val="38044D88"/>
    <w:rsid w:val="380B7797"/>
    <w:rsid w:val="38187B2F"/>
    <w:rsid w:val="381B27FE"/>
    <w:rsid w:val="3831051A"/>
    <w:rsid w:val="3831783F"/>
    <w:rsid w:val="38351B40"/>
    <w:rsid w:val="384004B6"/>
    <w:rsid w:val="385775AE"/>
    <w:rsid w:val="38591CCC"/>
    <w:rsid w:val="38635F53"/>
    <w:rsid w:val="389A2EE0"/>
    <w:rsid w:val="38CC58A6"/>
    <w:rsid w:val="38D86941"/>
    <w:rsid w:val="38DD5D05"/>
    <w:rsid w:val="38DE55D9"/>
    <w:rsid w:val="38E2244B"/>
    <w:rsid w:val="38F414F3"/>
    <w:rsid w:val="390A63CE"/>
    <w:rsid w:val="39113C01"/>
    <w:rsid w:val="391D1E5E"/>
    <w:rsid w:val="39203E44"/>
    <w:rsid w:val="393416B5"/>
    <w:rsid w:val="393C288A"/>
    <w:rsid w:val="39535398"/>
    <w:rsid w:val="39705DDE"/>
    <w:rsid w:val="39732EB1"/>
    <w:rsid w:val="39754190"/>
    <w:rsid w:val="39777F08"/>
    <w:rsid w:val="398B5761"/>
    <w:rsid w:val="398E6FFF"/>
    <w:rsid w:val="399916D3"/>
    <w:rsid w:val="39A141C2"/>
    <w:rsid w:val="39B32F0A"/>
    <w:rsid w:val="39BC61EC"/>
    <w:rsid w:val="39D87F40"/>
    <w:rsid w:val="39DB2ABE"/>
    <w:rsid w:val="39E43EC7"/>
    <w:rsid w:val="3A1204A1"/>
    <w:rsid w:val="3A132832"/>
    <w:rsid w:val="3A4A6A43"/>
    <w:rsid w:val="3A502507"/>
    <w:rsid w:val="3A7459D6"/>
    <w:rsid w:val="3A7D01A4"/>
    <w:rsid w:val="3A8376C7"/>
    <w:rsid w:val="3A8521B0"/>
    <w:rsid w:val="3A970136"/>
    <w:rsid w:val="3AB71C38"/>
    <w:rsid w:val="3AC23405"/>
    <w:rsid w:val="3ADC0497"/>
    <w:rsid w:val="3AE55345"/>
    <w:rsid w:val="3AE710BD"/>
    <w:rsid w:val="3AE77278"/>
    <w:rsid w:val="3AEE274E"/>
    <w:rsid w:val="3AF64E5C"/>
    <w:rsid w:val="3AFA2043"/>
    <w:rsid w:val="3AFE01B5"/>
    <w:rsid w:val="3B143534"/>
    <w:rsid w:val="3B17312B"/>
    <w:rsid w:val="3B237CA5"/>
    <w:rsid w:val="3B3140E6"/>
    <w:rsid w:val="3B5C79AA"/>
    <w:rsid w:val="3B712735"/>
    <w:rsid w:val="3B8A5337"/>
    <w:rsid w:val="3B934DA1"/>
    <w:rsid w:val="3B9F678F"/>
    <w:rsid w:val="3BA26D92"/>
    <w:rsid w:val="3BBF16F2"/>
    <w:rsid w:val="3BEC560A"/>
    <w:rsid w:val="3BF4247C"/>
    <w:rsid w:val="3C12216A"/>
    <w:rsid w:val="3C124A57"/>
    <w:rsid w:val="3C2459F9"/>
    <w:rsid w:val="3C25485D"/>
    <w:rsid w:val="3C3E6F84"/>
    <w:rsid w:val="3C4507D5"/>
    <w:rsid w:val="3C477FA0"/>
    <w:rsid w:val="3C641C6B"/>
    <w:rsid w:val="3C6978B0"/>
    <w:rsid w:val="3C7C3A87"/>
    <w:rsid w:val="3C7C5F26"/>
    <w:rsid w:val="3C805325"/>
    <w:rsid w:val="3C81109D"/>
    <w:rsid w:val="3C920BB5"/>
    <w:rsid w:val="3C9F32D2"/>
    <w:rsid w:val="3CA07630"/>
    <w:rsid w:val="3CA36EF1"/>
    <w:rsid w:val="3CAA0EF6"/>
    <w:rsid w:val="3CB929BC"/>
    <w:rsid w:val="3CD6475B"/>
    <w:rsid w:val="3CF30E96"/>
    <w:rsid w:val="3CF4186F"/>
    <w:rsid w:val="3D097CDC"/>
    <w:rsid w:val="3D0C4E0B"/>
    <w:rsid w:val="3D172303"/>
    <w:rsid w:val="3D243E5F"/>
    <w:rsid w:val="3D274FFC"/>
    <w:rsid w:val="3D314871"/>
    <w:rsid w:val="3D347629"/>
    <w:rsid w:val="3D475E43"/>
    <w:rsid w:val="3D4D2896"/>
    <w:rsid w:val="3D5D7C2A"/>
    <w:rsid w:val="3D6267D9"/>
    <w:rsid w:val="3D635D45"/>
    <w:rsid w:val="3D766728"/>
    <w:rsid w:val="3D8E534A"/>
    <w:rsid w:val="3D973607"/>
    <w:rsid w:val="3D986D8C"/>
    <w:rsid w:val="3DB334D8"/>
    <w:rsid w:val="3DBE608A"/>
    <w:rsid w:val="3DBF3C2B"/>
    <w:rsid w:val="3DE9417D"/>
    <w:rsid w:val="3DF24001"/>
    <w:rsid w:val="3E02162D"/>
    <w:rsid w:val="3E0C4997"/>
    <w:rsid w:val="3E2A5F3B"/>
    <w:rsid w:val="3E4928E7"/>
    <w:rsid w:val="3E6842C3"/>
    <w:rsid w:val="3E6F3966"/>
    <w:rsid w:val="3E740EBA"/>
    <w:rsid w:val="3E7F019F"/>
    <w:rsid w:val="3E854E75"/>
    <w:rsid w:val="3EB218F1"/>
    <w:rsid w:val="3ECD2378"/>
    <w:rsid w:val="3ECF0E18"/>
    <w:rsid w:val="3EDE6333"/>
    <w:rsid w:val="3EF220E8"/>
    <w:rsid w:val="3EFB5137"/>
    <w:rsid w:val="3EFE13C0"/>
    <w:rsid w:val="3F1E711F"/>
    <w:rsid w:val="3F230B85"/>
    <w:rsid w:val="3F2A5A1C"/>
    <w:rsid w:val="3F373C95"/>
    <w:rsid w:val="3F3B5533"/>
    <w:rsid w:val="3F454604"/>
    <w:rsid w:val="3F47037C"/>
    <w:rsid w:val="3F4C3EB3"/>
    <w:rsid w:val="3F5E1222"/>
    <w:rsid w:val="3F907129"/>
    <w:rsid w:val="3FA171C1"/>
    <w:rsid w:val="3FB05F21"/>
    <w:rsid w:val="3FC11602"/>
    <w:rsid w:val="3FCC47F7"/>
    <w:rsid w:val="3FDA502C"/>
    <w:rsid w:val="3FE43E1D"/>
    <w:rsid w:val="3FEC2CD2"/>
    <w:rsid w:val="3FEE153E"/>
    <w:rsid w:val="3FFC1070"/>
    <w:rsid w:val="400A3657"/>
    <w:rsid w:val="400E2C48"/>
    <w:rsid w:val="40784565"/>
    <w:rsid w:val="408F1FDB"/>
    <w:rsid w:val="409475F1"/>
    <w:rsid w:val="409F4234"/>
    <w:rsid w:val="40B27A77"/>
    <w:rsid w:val="40B732E0"/>
    <w:rsid w:val="40BF2194"/>
    <w:rsid w:val="40C31C84"/>
    <w:rsid w:val="40C71CB8"/>
    <w:rsid w:val="40C80671"/>
    <w:rsid w:val="40C854ED"/>
    <w:rsid w:val="40C94283"/>
    <w:rsid w:val="40D043A1"/>
    <w:rsid w:val="40DA7863"/>
    <w:rsid w:val="40DC2D46"/>
    <w:rsid w:val="40EF4827"/>
    <w:rsid w:val="40F7192E"/>
    <w:rsid w:val="4101455B"/>
    <w:rsid w:val="4105404B"/>
    <w:rsid w:val="4119614C"/>
    <w:rsid w:val="411F02F9"/>
    <w:rsid w:val="412412DC"/>
    <w:rsid w:val="41285F8B"/>
    <w:rsid w:val="412C52F3"/>
    <w:rsid w:val="41433130"/>
    <w:rsid w:val="41523008"/>
    <w:rsid w:val="41577625"/>
    <w:rsid w:val="417D58F7"/>
    <w:rsid w:val="418238EE"/>
    <w:rsid w:val="418A27A2"/>
    <w:rsid w:val="41BD705C"/>
    <w:rsid w:val="41BE5A2A"/>
    <w:rsid w:val="41C2018E"/>
    <w:rsid w:val="41C51A2C"/>
    <w:rsid w:val="41C8264A"/>
    <w:rsid w:val="41DA1F03"/>
    <w:rsid w:val="41EC0D67"/>
    <w:rsid w:val="41FA7928"/>
    <w:rsid w:val="421D7172"/>
    <w:rsid w:val="42274495"/>
    <w:rsid w:val="4230143F"/>
    <w:rsid w:val="423746D8"/>
    <w:rsid w:val="423A7D24"/>
    <w:rsid w:val="42503EFD"/>
    <w:rsid w:val="42701998"/>
    <w:rsid w:val="42714333"/>
    <w:rsid w:val="42870A90"/>
    <w:rsid w:val="428B0580"/>
    <w:rsid w:val="428C60A6"/>
    <w:rsid w:val="42DF267A"/>
    <w:rsid w:val="42F332E6"/>
    <w:rsid w:val="431523C3"/>
    <w:rsid w:val="4326474D"/>
    <w:rsid w:val="433A4E46"/>
    <w:rsid w:val="43652B30"/>
    <w:rsid w:val="43794C6D"/>
    <w:rsid w:val="43814017"/>
    <w:rsid w:val="438356FB"/>
    <w:rsid w:val="43A454CB"/>
    <w:rsid w:val="43AE2905"/>
    <w:rsid w:val="43BE6733"/>
    <w:rsid w:val="43CD117F"/>
    <w:rsid w:val="43DA778D"/>
    <w:rsid w:val="43DE0B83"/>
    <w:rsid w:val="440C3942"/>
    <w:rsid w:val="441E71D2"/>
    <w:rsid w:val="44242A3A"/>
    <w:rsid w:val="4455119B"/>
    <w:rsid w:val="44713C2D"/>
    <w:rsid w:val="447A0492"/>
    <w:rsid w:val="447D2DED"/>
    <w:rsid w:val="449A7532"/>
    <w:rsid w:val="449C4CC6"/>
    <w:rsid w:val="44AE49FA"/>
    <w:rsid w:val="44B11AC8"/>
    <w:rsid w:val="44B85F15"/>
    <w:rsid w:val="44DA6522"/>
    <w:rsid w:val="450B56AF"/>
    <w:rsid w:val="4517259F"/>
    <w:rsid w:val="451B591F"/>
    <w:rsid w:val="451C04DF"/>
    <w:rsid w:val="451C7BB5"/>
    <w:rsid w:val="451E1B7F"/>
    <w:rsid w:val="452B7DF8"/>
    <w:rsid w:val="453B5FB7"/>
    <w:rsid w:val="453E4BCE"/>
    <w:rsid w:val="45441C71"/>
    <w:rsid w:val="45460215"/>
    <w:rsid w:val="45482EA7"/>
    <w:rsid w:val="456A4DC4"/>
    <w:rsid w:val="45700B7C"/>
    <w:rsid w:val="458319E2"/>
    <w:rsid w:val="459050A5"/>
    <w:rsid w:val="45A0213E"/>
    <w:rsid w:val="45D16BF2"/>
    <w:rsid w:val="45D4223E"/>
    <w:rsid w:val="45D50676"/>
    <w:rsid w:val="45FE7882"/>
    <w:rsid w:val="4608116A"/>
    <w:rsid w:val="463B406B"/>
    <w:rsid w:val="46611D9D"/>
    <w:rsid w:val="469061E6"/>
    <w:rsid w:val="46C35DED"/>
    <w:rsid w:val="46D02A05"/>
    <w:rsid w:val="46F879B8"/>
    <w:rsid w:val="46FE76DA"/>
    <w:rsid w:val="47040901"/>
    <w:rsid w:val="47092E80"/>
    <w:rsid w:val="473078BD"/>
    <w:rsid w:val="473A04D5"/>
    <w:rsid w:val="47596E9F"/>
    <w:rsid w:val="475C24EB"/>
    <w:rsid w:val="4760647F"/>
    <w:rsid w:val="47685330"/>
    <w:rsid w:val="477912EF"/>
    <w:rsid w:val="477F15A5"/>
    <w:rsid w:val="47B71E17"/>
    <w:rsid w:val="47CF655A"/>
    <w:rsid w:val="47DE30EE"/>
    <w:rsid w:val="480908C5"/>
    <w:rsid w:val="484A740F"/>
    <w:rsid w:val="484E2F2D"/>
    <w:rsid w:val="486024AF"/>
    <w:rsid w:val="487321E2"/>
    <w:rsid w:val="48741AB6"/>
    <w:rsid w:val="487D6BBD"/>
    <w:rsid w:val="48842A7C"/>
    <w:rsid w:val="48AC5C49"/>
    <w:rsid w:val="48AF68B3"/>
    <w:rsid w:val="48DD4734"/>
    <w:rsid w:val="48DF5182"/>
    <w:rsid w:val="48EF0FBD"/>
    <w:rsid w:val="48F055E1"/>
    <w:rsid w:val="49050ADA"/>
    <w:rsid w:val="4922704D"/>
    <w:rsid w:val="49290AF3"/>
    <w:rsid w:val="492B03C7"/>
    <w:rsid w:val="49325BF9"/>
    <w:rsid w:val="493C25D4"/>
    <w:rsid w:val="49423962"/>
    <w:rsid w:val="495676F9"/>
    <w:rsid w:val="495711BC"/>
    <w:rsid w:val="496833C9"/>
    <w:rsid w:val="49697141"/>
    <w:rsid w:val="4977360C"/>
    <w:rsid w:val="497A3D4B"/>
    <w:rsid w:val="497F72D9"/>
    <w:rsid w:val="498945F3"/>
    <w:rsid w:val="498A77E3"/>
    <w:rsid w:val="498D4B22"/>
    <w:rsid w:val="49A3007E"/>
    <w:rsid w:val="49AD5BED"/>
    <w:rsid w:val="49B10406"/>
    <w:rsid w:val="49B410A5"/>
    <w:rsid w:val="49B50F38"/>
    <w:rsid w:val="49C07FBB"/>
    <w:rsid w:val="49D43C50"/>
    <w:rsid w:val="49DE5CE3"/>
    <w:rsid w:val="49F228DB"/>
    <w:rsid w:val="4A0D21C2"/>
    <w:rsid w:val="4A143551"/>
    <w:rsid w:val="4A2F3401"/>
    <w:rsid w:val="4A3B0ADD"/>
    <w:rsid w:val="4A511191"/>
    <w:rsid w:val="4A6E2C61"/>
    <w:rsid w:val="4A7C3D6C"/>
    <w:rsid w:val="4AC530D5"/>
    <w:rsid w:val="4ADC40E1"/>
    <w:rsid w:val="4ADD1B95"/>
    <w:rsid w:val="4B1650A7"/>
    <w:rsid w:val="4B1A05AF"/>
    <w:rsid w:val="4B2C6678"/>
    <w:rsid w:val="4B4F2ABD"/>
    <w:rsid w:val="4B5C0AE5"/>
    <w:rsid w:val="4B775437"/>
    <w:rsid w:val="4B9304A5"/>
    <w:rsid w:val="4B956967"/>
    <w:rsid w:val="4BA15CE6"/>
    <w:rsid w:val="4BBA6677"/>
    <w:rsid w:val="4BC61285"/>
    <w:rsid w:val="4BEB0573"/>
    <w:rsid w:val="4BF86AA5"/>
    <w:rsid w:val="4C087559"/>
    <w:rsid w:val="4C193E43"/>
    <w:rsid w:val="4C1C09D5"/>
    <w:rsid w:val="4C231829"/>
    <w:rsid w:val="4C3752D5"/>
    <w:rsid w:val="4C3B3017"/>
    <w:rsid w:val="4C5C2F8D"/>
    <w:rsid w:val="4C6A7458"/>
    <w:rsid w:val="4C765DFD"/>
    <w:rsid w:val="4C7C718B"/>
    <w:rsid w:val="4C9857D9"/>
    <w:rsid w:val="4CA23CDF"/>
    <w:rsid w:val="4CAC5CC3"/>
    <w:rsid w:val="4CB237BB"/>
    <w:rsid w:val="4CD46FC7"/>
    <w:rsid w:val="4CDB2104"/>
    <w:rsid w:val="4D0B5494"/>
    <w:rsid w:val="4D0F48F4"/>
    <w:rsid w:val="4D197893"/>
    <w:rsid w:val="4D20220D"/>
    <w:rsid w:val="4D416E20"/>
    <w:rsid w:val="4D4D53C5"/>
    <w:rsid w:val="4D4F0ADD"/>
    <w:rsid w:val="4D500C0F"/>
    <w:rsid w:val="4D622825"/>
    <w:rsid w:val="4D623393"/>
    <w:rsid w:val="4D6C68F4"/>
    <w:rsid w:val="4D6E2F78"/>
    <w:rsid w:val="4D930C30"/>
    <w:rsid w:val="4D950DDA"/>
    <w:rsid w:val="4D9F75D5"/>
    <w:rsid w:val="4DA00DB5"/>
    <w:rsid w:val="4DA62712"/>
    <w:rsid w:val="4DB8446C"/>
    <w:rsid w:val="4DBD1B0B"/>
    <w:rsid w:val="4DBE3EFF"/>
    <w:rsid w:val="4DC132E9"/>
    <w:rsid w:val="4DC25072"/>
    <w:rsid w:val="4DC64B62"/>
    <w:rsid w:val="4DD74FC1"/>
    <w:rsid w:val="4DDF1CAE"/>
    <w:rsid w:val="4DE45B37"/>
    <w:rsid w:val="4DF56905"/>
    <w:rsid w:val="4E044CDD"/>
    <w:rsid w:val="4E197388"/>
    <w:rsid w:val="4E265C87"/>
    <w:rsid w:val="4E2E44B5"/>
    <w:rsid w:val="4E2F0959"/>
    <w:rsid w:val="4E451F2B"/>
    <w:rsid w:val="4E4A12EF"/>
    <w:rsid w:val="4E520801"/>
    <w:rsid w:val="4E562DA0"/>
    <w:rsid w:val="4E5C57F1"/>
    <w:rsid w:val="4E5D3917"/>
    <w:rsid w:val="4E676345"/>
    <w:rsid w:val="4E683E6B"/>
    <w:rsid w:val="4E797E26"/>
    <w:rsid w:val="4E870795"/>
    <w:rsid w:val="4E93713A"/>
    <w:rsid w:val="4E952D74"/>
    <w:rsid w:val="4E9C5F37"/>
    <w:rsid w:val="4EB96475"/>
    <w:rsid w:val="4EDE5EDB"/>
    <w:rsid w:val="4EE41DF2"/>
    <w:rsid w:val="4EF83441"/>
    <w:rsid w:val="4EFA0F67"/>
    <w:rsid w:val="4F0A10BF"/>
    <w:rsid w:val="4F0A7F11"/>
    <w:rsid w:val="4F0B3CA6"/>
    <w:rsid w:val="4F12289B"/>
    <w:rsid w:val="4F1C4C2B"/>
    <w:rsid w:val="4F2E36A3"/>
    <w:rsid w:val="4F3709BD"/>
    <w:rsid w:val="4F6D5265"/>
    <w:rsid w:val="4F7E6A16"/>
    <w:rsid w:val="4F820399"/>
    <w:rsid w:val="4F870F2C"/>
    <w:rsid w:val="4F8D00AC"/>
    <w:rsid w:val="4F9667B6"/>
    <w:rsid w:val="4F9E2F1E"/>
    <w:rsid w:val="4F9E6E5A"/>
    <w:rsid w:val="4FC155E1"/>
    <w:rsid w:val="4FC741EC"/>
    <w:rsid w:val="4FDA48F5"/>
    <w:rsid w:val="4FE45773"/>
    <w:rsid w:val="4FE614EB"/>
    <w:rsid w:val="4FE74C35"/>
    <w:rsid w:val="4FEB08B0"/>
    <w:rsid w:val="5015592D"/>
    <w:rsid w:val="501F0559"/>
    <w:rsid w:val="50285660"/>
    <w:rsid w:val="503E740D"/>
    <w:rsid w:val="506863A4"/>
    <w:rsid w:val="5076286F"/>
    <w:rsid w:val="50865970"/>
    <w:rsid w:val="5090545C"/>
    <w:rsid w:val="50B05655"/>
    <w:rsid w:val="50BB3C42"/>
    <w:rsid w:val="50BD049E"/>
    <w:rsid w:val="50BD0822"/>
    <w:rsid w:val="50C55866"/>
    <w:rsid w:val="50CA4969"/>
    <w:rsid w:val="50D13F4A"/>
    <w:rsid w:val="50D650BC"/>
    <w:rsid w:val="50DE0415"/>
    <w:rsid w:val="50E315F9"/>
    <w:rsid w:val="50F11EF6"/>
    <w:rsid w:val="50F25C6E"/>
    <w:rsid w:val="50F644C2"/>
    <w:rsid w:val="510065DD"/>
    <w:rsid w:val="51047E01"/>
    <w:rsid w:val="510E1E6E"/>
    <w:rsid w:val="510F36F4"/>
    <w:rsid w:val="5114461E"/>
    <w:rsid w:val="5122594F"/>
    <w:rsid w:val="512F7CDA"/>
    <w:rsid w:val="51385D10"/>
    <w:rsid w:val="514705FA"/>
    <w:rsid w:val="514A2AE5"/>
    <w:rsid w:val="516721B8"/>
    <w:rsid w:val="51752B27"/>
    <w:rsid w:val="51782617"/>
    <w:rsid w:val="517A638F"/>
    <w:rsid w:val="51856AE2"/>
    <w:rsid w:val="51932FAD"/>
    <w:rsid w:val="519A258E"/>
    <w:rsid w:val="51A1310F"/>
    <w:rsid w:val="51C13FBE"/>
    <w:rsid w:val="51C8534D"/>
    <w:rsid w:val="51D25F98"/>
    <w:rsid w:val="51D535C6"/>
    <w:rsid w:val="51E170E2"/>
    <w:rsid w:val="51E27A91"/>
    <w:rsid w:val="51F0320D"/>
    <w:rsid w:val="51F55A16"/>
    <w:rsid w:val="51F6353C"/>
    <w:rsid w:val="51FC39E3"/>
    <w:rsid w:val="51FC4FF6"/>
    <w:rsid w:val="51FE33C3"/>
    <w:rsid w:val="520E7A70"/>
    <w:rsid w:val="52140B6F"/>
    <w:rsid w:val="521C11F4"/>
    <w:rsid w:val="52280C18"/>
    <w:rsid w:val="522B6124"/>
    <w:rsid w:val="522E4739"/>
    <w:rsid w:val="52410C5B"/>
    <w:rsid w:val="52522E68"/>
    <w:rsid w:val="52592449"/>
    <w:rsid w:val="525F10E1"/>
    <w:rsid w:val="52650DED"/>
    <w:rsid w:val="527D5223"/>
    <w:rsid w:val="529242F1"/>
    <w:rsid w:val="52CC0713"/>
    <w:rsid w:val="52CC0A7E"/>
    <w:rsid w:val="52CF6267"/>
    <w:rsid w:val="52ED493F"/>
    <w:rsid w:val="53177C0E"/>
    <w:rsid w:val="531D6034"/>
    <w:rsid w:val="53397B84"/>
    <w:rsid w:val="534A6130"/>
    <w:rsid w:val="53530C46"/>
    <w:rsid w:val="53634C01"/>
    <w:rsid w:val="53794425"/>
    <w:rsid w:val="539179C0"/>
    <w:rsid w:val="53AE0572"/>
    <w:rsid w:val="53BA0524"/>
    <w:rsid w:val="53D0673A"/>
    <w:rsid w:val="53D55AFF"/>
    <w:rsid w:val="53E915AA"/>
    <w:rsid w:val="540C01D3"/>
    <w:rsid w:val="54183C3E"/>
    <w:rsid w:val="543E202D"/>
    <w:rsid w:val="544D1B39"/>
    <w:rsid w:val="54616660"/>
    <w:rsid w:val="54646E83"/>
    <w:rsid w:val="54947768"/>
    <w:rsid w:val="54A31759"/>
    <w:rsid w:val="54CA13DC"/>
    <w:rsid w:val="54CE6FC8"/>
    <w:rsid w:val="54D13CF2"/>
    <w:rsid w:val="54DB6483"/>
    <w:rsid w:val="54E63D3C"/>
    <w:rsid w:val="55083CB2"/>
    <w:rsid w:val="550B381F"/>
    <w:rsid w:val="55124B31"/>
    <w:rsid w:val="551B4A12"/>
    <w:rsid w:val="5527238A"/>
    <w:rsid w:val="55370F91"/>
    <w:rsid w:val="55432F3C"/>
    <w:rsid w:val="5552317F"/>
    <w:rsid w:val="556A04C9"/>
    <w:rsid w:val="557E762E"/>
    <w:rsid w:val="55913CA7"/>
    <w:rsid w:val="55937A20"/>
    <w:rsid w:val="55A8047B"/>
    <w:rsid w:val="55A81B84"/>
    <w:rsid w:val="55FA1193"/>
    <w:rsid w:val="55FA2974"/>
    <w:rsid w:val="560C1580"/>
    <w:rsid w:val="560F6013"/>
    <w:rsid w:val="564718DC"/>
    <w:rsid w:val="56551179"/>
    <w:rsid w:val="565B1A48"/>
    <w:rsid w:val="568630E0"/>
    <w:rsid w:val="569A4DDE"/>
    <w:rsid w:val="56A143BE"/>
    <w:rsid w:val="56BF0996"/>
    <w:rsid w:val="56DB758F"/>
    <w:rsid w:val="56DE1CF7"/>
    <w:rsid w:val="56F24C1A"/>
    <w:rsid w:val="56FB2E36"/>
    <w:rsid w:val="5703094B"/>
    <w:rsid w:val="570606C5"/>
    <w:rsid w:val="570B1C43"/>
    <w:rsid w:val="57116BFC"/>
    <w:rsid w:val="572A4BF6"/>
    <w:rsid w:val="57364B06"/>
    <w:rsid w:val="57457A73"/>
    <w:rsid w:val="57462870"/>
    <w:rsid w:val="57541431"/>
    <w:rsid w:val="57685489"/>
    <w:rsid w:val="576F0CDA"/>
    <w:rsid w:val="57743881"/>
    <w:rsid w:val="577D6065"/>
    <w:rsid w:val="57832EB9"/>
    <w:rsid w:val="578D049F"/>
    <w:rsid w:val="579B705F"/>
    <w:rsid w:val="57A31A70"/>
    <w:rsid w:val="57BE68AA"/>
    <w:rsid w:val="57C7411A"/>
    <w:rsid w:val="57D32355"/>
    <w:rsid w:val="57E5252E"/>
    <w:rsid w:val="57E72FD2"/>
    <w:rsid w:val="57E92E4F"/>
    <w:rsid w:val="57EF1159"/>
    <w:rsid w:val="57FE5D87"/>
    <w:rsid w:val="580B1C5D"/>
    <w:rsid w:val="581D7A74"/>
    <w:rsid w:val="58226E39"/>
    <w:rsid w:val="582708F3"/>
    <w:rsid w:val="582E3A30"/>
    <w:rsid w:val="583B614D"/>
    <w:rsid w:val="58492617"/>
    <w:rsid w:val="58496ABB"/>
    <w:rsid w:val="585B7E33"/>
    <w:rsid w:val="587F24DD"/>
    <w:rsid w:val="58836DD9"/>
    <w:rsid w:val="589E5122"/>
    <w:rsid w:val="58A83254"/>
    <w:rsid w:val="58AF7F75"/>
    <w:rsid w:val="58BB464A"/>
    <w:rsid w:val="58BE1257"/>
    <w:rsid w:val="58C163C4"/>
    <w:rsid w:val="58C919AA"/>
    <w:rsid w:val="58D97E3F"/>
    <w:rsid w:val="58ED1663"/>
    <w:rsid w:val="58F472E4"/>
    <w:rsid w:val="590101F7"/>
    <w:rsid w:val="59010E58"/>
    <w:rsid w:val="592310BA"/>
    <w:rsid w:val="592828CF"/>
    <w:rsid w:val="59282B75"/>
    <w:rsid w:val="59301A29"/>
    <w:rsid w:val="5943175D"/>
    <w:rsid w:val="59610D99"/>
    <w:rsid w:val="59613991"/>
    <w:rsid w:val="59745DBA"/>
    <w:rsid w:val="59777658"/>
    <w:rsid w:val="59831B59"/>
    <w:rsid w:val="598F6750"/>
    <w:rsid w:val="59975605"/>
    <w:rsid w:val="599800E9"/>
    <w:rsid w:val="59A3044D"/>
    <w:rsid w:val="59AD307A"/>
    <w:rsid w:val="59B83EF9"/>
    <w:rsid w:val="59E03008"/>
    <w:rsid w:val="59E75FC4"/>
    <w:rsid w:val="59F91C43"/>
    <w:rsid w:val="59FA62BF"/>
    <w:rsid w:val="5A064044"/>
    <w:rsid w:val="5A145402"/>
    <w:rsid w:val="5A1B4488"/>
    <w:rsid w:val="5A217462"/>
    <w:rsid w:val="5A225816"/>
    <w:rsid w:val="5A2C0443"/>
    <w:rsid w:val="5A3E07A1"/>
    <w:rsid w:val="5A4D3C2A"/>
    <w:rsid w:val="5A5D23AA"/>
    <w:rsid w:val="5A715E56"/>
    <w:rsid w:val="5A742C1E"/>
    <w:rsid w:val="5A8570CB"/>
    <w:rsid w:val="5A9C0987"/>
    <w:rsid w:val="5A9C2C12"/>
    <w:rsid w:val="5A9D6C4B"/>
    <w:rsid w:val="5AA4447D"/>
    <w:rsid w:val="5AB3646E"/>
    <w:rsid w:val="5AB83A84"/>
    <w:rsid w:val="5AB97EAE"/>
    <w:rsid w:val="5ABA5A4E"/>
    <w:rsid w:val="5AE21C8B"/>
    <w:rsid w:val="5AEE14F7"/>
    <w:rsid w:val="5AFD0B51"/>
    <w:rsid w:val="5AFF7905"/>
    <w:rsid w:val="5B0704EC"/>
    <w:rsid w:val="5B0B44FC"/>
    <w:rsid w:val="5B0C05E4"/>
    <w:rsid w:val="5B164869"/>
    <w:rsid w:val="5B1909C7"/>
    <w:rsid w:val="5B1A14CA"/>
    <w:rsid w:val="5B276EAC"/>
    <w:rsid w:val="5B2B24A8"/>
    <w:rsid w:val="5B5544AA"/>
    <w:rsid w:val="5B743E4F"/>
    <w:rsid w:val="5B7A5300"/>
    <w:rsid w:val="5B7E082A"/>
    <w:rsid w:val="5B871882"/>
    <w:rsid w:val="5B955B74"/>
    <w:rsid w:val="5B9C33A6"/>
    <w:rsid w:val="5BA67D81"/>
    <w:rsid w:val="5BB14AA5"/>
    <w:rsid w:val="5BC70423"/>
    <w:rsid w:val="5BC9220A"/>
    <w:rsid w:val="5BD112A2"/>
    <w:rsid w:val="5BE305B9"/>
    <w:rsid w:val="5BF71023"/>
    <w:rsid w:val="5C074CC3"/>
    <w:rsid w:val="5C2A09B2"/>
    <w:rsid w:val="5C2C3CDA"/>
    <w:rsid w:val="5C2F5FC8"/>
    <w:rsid w:val="5C3E52F0"/>
    <w:rsid w:val="5C451BB4"/>
    <w:rsid w:val="5C495A77"/>
    <w:rsid w:val="5C7560D1"/>
    <w:rsid w:val="5C7878F3"/>
    <w:rsid w:val="5C946EE9"/>
    <w:rsid w:val="5CA6628A"/>
    <w:rsid w:val="5CBF559E"/>
    <w:rsid w:val="5CCF2A0A"/>
    <w:rsid w:val="5CD32DF8"/>
    <w:rsid w:val="5CD94447"/>
    <w:rsid w:val="5CD94E88"/>
    <w:rsid w:val="5CE10BED"/>
    <w:rsid w:val="5CE172C2"/>
    <w:rsid w:val="5CF07506"/>
    <w:rsid w:val="5CF40D09"/>
    <w:rsid w:val="5CF60894"/>
    <w:rsid w:val="5D107877"/>
    <w:rsid w:val="5D290C69"/>
    <w:rsid w:val="5D323FC2"/>
    <w:rsid w:val="5D335644"/>
    <w:rsid w:val="5D3E5D08"/>
    <w:rsid w:val="5D431D2B"/>
    <w:rsid w:val="5D5D0727"/>
    <w:rsid w:val="5D7A1F6F"/>
    <w:rsid w:val="5D8440F2"/>
    <w:rsid w:val="5D891708"/>
    <w:rsid w:val="5D8C73D9"/>
    <w:rsid w:val="5D95186C"/>
    <w:rsid w:val="5D977EC8"/>
    <w:rsid w:val="5DA86B86"/>
    <w:rsid w:val="5DB03EC3"/>
    <w:rsid w:val="5DC60CCB"/>
    <w:rsid w:val="5DC92D73"/>
    <w:rsid w:val="5DD706C5"/>
    <w:rsid w:val="5DDD45C1"/>
    <w:rsid w:val="5DE60909"/>
    <w:rsid w:val="5E025791"/>
    <w:rsid w:val="5E053485"/>
    <w:rsid w:val="5E323B4E"/>
    <w:rsid w:val="5E325C9F"/>
    <w:rsid w:val="5E47584B"/>
    <w:rsid w:val="5E4D0988"/>
    <w:rsid w:val="5E547B43"/>
    <w:rsid w:val="5E624433"/>
    <w:rsid w:val="5E68756F"/>
    <w:rsid w:val="5E714676"/>
    <w:rsid w:val="5EB8251C"/>
    <w:rsid w:val="5EB86711"/>
    <w:rsid w:val="5EC073AC"/>
    <w:rsid w:val="5EC44151"/>
    <w:rsid w:val="5EC82AC9"/>
    <w:rsid w:val="5ECC2E36"/>
    <w:rsid w:val="5EE40B26"/>
    <w:rsid w:val="5EFA0B0F"/>
    <w:rsid w:val="5EFC4888"/>
    <w:rsid w:val="5F011E9E"/>
    <w:rsid w:val="5F286767"/>
    <w:rsid w:val="5F4753F3"/>
    <w:rsid w:val="5F530220"/>
    <w:rsid w:val="5F6441DB"/>
    <w:rsid w:val="5F69359F"/>
    <w:rsid w:val="5F6B37BB"/>
    <w:rsid w:val="5F8B1768"/>
    <w:rsid w:val="5F944AC0"/>
    <w:rsid w:val="5F9E7F0F"/>
    <w:rsid w:val="5FA850DE"/>
    <w:rsid w:val="5FAF1AD7"/>
    <w:rsid w:val="5FB76A00"/>
    <w:rsid w:val="5FB94527"/>
    <w:rsid w:val="5FD255E8"/>
    <w:rsid w:val="5FDA624B"/>
    <w:rsid w:val="5FEC2A61"/>
    <w:rsid w:val="5FF13CC0"/>
    <w:rsid w:val="5FF73BFE"/>
    <w:rsid w:val="600F2399"/>
    <w:rsid w:val="601C6864"/>
    <w:rsid w:val="60213E7A"/>
    <w:rsid w:val="602B6AA7"/>
    <w:rsid w:val="60566219"/>
    <w:rsid w:val="60597AB8"/>
    <w:rsid w:val="607641C6"/>
    <w:rsid w:val="60786190"/>
    <w:rsid w:val="607E751E"/>
    <w:rsid w:val="60A30D33"/>
    <w:rsid w:val="60B77EA7"/>
    <w:rsid w:val="60B82FE3"/>
    <w:rsid w:val="60BD0047"/>
    <w:rsid w:val="60BF587A"/>
    <w:rsid w:val="60C95DD2"/>
    <w:rsid w:val="60FF5C09"/>
    <w:rsid w:val="61001CE1"/>
    <w:rsid w:val="611D1A4C"/>
    <w:rsid w:val="6126799A"/>
    <w:rsid w:val="613D534D"/>
    <w:rsid w:val="61502C69"/>
    <w:rsid w:val="615D4BA4"/>
    <w:rsid w:val="615F2EAC"/>
    <w:rsid w:val="617050B9"/>
    <w:rsid w:val="61810030"/>
    <w:rsid w:val="618560EB"/>
    <w:rsid w:val="61891CD7"/>
    <w:rsid w:val="619D39D4"/>
    <w:rsid w:val="61A3723C"/>
    <w:rsid w:val="61AB7676"/>
    <w:rsid w:val="61BA4586"/>
    <w:rsid w:val="61D820E5"/>
    <w:rsid w:val="61E00FC6"/>
    <w:rsid w:val="61EE60FA"/>
    <w:rsid w:val="61F335F4"/>
    <w:rsid w:val="61F41846"/>
    <w:rsid w:val="620249BC"/>
    <w:rsid w:val="62045801"/>
    <w:rsid w:val="620D6DAC"/>
    <w:rsid w:val="62204B76"/>
    <w:rsid w:val="622D4D58"/>
    <w:rsid w:val="6242638E"/>
    <w:rsid w:val="626B6509"/>
    <w:rsid w:val="627E6A8C"/>
    <w:rsid w:val="628E1815"/>
    <w:rsid w:val="62A25746"/>
    <w:rsid w:val="62B02BF5"/>
    <w:rsid w:val="62B94F82"/>
    <w:rsid w:val="62C202DE"/>
    <w:rsid w:val="62C21041"/>
    <w:rsid w:val="62C531E2"/>
    <w:rsid w:val="62CC27C3"/>
    <w:rsid w:val="62CC631F"/>
    <w:rsid w:val="62CF5E0F"/>
    <w:rsid w:val="62D0090A"/>
    <w:rsid w:val="62D33F79"/>
    <w:rsid w:val="62D942AA"/>
    <w:rsid w:val="62EA49F7"/>
    <w:rsid w:val="62F92E8C"/>
    <w:rsid w:val="62FE04A2"/>
    <w:rsid w:val="63045B5D"/>
    <w:rsid w:val="630D670F"/>
    <w:rsid w:val="631919A6"/>
    <w:rsid w:val="63226E50"/>
    <w:rsid w:val="63285E94"/>
    <w:rsid w:val="632F68AE"/>
    <w:rsid w:val="63302D52"/>
    <w:rsid w:val="633B719E"/>
    <w:rsid w:val="63612F0B"/>
    <w:rsid w:val="637864A7"/>
    <w:rsid w:val="637F5A87"/>
    <w:rsid w:val="638679E6"/>
    <w:rsid w:val="639E38B6"/>
    <w:rsid w:val="63B374DF"/>
    <w:rsid w:val="63B95549"/>
    <w:rsid w:val="63C82F8A"/>
    <w:rsid w:val="63DB6033"/>
    <w:rsid w:val="63DD455C"/>
    <w:rsid w:val="63F83144"/>
    <w:rsid w:val="63F975E8"/>
    <w:rsid w:val="63FC0E86"/>
    <w:rsid w:val="64012139"/>
    <w:rsid w:val="640512B4"/>
    <w:rsid w:val="640C1C1D"/>
    <w:rsid w:val="64123BE1"/>
    <w:rsid w:val="64151F48"/>
    <w:rsid w:val="64262B64"/>
    <w:rsid w:val="64322AF9"/>
    <w:rsid w:val="64462101"/>
    <w:rsid w:val="6449557A"/>
    <w:rsid w:val="644C3818"/>
    <w:rsid w:val="645B2050"/>
    <w:rsid w:val="646621C4"/>
    <w:rsid w:val="648844C8"/>
    <w:rsid w:val="648D5F82"/>
    <w:rsid w:val="649B244D"/>
    <w:rsid w:val="64A15589"/>
    <w:rsid w:val="64A5151D"/>
    <w:rsid w:val="64B21544"/>
    <w:rsid w:val="64B27796"/>
    <w:rsid w:val="64C24383"/>
    <w:rsid w:val="64C5396E"/>
    <w:rsid w:val="64CA0F84"/>
    <w:rsid w:val="64CF20F6"/>
    <w:rsid w:val="64E8140A"/>
    <w:rsid w:val="64F14763"/>
    <w:rsid w:val="65075D34"/>
    <w:rsid w:val="6524315E"/>
    <w:rsid w:val="65332608"/>
    <w:rsid w:val="653F727C"/>
    <w:rsid w:val="65534AD5"/>
    <w:rsid w:val="655A1441"/>
    <w:rsid w:val="655B1BDC"/>
    <w:rsid w:val="655B7E2E"/>
    <w:rsid w:val="657A6506"/>
    <w:rsid w:val="65877D17"/>
    <w:rsid w:val="659A6BA8"/>
    <w:rsid w:val="65A11CE5"/>
    <w:rsid w:val="65A43583"/>
    <w:rsid w:val="65C73FC8"/>
    <w:rsid w:val="65CE23AE"/>
    <w:rsid w:val="65E22755"/>
    <w:rsid w:val="65ED6CD8"/>
    <w:rsid w:val="65F23616"/>
    <w:rsid w:val="661A55F3"/>
    <w:rsid w:val="661E12D4"/>
    <w:rsid w:val="66236B9E"/>
    <w:rsid w:val="663F15CE"/>
    <w:rsid w:val="665E7BD6"/>
    <w:rsid w:val="66644AC0"/>
    <w:rsid w:val="666479CB"/>
    <w:rsid w:val="667D0CBC"/>
    <w:rsid w:val="66806DB2"/>
    <w:rsid w:val="6692787F"/>
    <w:rsid w:val="66A51361"/>
    <w:rsid w:val="66AD290B"/>
    <w:rsid w:val="66AD46B9"/>
    <w:rsid w:val="66B9305E"/>
    <w:rsid w:val="66C13AC4"/>
    <w:rsid w:val="66C51A03"/>
    <w:rsid w:val="66CA7019"/>
    <w:rsid w:val="66CB3AE0"/>
    <w:rsid w:val="66D460EA"/>
    <w:rsid w:val="66DD6313"/>
    <w:rsid w:val="66E84437"/>
    <w:rsid w:val="66E8749F"/>
    <w:rsid w:val="66FE64A8"/>
    <w:rsid w:val="670448A9"/>
    <w:rsid w:val="67332E10"/>
    <w:rsid w:val="675C2E38"/>
    <w:rsid w:val="6760797E"/>
    <w:rsid w:val="67617776"/>
    <w:rsid w:val="676236F6"/>
    <w:rsid w:val="676E13F9"/>
    <w:rsid w:val="67712ACE"/>
    <w:rsid w:val="67713939"/>
    <w:rsid w:val="67746F85"/>
    <w:rsid w:val="67753429"/>
    <w:rsid w:val="67775C19"/>
    <w:rsid w:val="67900263"/>
    <w:rsid w:val="67982C74"/>
    <w:rsid w:val="67BF46A4"/>
    <w:rsid w:val="67E66203"/>
    <w:rsid w:val="68130C93"/>
    <w:rsid w:val="681A77FC"/>
    <w:rsid w:val="68283C8B"/>
    <w:rsid w:val="68336E40"/>
    <w:rsid w:val="683B6A9B"/>
    <w:rsid w:val="684272BC"/>
    <w:rsid w:val="685017A0"/>
    <w:rsid w:val="685446F2"/>
    <w:rsid w:val="68555008"/>
    <w:rsid w:val="68646FFA"/>
    <w:rsid w:val="686F60CA"/>
    <w:rsid w:val="687F2FD0"/>
    <w:rsid w:val="688B219F"/>
    <w:rsid w:val="689B6598"/>
    <w:rsid w:val="689E0B09"/>
    <w:rsid w:val="68B41D2F"/>
    <w:rsid w:val="68D26659"/>
    <w:rsid w:val="68D56ED4"/>
    <w:rsid w:val="68DE4FFE"/>
    <w:rsid w:val="68E02B24"/>
    <w:rsid w:val="68E5013A"/>
    <w:rsid w:val="68E72104"/>
    <w:rsid w:val="68F37ABE"/>
    <w:rsid w:val="6901615B"/>
    <w:rsid w:val="69085BD7"/>
    <w:rsid w:val="6910451E"/>
    <w:rsid w:val="691C6E3B"/>
    <w:rsid w:val="69366867"/>
    <w:rsid w:val="694F3F0F"/>
    <w:rsid w:val="696A4AE4"/>
    <w:rsid w:val="696C43B8"/>
    <w:rsid w:val="69766FE4"/>
    <w:rsid w:val="698755FD"/>
    <w:rsid w:val="698C3D04"/>
    <w:rsid w:val="699B4C9D"/>
    <w:rsid w:val="69A84119"/>
    <w:rsid w:val="69B47AC5"/>
    <w:rsid w:val="69E00902"/>
    <w:rsid w:val="69E14DA6"/>
    <w:rsid w:val="69F2232B"/>
    <w:rsid w:val="69F756F6"/>
    <w:rsid w:val="6A235682"/>
    <w:rsid w:val="6A4175F2"/>
    <w:rsid w:val="6A633A0D"/>
    <w:rsid w:val="6A7554EE"/>
    <w:rsid w:val="6A7D43A3"/>
    <w:rsid w:val="6A927E4E"/>
    <w:rsid w:val="6A971908"/>
    <w:rsid w:val="6AC124E1"/>
    <w:rsid w:val="6AD466B8"/>
    <w:rsid w:val="6ADC731B"/>
    <w:rsid w:val="6AE54422"/>
    <w:rsid w:val="6AF723A7"/>
    <w:rsid w:val="6B321631"/>
    <w:rsid w:val="6B6317EA"/>
    <w:rsid w:val="6B6C069F"/>
    <w:rsid w:val="6B6E1680"/>
    <w:rsid w:val="6B715851"/>
    <w:rsid w:val="6B737C7F"/>
    <w:rsid w:val="6B7B2FE6"/>
    <w:rsid w:val="6B855C05"/>
    <w:rsid w:val="6B9570A0"/>
    <w:rsid w:val="6BAA566B"/>
    <w:rsid w:val="6BB64010"/>
    <w:rsid w:val="6BC524A5"/>
    <w:rsid w:val="6BF863D7"/>
    <w:rsid w:val="6C011F7E"/>
    <w:rsid w:val="6C1D408F"/>
    <w:rsid w:val="6C254400"/>
    <w:rsid w:val="6C2947E2"/>
    <w:rsid w:val="6C3B62C3"/>
    <w:rsid w:val="6C546284"/>
    <w:rsid w:val="6C5835BD"/>
    <w:rsid w:val="6C691082"/>
    <w:rsid w:val="6C6C1036"/>
    <w:rsid w:val="6C7D4B2E"/>
    <w:rsid w:val="6C9205D9"/>
    <w:rsid w:val="6C97799E"/>
    <w:rsid w:val="6CA20DEF"/>
    <w:rsid w:val="6CC4450B"/>
    <w:rsid w:val="6CC62031"/>
    <w:rsid w:val="6CD57464"/>
    <w:rsid w:val="6CDA788A"/>
    <w:rsid w:val="6CE01F59"/>
    <w:rsid w:val="6CE07597"/>
    <w:rsid w:val="6CED1CB3"/>
    <w:rsid w:val="6D0C5E17"/>
    <w:rsid w:val="6D0D5EB2"/>
    <w:rsid w:val="6D231231"/>
    <w:rsid w:val="6D417909"/>
    <w:rsid w:val="6D5D0BE7"/>
    <w:rsid w:val="6D7E0B5E"/>
    <w:rsid w:val="6DB27330"/>
    <w:rsid w:val="6DB74734"/>
    <w:rsid w:val="6DD503C0"/>
    <w:rsid w:val="6DDB4F06"/>
    <w:rsid w:val="6DDC27CA"/>
    <w:rsid w:val="6DE74955"/>
    <w:rsid w:val="6DEC2A36"/>
    <w:rsid w:val="6DF96979"/>
    <w:rsid w:val="6E0A419F"/>
    <w:rsid w:val="6E0B62EE"/>
    <w:rsid w:val="6E0E5A3E"/>
    <w:rsid w:val="6E26547D"/>
    <w:rsid w:val="6E2E629D"/>
    <w:rsid w:val="6E317473"/>
    <w:rsid w:val="6E366386"/>
    <w:rsid w:val="6E5722FA"/>
    <w:rsid w:val="6E6733A0"/>
    <w:rsid w:val="6E7D5268"/>
    <w:rsid w:val="6E832D8C"/>
    <w:rsid w:val="6E905858"/>
    <w:rsid w:val="6E934195"/>
    <w:rsid w:val="6EA52327"/>
    <w:rsid w:val="6EB00E33"/>
    <w:rsid w:val="6EE964AB"/>
    <w:rsid w:val="6EF849F0"/>
    <w:rsid w:val="6EFE6022"/>
    <w:rsid w:val="6F10538F"/>
    <w:rsid w:val="6F23376B"/>
    <w:rsid w:val="6F437969"/>
    <w:rsid w:val="6F4D4C8B"/>
    <w:rsid w:val="6F5463D0"/>
    <w:rsid w:val="6F5E47A3"/>
    <w:rsid w:val="6F7C598B"/>
    <w:rsid w:val="6F8010EF"/>
    <w:rsid w:val="6F8A5598"/>
    <w:rsid w:val="6F976805"/>
    <w:rsid w:val="6FBF6BF8"/>
    <w:rsid w:val="6FD827A7"/>
    <w:rsid w:val="6FE318ED"/>
    <w:rsid w:val="70017C18"/>
    <w:rsid w:val="70111815"/>
    <w:rsid w:val="70176662"/>
    <w:rsid w:val="702171EC"/>
    <w:rsid w:val="70271038"/>
    <w:rsid w:val="703379DD"/>
    <w:rsid w:val="704936A5"/>
    <w:rsid w:val="705B5186"/>
    <w:rsid w:val="706A52E7"/>
    <w:rsid w:val="707D50FC"/>
    <w:rsid w:val="708C17E3"/>
    <w:rsid w:val="708D69DB"/>
    <w:rsid w:val="70972B53"/>
    <w:rsid w:val="70A22DB5"/>
    <w:rsid w:val="70BC0E22"/>
    <w:rsid w:val="70D311C0"/>
    <w:rsid w:val="70FD6173"/>
    <w:rsid w:val="710F044A"/>
    <w:rsid w:val="71302AFD"/>
    <w:rsid w:val="713A123F"/>
    <w:rsid w:val="715A570D"/>
    <w:rsid w:val="71755DD4"/>
    <w:rsid w:val="719248A9"/>
    <w:rsid w:val="71A1306D"/>
    <w:rsid w:val="71AA1F21"/>
    <w:rsid w:val="71C22866"/>
    <w:rsid w:val="71C33BCF"/>
    <w:rsid w:val="71CA1B8D"/>
    <w:rsid w:val="71D21478"/>
    <w:rsid w:val="71F83A42"/>
    <w:rsid w:val="71F87130"/>
    <w:rsid w:val="720F447A"/>
    <w:rsid w:val="721D26F3"/>
    <w:rsid w:val="72270DF8"/>
    <w:rsid w:val="72394544"/>
    <w:rsid w:val="72444124"/>
    <w:rsid w:val="725A6949"/>
    <w:rsid w:val="725C373A"/>
    <w:rsid w:val="725D51E5"/>
    <w:rsid w:val="727644F9"/>
    <w:rsid w:val="728F12F7"/>
    <w:rsid w:val="729539BC"/>
    <w:rsid w:val="72A03F75"/>
    <w:rsid w:val="72B312A9"/>
    <w:rsid w:val="72B850FB"/>
    <w:rsid w:val="72CB03A1"/>
    <w:rsid w:val="72F5541E"/>
    <w:rsid w:val="73025D8D"/>
    <w:rsid w:val="73165394"/>
    <w:rsid w:val="73355D12"/>
    <w:rsid w:val="73493046"/>
    <w:rsid w:val="7358775B"/>
    <w:rsid w:val="736E51D0"/>
    <w:rsid w:val="73970283"/>
    <w:rsid w:val="739A7D73"/>
    <w:rsid w:val="739C7F8F"/>
    <w:rsid w:val="73A17354"/>
    <w:rsid w:val="73B2330F"/>
    <w:rsid w:val="73B250BD"/>
    <w:rsid w:val="73CA0659"/>
    <w:rsid w:val="73E13BF4"/>
    <w:rsid w:val="73E84F83"/>
    <w:rsid w:val="7400051E"/>
    <w:rsid w:val="740865A7"/>
    <w:rsid w:val="741230BB"/>
    <w:rsid w:val="74143FCA"/>
    <w:rsid w:val="741714DC"/>
    <w:rsid w:val="74281823"/>
    <w:rsid w:val="74432492"/>
    <w:rsid w:val="74476504"/>
    <w:rsid w:val="74510D7A"/>
    <w:rsid w:val="74542618"/>
    <w:rsid w:val="745F6056"/>
    <w:rsid w:val="74650381"/>
    <w:rsid w:val="74747D7C"/>
    <w:rsid w:val="7479207F"/>
    <w:rsid w:val="74961D5A"/>
    <w:rsid w:val="7498736C"/>
    <w:rsid w:val="749D3FBF"/>
    <w:rsid w:val="749E4C10"/>
    <w:rsid w:val="74BB2697"/>
    <w:rsid w:val="74C4779E"/>
    <w:rsid w:val="74CD713E"/>
    <w:rsid w:val="74D01C2F"/>
    <w:rsid w:val="74F51DA9"/>
    <w:rsid w:val="74FD65DB"/>
    <w:rsid w:val="750616C5"/>
    <w:rsid w:val="7512691F"/>
    <w:rsid w:val="752C5111"/>
    <w:rsid w:val="75321D4A"/>
    <w:rsid w:val="753A180E"/>
    <w:rsid w:val="75436EF0"/>
    <w:rsid w:val="754601B3"/>
    <w:rsid w:val="754E6641"/>
    <w:rsid w:val="755A3C5E"/>
    <w:rsid w:val="7564688B"/>
    <w:rsid w:val="75687400"/>
    <w:rsid w:val="75751268"/>
    <w:rsid w:val="7583021F"/>
    <w:rsid w:val="75976EEA"/>
    <w:rsid w:val="759A22AD"/>
    <w:rsid w:val="75B23A9A"/>
    <w:rsid w:val="75BD1F5F"/>
    <w:rsid w:val="75E63744"/>
    <w:rsid w:val="75FA780A"/>
    <w:rsid w:val="762C55FB"/>
    <w:rsid w:val="762D1373"/>
    <w:rsid w:val="763444AF"/>
    <w:rsid w:val="763641D6"/>
    <w:rsid w:val="76403F35"/>
    <w:rsid w:val="76595CC4"/>
    <w:rsid w:val="766C59F7"/>
    <w:rsid w:val="76854D0B"/>
    <w:rsid w:val="768A5645"/>
    <w:rsid w:val="76AA7328"/>
    <w:rsid w:val="76BF021D"/>
    <w:rsid w:val="76C9109B"/>
    <w:rsid w:val="76CA077B"/>
    <w:rsid w:val="76D77202"/>
    <w:rsid w:val="76DC4D0E"/>
    <w:rsid w:val="76DF08BF"/>
    <w:rsid w:val="76EB4D04"/>
    <w:rsid w:val="76F30AB4"/>
    <w:rsid w:val="76F36118"/>
    <w:rsid w:val="77022531"/>
    <w:rsid w:val="77286A7D"/>
    <w:rsid w:val="7729410C"/>
    <w:rsid w:val="77316F6C"/>
    <w:rsid w:val="77334767"/>
    <w:rsid w:val="773806C9"/>
    <w:rsid w:val="774F0B38"/>
    <w:rsid w:val="77512E3F"/>
    <w:rsid w:val="775A4198"/>
    <w:rsid w:val="775E5C88"/>
    <w:rsid w:val="776D3468"/>
    <w:rsid w:val="7770353A"/>
    <w:rsid w:val="7777140E"/>
    <w:rsid w:val="77771465"/>
    <w:rsid w:val="77882D05"/>
    <w:rsid w:val="778D20C9"/>
    <w:rsid w:val="77907953"/>
    <w:rsid w:val="779D6084"/>
    <w:rsid w:val="77B358A8"/>
    <w:rsid w:val="77B40235"/>
    <w:rsid w:val="77BA69B4"/>
    <w:rsid w:val="77BC650A"/>
    <w:rsid w:val="77C35AEB"/>
    <w:rsid w:val="77C41863"/>
    <w:rsid w:val="77CB0E43"/>
    <w:rsid w:val="77D61957"/>
    <w:rsid w:val="77DA2E34"/>
    <w:rsid w:val="77DA4BE2"/>
    <w:rsid w:val="77F250B7"/>
    <w:rsid w:val="78095B41"/>
    <w:rsid w:val="78236589"/>
    <w:rsid w:val="78280044"/>
    <w:rsid w:val="78431316"/>
    <w:rsid w:val="784F3822"/>
    <w:rsid w:val="785E73E8"/>
    <w:rsid w:val="78770683"/>
    <w:rsid w:val="788519ED"/>
    <w:rsid w:val="788E22F0"/>
    <w:rsid w:val="78964663"/>
    <w:rsid w:val="789741D4"/>
    <w:rsid w:val="78A04631"/>
    <w:rsid w:val="78C13634"/>
    <w:rsid w:val="78C86CD9"/>
    <w:rsid w:val="78E139A5"/>
    <w:rsid w:val="78F3642B"/>
    <w:rsid w:val="78FE6A1B"/>
    <w:rsid w:val="791365FE"/>
    <w:rsid w:val="793F6268"/>
    <w:rsid w:val="7973342A"/>
    <w:rsid w:val="797F5A41"/>
    <w:rsid w:val="799F7F8D"/>
    <w:rsid w:val="79A74F98"/>
    <w:rsid w:val="79C62993"/>
    <w:rsid w:val="79D434E2"/>
    <w:rsid w:val="79E262ED"/>
    <w:rsid w:val="79F521A7"/>
    <w:rsid w:val="79F85C83"/>
    <w:rsid w:val="79F9180C"/>
    <w:rsid w:val="7A0379A5"/>
    <w:rsid w:val="7A0422BB"/>
    <w:rsid w:val="7A044199"/>
    <w:rsid w:val="7A130F5D"/>
    <w:rsid w:val="7A141389"/>
    <w:rsid w:val="7A1C017C"/>
    <w:rsid w:val="7A3251AA"/>
    <w:rsid w:val="7A5D64CF"/>
    <w:rsid w:val="7A910122"/>
    <w:rsid w:val="7A993CB5"/>
    <w:rsid w:val="7A9C0875"/>
    <w:rsid w:val="7A9E639B"/>
    <w:rsid w:val="7AA02113"/>
    <w:rsid w:val="7AAD407F"/>
    <w:rsid w:val="7AB20098"/>
    <w:rsid w:val="7ADB58D3"/>
    <w:rsid w:val="7ADB75EF"/>
    <w:rsid w:val="7AEE7323"/>
    <w:rsid w:val="7AFB559C"/>
    <w:rsid w:val="7B061FDE"/>
    <w:rsid w:val="7B091563"/>
    <w:rsid w:val="7B096372"/>
    <w:rsid w:val="7B2F16E9"/>
    <w:rsid w:val="7B3D3B4B"/>
    <w:rsid w:val="7B455924"/>
    <w:rsid w:val="7B4E03F5"/>
    <w:rsid w:val="7B670E83"/>
    <w:rsid w:val="7B6802EF"/>
    <w:rsid w:val="7B825CBD"/>
    <w:rsid w:val="7B845B59"/>
    <w:rsid w:val="7B9621A7"/>
    <w:rsid w:val="7BBA5457"/>
    <w:rsid w:val="7BC03D10"/>
    <w:rsid w:val="7BD77DB7"/>
    <w:rsid w:val="7BE36A1F"/>
    <w:rsid w:val="7BEC1388"/>
    <w:rsid w:val="7BEE5F9D"/>
    <w:rsid w:val="7BFB59C6"/>
    <w:rsid w:val="7C030BAC"/>
    <w:rsid w:val="7C1467FD"/>
    <w:rsid w:val="7C190C71"/>
    <w:rsid w:val="7C2B0102"/>
    <w:rsid w:val="7C5C650E"/>
    <w:rsid w:val="7C611D76"/>
    <w:rsid w:val="7C6D24C9"/>
    <w:rsid w:val="7C727ADF"/>
    <w:rsid w:val="7C811DE5"/>
    <w:rsid w:val="7CA103C5"/>
    <w:rsid w:val="7CB73744"/>
    <w:rsid w:val="7CBC30EB"/>
    <w:rsid w:val="7CC320E9"/>
    <w:rsid w:val="7CF16C56"/>
    <w:rsid w:val="7D016812"/>
    <w:rsid w:val="7D034BDB"/>
    <w:rsid w:val="7D0746CC"/>
    <w:rsid w:val="7D080444"/>
    <w:rsid w:val="7D0C0877"/>
    <w:rsid w:val="7D113436"/>
    <w:rsid w:val="7D2B74AC"/>
    <w:rsid w:val="7D2E685E"/>
    <w:rsid w:val="7D425704"/>
    <w:rsid w:val="7D56740C"/>
    <w:rsid w:val="7D6C7EFD"/>
    <w:rsid w:val="7D782ED3"/>
    <w:rsid w:val="7D8E26F7"/>
    <w:rsid w:val="7D943A85"/>
    <w:rsid w:val="7DA77C5D"/>
    <w:rsid w:val="7DC10D1E"/>
    <w:rsid w:val="7DD96A9D"/>
    <w:rsid w:val="7DF369FE"/>
    <w:rsid w:val="7E0806FB"/>
    <w:rsid w:val="7E467176"/>
    <w:rsid w:val="7E4B3DEC"/>
    <w:rsid w:val="7E682F48"/>
    <w:rsid w:val="7E8B1148"/>
    <w:rsid w:val="7E964EBF"/>
    <w:rsid w:val="7EC46BCF"/>
    <w:rsid w:val="7ED14F91"/>
    <w:rsid w:val="7EDB106E"/>
    <w:rsid w:val="7EDE320A"/>
    <w:rsid w:val="7EE66563"/>
    <w:rsid w:val="7EF47601"/>
    <w:rsid w:val="7EFD64E7"/>
    <w:rsid w:val="7F054C3B"/>
    <w:rsid w:val="7F0D7F93"/>
    <w:rsid w:val="7F1430D0"/>
    <w:rsid w:val="7F1C1F84"/>
    <w:rsid w:val="7F202B0F"/>
    <w:rsid w:val="7F3247DE"/>
    <w:rsid w:val="7F3472CE"/>
    <w:rsid w:val="7F8F7AD3"/>
    <w:rsid w:val="7F930498"/>
    <w:rsid w:val="7F967F89"/>
    <w:rsid w:val="7FAC4FAE"/>
    <w:rsid w:val="7FD60385"/>
    <w:rsid w:val="7FDA7E75"/>
    <w:rsid w:val="7FF56A5D"/>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qFormat="1" w:unhideWhenUsed="0" w:uiPriority="99" w:semiHidden="0" w:name="index 5"/>
    <w:lsdException w:qFormat="1" w:unhideWhenUsed="0" w:uiPriority="0"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99" w:semiHidden="0" w:name="toc 1"/>
    <w:lsdException w:qFormat="1" w:unhideWhenUsed="0" w:uiPriority="99" w:semiHidden="0" w:name="toc 2"/>
    <w:lsdException w:qFormat="1" w:unhideWhenUsed="0" w:uiPriority="0" w:semiHidden="0" w:name="toc 3"/>
    <w:lsdException w:qFormat="1" w:unhideWhenUsed="0" w:uiPriority="3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99" w:semiHidden="0" w:name="Normal Indent"/>
    <w:lsdException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0"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qFormat="1" w:unhideWhenUsed="0" w:uiPriority="0"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qFormat="1"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qFormat="1" w:unhideWhenUsed="0" w:uiPriority="0"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qFormat="1" w:unhideWhenUsed="0" w:uiPriority="0" w:semiHidden="0" w:name="HTML Acronym"/>
    <w:lsdException w:unhideWhenUsed="0" w:uiPriority="99"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56"/>
    <w:autoRedefine/>
    <w:qFormat/>
    <w:uiPriority w:val="99"/>
    <w:pPr>
      <w:keepNext/>
      <w:keepLines/>
      <w:spacing w:line="240" w:lineRule="auto"/>
      <w:jc w:val="center"/>
      <w:outlineLvl w:val="0"/>
    </w:pPr>
    <w:rPr>
      <w:rFonts w:eastAsia="仿宋"/>
      <w:b/>
      <w:bCs/>
      <w:color w:val="000000"/>
      <w:kern w:val="44"/>
      <w:sz w:val="36"/>
      <w:szCs w:val="36"/>
    </w:rPr>
  </w:style>
  <w:style w:type="paragraph" w:styleId="3">
    <w:name w:val="heading 2"/>
    <w:basedOn w:val="1"/>
    <w:next w:val="1"/>
    <w:autoRedefine/>
    <w:qFormat/>
    <w:uiPriority w:val="99"/>
    <w:pPr>
      <w:keepNext/>
      <w:keepLines/>
      <w:spacing w:line="240" w:lineRule="auto"/>
      <w:outlineLvl w:val="1"/>
    </w:pPr>
    <w:rPr>
      <w:rFonts w:ascii="Calibri" w:hAnsi="Calibri" w:cs="Calibri"/>
      <w:b/>
      <w:bCs/>
      <w:sz w:val="32"/>
      <w:szCs w:val="32"/>
    </w:rPr>
  </w:style>
  <w:style w:type="paragraph" w:styleId="4">
    <w:name w:val="heading 3"/>
    <w:basedOn w:val="1"/>
    <w:next w:val="1"/>
    <w:autoRedefine/>
    <w:qFormat/>
    <w:uiPriority w:val="99"/>
    <w:pPr>
      <w:keepNext/>
      <w:keepLines/>
      <w:spacing w:line="400" w:lineRule="atLeast"/>
      <w:jc w:val="center"/>
      <w:outlineLvl w:val="2"/>
    </w:pPr>
    <w:rPr>
      <w:b/>
      <w:bCs/>
      <w:sz w:val="32"/>
      <w:szCs w:val="32"/>
      <w:u w:val="double"/>
    </w:rPr>
  </w:style>
  <w:style w:type="paragraph" w:styleId="5">
    <w:name w:val="heading 4"/>
    <w:basedOn w:val="1"/>
    <w:next w:val="1"/>
    <w:autoRedefine/>
    <w:qFormat/>
    <w:uiPriority w:val="99"/>
    <w:pPr>
      <w:keepNext/>
      <w:keepLines/>
      <w:spacing w:before="280" w:after="290" w:line="376" w:lineRule="atLeast"/>
      <w:outlineLvl w:val="3"/>
    </w:pPr>
    <w:rPr>
      <w:rFonts w:ascii="Calibri" w:hAnsi="Calibri" w:cs="Calibri"/>
      <w:b/>
      <w:bCs/>
    </w:rPr>
  </w:style>
  <w:style w:type="character" w:default="1" w:styleId="31">
    <w:name w:val="Default Paragraph Font"/>
    <w:autoRedefine/>
    <w:unhideWhenUsed/>
    <w:qFormat/>
    <w:uiPriority w:val="1"/>
  </w:style>
  <w:style w:type="table" w:default="1" w:styleId="29">
    <w:name w:val="Normal Table"/>
    <w:autoRedefine/>
    <w:unhideWhenUsed/>
    <w:qFormat/>
    <w:uiPriority w:val="99"/>
    <w:tblPr>
      <w:tblCellMar>
        <w:top w:w="0" w:type="dxa"/>
        <w:left w:w="108" w:type="dxa"/>
        <w:bottom w:w="0" w:type="dxa"/>
        <w:right w:w="108" w:type="dxa"/>
      </w:tblCellMar>
    </w:tblPr>
  </w:style>
  <w:style w:type="paragraph" w:styleId="6">
    <w:name w:val="List Number 2"/>
    <w:basedOn w:val="1"/>
    <w:autoRedefine/>
    <w:qFormat/>
    <w:uiPriority w:val="99"/>
    <w:pPr>
      <w:numPr>
        <w:ilvl w:val="0"/>
        <w:numId w:val="1"/>
      </w:numPr>
    </w:pPr>
  </w:style>
  <w:style w:type="paragraph" w:styleId="7">
    <w:name w:val="Normal Indent"/>
    <w:basedOn w:val="1"/>
    <w:next w:val="1"/>
    <w:autoRedefine/>
    <w:qFormat/>
    <w:uiPriority w:val="99"/>
    <w:pPr>
      <w:ind w:firstLine="420"/>
    </w:pPr>
  </w:style>
  <w:style w:type="paragraph" w:styleId="8">
    <w:name w:val="index 5"/>
    <w:basedOn w:val="1"/>
    <w:next w:val="1"/>
    <w:qFormat/>
    <w:uiPriority w:val="99"/>
    <w:pPr>
      <w:ind w:firstLine="640" w:firstLineChars="200"/>
    </w:pPr>
  </w:style>
  <w:style w:type="paragraph" w:styleId="9">
    <w:name w:val="toa heading"/>
    <w:basedOn w:val="1"/>
    <w:next w:val="1"/>
    <w:autoRedefine/>
    <w:qFormat/>
    <w:uiPriority w:val="0"/>
    <w:pPr>
      <w:spacing w:before="120"/>
    </w:pPr>
    <w:rPr>
      <w:rFonts w:ascii="Arial" w:hAnsi="Arial"/>
      <w:sz w:val="24"/>
    </w:rPr>
  </w:style>
  <w:style w:type="paragraph" w:styleId="10">
    <w:name w:val="annotation text"/>
    <w:basedOn w:val="1"/>
    <w:link w:val="57"/>
    <w:autoRedefine/>
    <w:qFormat/>
    <w:uiPriority w:val="0"/>
    <w:pPr>
      <w:jc w:val="left"/>
    </w:pPr>
  </w:style>
  <w:style w:type="paragraph" w:styleId="11">
    <w:name w:val="index 6"/>
    <w:basedOn w:val="1"/>
    <w:next w:val="1"/>
    <w:autoRedefine/>
    <w:qFormat/>
    <w:uiPriority w:val="0"/>
    <w:pPr>
      <w:ind w:left="1000" w:leftChars="1000"/>
    </w:pPr>
    <w:rPr>
      <w:rFonts w:ascii="Calibri" w:hAnsi="Calibri" w:eastAsia="宋体" w:cs="Times New Roman"/>
    </w:rPr>
  </w:style>
  <w:style w:type="paragraph" w:styleId="12">
    <w:name w:val="Body Text"/>
    <w:basedOn w:val="1"/>
    <w:next w:val="1"/>
    <w:link w:val="55"/>
    <w:autoRedefine/>
    <w:qFormat/>
    <w:uiPriority w:val="99"/>
    <w:pPr>
      <w:spacing w:afterLines="50" w:line="360" w:lineRule="auto"/>
    </w:pPr>
    <w:rPr>
      <w:rFonts w:ascii="宋体" w:hAnsi="宋体" w:cs="宋体"/>
      <w:color w:val="000000"/>
      <w:sz w:val="24"/>
      <w:szCs w:val="24"/>
    </w:rPr>
  </w:style>
  <w:style w:type="paragraph" w:styleId="13">
    <w:name w:val="Body Text Indent"/>
    <w:basedOn w:val="1"/>
    <w:autoRedefine/>
    <w:qFormat/>
    <w:uiPriority w:val="99"/>
    <w:pPr>
      <w:spacing w:after="120"/>
      <w:ind w:left="420" w:leftChars="200"/>
    </w:pPr>
  </w:style>
  <w:style w:type="paragraph" w:styleId="14">
    <w:name w:val="toc 3"/>
    <w:basedOn w:val="1"/>
    <w:next w:val="1"/>
    <w:autoRedefine/>
    <w:qFormat/>
    <w:uiPriority w:val="0"/>
    <w:pPr>
      <w:ind w:left="840" w:leftChars="400"/>
    </w:pPr>
  </w:style>
  <w:style w:type="paragraph" w:styleId="15">
    <w:name w:val="Plain Text"/>
    <w:basedOn w:val="1"/>
    <w:autoRedefine/>
    <w:qFormat/>
    <w:uiPriority w:val="0"/>
    <w:pPr>
      <w:spacing w:line="324" w:lineRule="auto"/>
    </w:pPr>
    <w:rPr>
      <w:rFonts w:ascii="宋体" w:hAnsi="Courier New" w:cs="Courier New"/>
      <w:szCs w:val="21"/>
    </w:rPr>
  </w:style>
  <w:style w:type="paragraph" w:styleId="16">
    <w:name w:val="Balloon Text"/>
    <w:basedOn w:val="1"/>
    <w:link w:val="58"/>
    <w:autoRedefine/>
    <w:qFormat/>
    <w:uiPriority w:val="0"/>
    <w:pPr>
      <w:spacing w:line="240" w:lineRule="auto"/>
    </w:pPr>
    <w:rPr>
      <w:sz w:val="18"/>
      <w:szCs w:val="18"/>
    </w:rPr>
  </w:style>
  <w:style w:type="paragraph" w:styleId="17">
    <w:name w:val="footer"/>
    <w:basedOn w:val="1"/>
    <w:autoRedefine/>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18"/>
    </w:rPr>
  </w:style>
  <w:style w:type="paragraph" w:styleId="18">
    <w:name w:val="header"/>
    <w:basedOn w:val="1"/>
    <w:autoRedefine/>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18"/>
    </w:rPr>
  </w:style>
  <w:style w:type="paragraph" w:styleId="19">
    <w:name w:val="toc 1"/>
    <w:basedOn w:val="1"/>
    <w:next w:val="1"/>
    <w:autoRedefine/>
    <w:qFormat/>
    <w:uiPriority w:val="99"/>
  </w:style>
  <w:style w:type="paragraph" w:styleId="20">
    <w:name w:val="toc 4"/>
    <w:basedOn w:val="1"/>
    <w:next w:val="1"/>
    <w:autoRedefine/>
    <w:qFormat/>
    <w:uiPriority w:val="39"/>
    <w:pPr>
      <w:spacing w:line="240" w:lineRule="auto"/>
      <w:ind w:left="1260" w:leftChars="600"/>
    </w:pPr>
  </w:style>
  <w:style w:type="paragraph" w:styleId="21">
    <w:name w:val="toc 2"/>
    <w:basedOn w:val="1"/>
    <w:next w:val="1"/>
    <w:autoRedefine/>
    <w:qFormat/>
    <w:uiPriority w:val="99"/>
    <w:pPr>
      <w:ind w:left="420" w:leftChars="200"/>
    </w:pPr>
  </w:style>
  <w:style w:type="paragraph" w:styleId="22">
    <w:name w:val="Body Text 2"/>
    <w:basedOn w:val="1"/>
    <w:autoRedefine/>
    <w:qFormat/>
    <w:uiPriority w:val="0"/>
    <w:pPr>
      <w:spacing w:line="360" w:lineRule="auto"/>
    </w:pPr>
    <w:rPr>
      <w:rFonts w:ascii="幼圆" w:eastAsia="幼圆"/>
      <w:u w:val="single"/>
    </w:rPr>
  </w:style>
  <w:style w:type="paragraph" w:styleId="23">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4">
    <w:name w:val="HTML Preformatted"/>
    <w:basedOn w:val="1"/>
    <w:next w:val="1"/>
    <w:autoRedefine/>
    <w:qFormat/>
    <w:uiPriority w:val="99"/>
    <w:pPr>
      <w:jc w:val="left"/>
    </w:pPr>
    <w:rPr>
      <w:rFonts w:ascii="Arial" w:hAnsi="Arial" w:cs="Arial"/>
      <w:kern w:val="0"/>
      <w:sz w:val="24"/>
      <w:szCs w:val="24"/>
    </w:rPr>
  </w:style>
  <w:style w:type="paragraph" w:styleId="25">
    <w:name w:val="Normal (Web)"/>
    <w:basedOn w:val="1"/>
    <w:autoRedefine/>
    <w:qFormat/>
    <w:uiPriority w:val="99"/>
    <w:pPr>
      <w:spacing w:beforeAutospacing="1" w:afterAutospacing="1"/>
      <w:jc w:val="left"/>
    </w:pPr>
    <w:rPr>
      <w:kern w:val="0"/>
      <w:sz w:val="24"/>
      <w:szCs w:val="24"/>
    </w:rPr>
  </w:style>
  <w:style w:type="paragraph" w:styleId="26">
    <w:name w:val="annotation subject"/>
    <w:basedOn w:val="10"/>
    <w:next w:val="10"/>
    <w:link w:val="59"/>
    <w:autoRedefine/>
    <w:qFormat/>
    <w:uiPriority w:val="0"/>
    <w:rPr>
      <w:b/>
      <w:bCs/>
    </w:rPr>
  </w:style>
  <w:style w:type="paragraph" w:styleId="27">
    <w:name w:val="Body Text First Indent"/>
    <w:basedOn w:val="12"/>
    <w:autoRedefine/>
    <w:qFormat/>
    <w:uiPriority w:val="99"/>
    <w:pPr>
      <w:spacing w:line="240" w:lineRule="auto"/>
      <w:ind w:firstLine="420" w:firstLineChars="100"/>
    </w:pPr>
    <w:rPr>
      <w:rFonts w:ascii="Times New Roman" w:hAnsi="Times New Roman" w:cs="Times New Roman"/>
      <w:color w:val="auto"/>
      <w:sz w:val="18"/>
      <w:szCs w:val="18"/>
    </w:rPr>
  </w:style>
  <w:style w:type="paragraph" w:styleId="28">
    <w:name w:val="Body Text First Indent 2"/>
    <w:basedOn w:val="13"/>
    <w:autoRedefine/>
    <w:qFormat/>
    <w:uiPriority w:val="0"/>
    <w:pPr>
      <w:tabs>
        <w:tab w:val="left" w:pos="0"/>
      </w:tabs>
      <w:spacing w:line="240" w:lineRule="auto"/>
      <w:ind w:firstLine="420" w:firstLineChars="200"/>
    </w:pPr>
    <w:rPr>
      <w:rFonts w:eastAsia="楷体_GB2312"/>
      <w:b/>
      <w:szCs w:val="24"/>
    </w:rPr>
  </w:style>
  <w:style w:type="table" w:styleId="30">
    <w:name w:val="Table Grid"/>
    <w:basedOn w:val="29"/>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uiPriority w:val="0"/>
    <w:rPr>
      <w:b/>
      <w:bCs/>
    </w:rPr>
  </w:style>
  <w:style w:type="character" w:styleId="33">
    <w:name w:val="page number"/>
    <w:basedOn w:val="31"/>
    <w:autoRedefine/>
    <w:qFormat/>
    <w:uiPriority w:val="0"/>
  </w:style>
  <w:style w:type="character" w:styleId="34">
    <w:name w:val="FollowedHyperlink"/>
    <w:basedOn w:val="31"/>
    <w:autoRedefine/>
    <w:qFormat/>
    <w:uiPriority w:val="0"/>
    <w:rPr>
      <w:color w:val="800080"/>
      <w:u w:val="none"/>
    </w:rPr>
  </w:style>
  <w:style w:type="character" w:styleId="35">
    <w:name w:val="Emphasis"/>
    <w:autoRedefine/>
    <w:qFormat/>
    <w:uiPriority w:val="0"/>
    <w:rPr>
      <w:i/>
      <w:iCs/>
    </w:rPr>
  </w:style>
  <w:style w:type="character" w:styleId="36">
    <w:name w:val="HTML Definition"/>
    <w:basedOn w:val="31"/>
    <w:autoRedefine/>
    <w:qFormat/>
    <w:uiPriority w:val="0"/>
  </w:style>
  <w:style w:type="character" w:styleId="37">
    <w:name w:val="HTML Typewriter"/>
    <w:basedOn w:val="31"/>
    <w:autoRedefine/>
    <w:qFormat/>
    <w:uiPriority w:val="0"/>
    <w:rPr>
      <w:rFonts w:hint="default" w:ascii="monospace" w:hAnsi="monospace" w:eastAsia="monospace" w:cs="monospace"/>
      <w:sz w:val="20"/>
    </w:rPr>
  </w:style>
  <w:style w:type="character" w:styleId="38">
    <w:name w:val="HTML Acronym"/>
    <w:basedOn w:val="31"/>
    <w:autoRedefine/>
    <w:qFormat/>
    <w:uiPriority w:val="0"/>
  </w:style>
  <w:style w:type="character" w:styleId="39">
    <w:name w:val="HTML Variable"/>
    <w:basedOn w:val="31"/>
    <w:autoRedefine/>
    <w:qFormat/>
    <w:uiPriority w:val="0"/>
  </w:style>
  <w:style w:type="character" w:styleId="40">
    <w:name w:val="Hyperlink"/>
    <w:autoRedefine/>
    <w:qFormat/>
    <w:uiPriority w:val="99"/>
    <w:rPr>
      <w:color w:val="000000"/>
      <w:sz w:val="18"/>
      <w:szCs w:val="18"/>
      <w:u w:val="none"/>
    </w:rPr>
  </w:style>
  <w:style w:type="character" w:styleId="41">
    <w:name w:val="HTML Code"/>
    <w:basedOn w:val="31"/>
    <w:autoRedefine/>
    <w:qFormat/>
    <w:uiPriority w:val="0"/>
    <w:rPr>
      <w:rFonts w:ascii="monospace" w:hAnsi="monospace" w:eastAsia="monospace" w:cs="monospace"/>
      <w:sz w:val="20"/>
    </w:rPr>
  </w:style>
  <w:style w:type="character" w:styleId="42">
    <w:name w:val="annotation reference"/>
    <w:autoRedefine/>
    <w:qFormat/>
    <w:uiPriority w:val="0"/>
    <w:rPr>
      <w:sz w:val="21"/>
      <w:szCs w:val="21"/>
    </w:rPr>
  </w:style>
  <w:style w:type="character" w:styleId="43">
    <w:name w:val="HTML Cite"/>
    <w:basedOn w:val="31"/>
    <w:autoRedefine/>
    <w:qFormat/>
    <w:uiPriority w:val="0"/>
  </w:style>
  <w:style w:type="character" w:styleId="44">
    <w:name w:val="HTML Keyboard"/>
    <w:basedOn w:val="31"/>
    <w:autoRedefine/>
    <w:qFormat/>
    <w:uiPriority w:val="0"/>
    <w:rPr>
      <w:rFonts w:hint="default" w:ascii="monospace" w:hAnsi="monospace" w:eastAsia="monospace" w:cs="monospace"/>
      <w:sz w:val="20"/>
    </w:rPr>
  </w:style>
  <w:style w:type="character" w:styleId="45">
    <w:name w:val="HTML Sample"/>
    <w:basedOn w:val="31"/>
    <w:autoRedefine/>
    <w:qFormat/>
    <w:uiPriority w:val="0"/>
    <w:rPr>
      <w:rFonts w:hint="default" w:ascii="monospace" w:hAnsi="monospace" w:eastAsia="monospace" w:cs="monospace"/>
    </w:rPr>
  </w:style>
  <w:style w:type="paragraph" w:customStyle="1" w:styleId="46">
    <w:name w:val="正文1"/>
    <w:next w:val="1"/>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7">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customStyle="1" w:styleId="48">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
    <w:name w:val="RFI Heading 2nd Level Char"/>
    <w:basedOn w:val="1"/>
    <w:autoRedefine/>
    <w:qFormat/>
    <w:uiPriority w:val="0"/>
    <w:pPr>
      <w:widowControl/>
      <w:spacing w:before="240" w:after="240"/>
      <w:ind w:left="1152" w:hanging="1152"/>
      <w:outlineLvl w:val="1"/>
    </w:pPr>
    <w:rPr>
      <w:rFonts w:ascii="Arial (W1)" w:eastAsia="Times New Roman"/>
      <w:b/>
      <w:color w:val="3366FF"/>
      <w:sz w:val="24"/>
    </w:rPr>
  </w:style>
  <w:style w:type="paragraph" w:customStyle="1" w:styleId="50">
    <w:name w:val="Normal 0.51"/>
    <w:basedOn w:val="1"/>
    <w:autoRedefine/>
    <w:qFormat/>
    <w:uiPriority w:val="0"/>
    <w:pPr>
      <w:widowControl/>
      <w:spacing w:before="180" w:after="120"/>
      <w:ind w:left="720"/>
    </w:pPr>
    <w:rPr>
      <w:rFonts w:ascii="Times New Roman" w:eastAsia="宋体"/>
      <w:sz w:val="24"/>
    </w:rPr>
  </w:style>
  <w:style w:type="paragraph" w:customStyle="1" w:styleId="51">
    <w:name w:val="BodyText1I"/>
    <w:basedOn w:val="52"/>
    <w:autoRedefine/>
    <w:qFormat/>
    <w:uiPriority w:val="0"/>
    <w:pPr>
      <w:widowControl/>
      <w:spacing w:line="240" w:lineRule="auto"/>
      <w:ind w:firstLine="420" w:firstLineChars="100"/>
      <w:jc w:val="both"/>
    </w:pPr>
    <w:rPr>
      <w:rFonts w:ascii="Times New Roman" w:hAnsi="Times New Roman" w:eastAsia="华文仿宋"/>
      <w:color w:val="000000"/>
      <w:kern w:val="2"/>
      <w:sz w:val="18"/>
      <w:szCs w:val="18"/>
      <w:lang w:val="en-US" w:eastAsia="zh-CN" w:bidi="ar-SA"/>
    </w:rPr>
  </w:style>
  <w:style w:type="paragraph" w:customStyle="1" w:styleId="52">
    <w:name w:val="BodyText"/>
    <w:basedOn w:val="1"/>
    <w:autoRedefine/>
    <w:qFormat/>
    <w:uiPriority w:val="0"/>
    <w:pPr>
      <w:spacing w:after="156" w:line="360" w:lineRule="auto"/>
    </w:pPr>
    <w:rPr>
      <w:rFonts w:ascii="宋体" w:hAnsi="宋体"/>
      <w:color w:val="000000"/>
      <w:sz w:val="24"/>
    </w:rPr>
  </w:style>
  <w:style w:type="paragraph" w:customStyle="1" w:styleId="53">
    <w:name w:val="BodyText1I2"/>
    <w:basedOn w:val="54"/>
    <w:autoRedefine/>
    <w:qFormat/>
    <w:uiPriority w:val="0"/>
    <w:pPr>
      <w:widowControl/>
      <w:tabs>
        <w:tab w:val="left" w:pos="0"/>
      </w:tabs>
      <w:spacing w:after="120" w:line="240" w:lineRule="auto"/>
      <w:ind w:left="420" w:leftChars="200" w:firstLine="420" w:firstLineChars="200"/>
      <w:jc w:val="both"/>
    </w:pPr>
    <w:rPr>
      <w:rFonts w:eastAsia="楷体_GB2312"/>
      <w:b/>
      <w:szCs w:val="24"/>
    </w:rPr>
  </w:style>
  <w:style w:type="paragraph" w:customStyle="1" w:styleId="54">
    <w:name w:val="BodyTextIndent"/>
    <w:basedOn w:val="1"/>
    <w:autoRedefine/>
    <w:qFormat/>
    <w:uiPriority w:val="0"/>
    <w:pPr>
      <w:widowControl/>
      <w:spacing w:after="120" w:line="400" w:lineRule="exact"/>
      <w:ind w:left="420" w:leftChars="200"/>
      <w:jc w:val="both"/>
    </w:pPr>
  </w:style>
  <w:style w:type="character" w:customStyle="1" w:styleId="55">
    <w:name w:val="正文文本 Char"/>
    <w:link w:val="12"/>
    <w:autoRedefine/>
    <w:qFormat/>
    <w:uiPriority w:val="99"/>
    <w:rPr>
      <w:rFonts w:ascii="宋体" w:hAnsi="宋体" w:eastAsia="华文仿宋" w:cs="宋体"/>
      <w:color w:val="000000"/>
      <w:kern w:val="2"/>
      <w:sz w:val="24"/>
      <w:szCs w:val="24"/>
    </w:rPr>
  </w:style>
  <w:style w:type="character" w:customStyle="1" w:styleId="56">
    <w:name w:val="标题 1 Char"/>
    <w:link w:val="2"/>
    <w:autoRedefine/>
    <w:qFormat/>
    <w:uiPriority w:val="9"/>
    <w:rPr>
      <w:rFonts w:eastAsia="仿宋"/>
      <w:b/>
      <w:bCs/>
      <w:color w:val="000000"/>
      <w:kern w:val="44"/>
      <w:sz w:val="36"/>
      <w:szCs w:val="36"/>
    </w:rPr>
  </w:style>
  <w:style w:type="character" w:customStyle="1" w:styleId="57">
    <w:name w:val="批注文字 Char"/>
    <w:link w:val="10"/>
    <w:autoRedefine/>
    <w:qFormat/>
    <w:uiPriority w:val="0"/>
    <w:rPr>
      <w:rFonts w:ascii="Calibri Light" w:hAnsi="Calibri Light" w:eastAsia="华文仿宋" w:cs="Calibri Light"/>
      <w:kern w:val="2"/>
      <w:sz w:val="28"/>
      <w:szCs w:val="28"/>
    </w:rPr>
  </w:style>
  <w:style w:type="character" w:customStyle="1" w:styleId="58">
    <w:name w:val="批注框文本 Char"/>
    <w:link w:val="16"/>
    <w:autoRedefine/>
    <w:qFormat/>
    <w:uiPriority w:val="0"/>
    <w:rPr>
      <w:rFonts w:ascii="Calibri Light" w:hAnsi="Calibri Light" w:eastAsia="华文仿宋" w:cs="Calibri Light"/>
      <w:kern w:val="2"/>
      <w:sz w:val="18"/>
      <w:szCs w:val="18"/>
    </w:rPr>
  </w:style>
  <w:style w:type="character" w:customStyle="1" w:styleId="59">
    <w:name w:val="批注主题 Char"/>
    <w:link w:val="26"/>
    <w:autoRedefine/>
    <w:qFormat/>
    <w:uiPriority w:val="0"/>
  </w:style>
  <w:style w:type="paragraph" w:customStyle="1" w:styleId="60">
    <w:name w:val="正文（缩进 2 字符）"/>
    <w:basedOn w:val="1"/>
    <w:autoRedefine/>
    <w:qFormat/>
    <w:uiPriority w:val="99"/>
    <w:pPr>
      <w:ind w:firstLine="200" w:firstLineChars="200"/>
    </w:pPr>
  </w:style>
  <w:style w:type="paragraph" w:customStyle="1" w:styleId="61">
    <w:name w:val="正文（缩进 4 字符）"/>
    <w:basedOn w:val="1"/>
    <w:autoRedefine/>
    <w:qFormat/>
    <w:uiPriority w:val="99"/>
    <w:pPr>
      <w:ind w:firstLine="1134" w:firstLineChars="400"/>
    </w:pPr>
  </w:style>
  <w:style w:type="paragraph" w:customStyle="1" w:styleId="62">
    <w:name w:val="标题 2（投标文件）"/>
    <w:basedOn w:val="3"/>
    <w:autoRedefine/>
    <w:qFormat/>
    <w:uiPriority w:val="99"/>
    <w:pPr>
      <w:jc w:val="center"/>
    </w:pPr>
  </w:style>
  <w:style w:type="paragraph" w:customStyle="1" w:styleId="63">
    <w:name w:val="标题 3（投标文件）"/>
    <w:basedOn w:val="4"/>
    <w:autoRedefine/>
    <w:qFormat/>
    <w:uiPriority w:val="99"/>
    <w:pPr>
      <w:jc w:val="left"/>
    </w:pPr>
    <w:rPr>
      <w:u w:val="none"/>
    </w:rPr>
  </w:style>
  <w:style w:type="paragraph" w:customStyle="1" w:styleId="64">
    <w:name w:val="正文文本 31"/>
    <w:basedOn w:val="1"/>
    <w:autoRedefine/>
    <w:qFormat/>
    <w:uiPriority w:val="0"/>
    <w:rPr>
      <w:sz w:val="16"/>
      <w:szCs w:val="16"/>
    </w:rPr>
  </w:style>
  <w:style w:type="paragraph" w:customStyle="1" w:styleId="65">
    <w:name w:val="Default"/>
    <w:autoRedefine/>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6">
    <w:name w:val="Table Paragraph"/>
    <w:basedOn w:val="1"/>
    <w:autoRedefine/>
    <w:qFormat/>
    <w:uiPriority w:val="99"/>
    <w:pPr>
      <w:autoSpaceDE w:val="0"/>
      <w:autoSpaceDN w:val="0"/>
      <w:jc w:val="left"/>
    </w:pPr>
    <w:rPr>
      <w:rFonts w:ascii="宋体" w:hAnsi="宋体" w:cs="宋体"/>
      <w:kern w:val="0"/>
      <w:sz w:val="22"/>
      <w:szCs w:val="22"/>
      <w:lang w:eastAsia="en-US"/>
    </w:rPr>
  </w:style>
  <w:style w:type="paragraph" w:customStyle="1" w:styleId="67">
    <w:name w:val="列出段落1"/>
    <w:basedOn w:val="1"/>
    <w:autoRedefine/>
    <w:qFormat/>
    <w:uiPriority w:val="34"/>
    <w:pPr>
      <w:ind w:firstLine="420" w:firstLineChars="200"/>
    </w:pPr>
    <w:rPr>
      <w:rFonts w:ascii="Times New Roman" w:hAnsi="Times New Roman"/>
    </w:rPr>
  </w:style>
  <w:style w:type="paragraph" w:customStyle="1" w:styleId="68">
    <w:name w:val="标题 5（有编号）（绿盟科技）"/>
    <w:basedOn w:val="1"/>
    <w:autoRedefine/>
    <w:qFormat/>
    <w:uiPriority w:val="0"/>
    <w:pPr>
      <w:keepNext/>
      <w:keepLines/>
      <w:numPr>
        <w:ilvl w:val="4"/>
        <w:numId w:val="2"/>
      </w:numPr>
      <w:tabs>
        <w:tab w:val="left" w:pos="0"/>
      </w:tabs>
      <w:spacing w:before="280" w:after="156" w:line="377" w:lineRule="auto"/>
      <w:outlineLvl w:val="4"/>
    </w:pPr>
    <w:rPr>
      <w:rFonts w:ascii="Arial" w:hAnsi="Arial" w:eastAsia="黑体"/>
      <w:b/>
      <w:kern w:val="0"/>
    </w:rPr>
  </w:style>
  <w:style w:type="paragraph" w:customStyle="1" w:styleId="69">
    <w:name w:val="样式4"/>
    <w:basedOn w:val="1"/>
    <w:autoRedefine/>
    <w:qFormat/>
    <w:uiPriority w:val="0"/>
    <w:pPr>
      <w:widowControl w:val="0"/>
      <w:autoSpaceDE w:val="0"/>
      <w:autoSpaceDN w:val="0"/>
      <w:spacing w:line="360" w:lineRule="auto"/>
      <w:ind w:firstLine="480" w:firstLineChars="200"/>
    </w:pPr>
    <w:rPr>
      <w:rFonts w:hint="eastAsia" w:ascii="宋体" w:hAnsi="宋体" w:eastAsia="等线" w:cs="Times New Roman"/>
      <w:color w:val="000000"/>
      <w:kern w:val="0"/>
      <w:sz w:val="24"/>
      <w:szCs w:val="24"/>
    </w:rPr>
  </w:style>
  <w:style w:type="paragraph" w:styleId="70">
    <w:name w:val="List Paragraph"/>
    <w:basedOn w:val="1"/>
    <w:autoRedefine/>
    <w:qFormat/>
    <w:uiPriority w:val="34"/>
    <w:pPr>
      <w:ind w:firstLine="420" w:firstLineChars="200"/>
    </w:pPr>
    <w:rPr>
      <w:szCs w:val="22"/>
    </w:rPr>
  </w:style>
  <w:style w:type="paragraph" w:customStyle="1" w:styleId="71">
    <w:name w:val="正文首行缩进两字符"/>
    <w:basedOn w:val="1"/>
    <w:autoRedefine/>
    <w:qFormat/>
    <w:uiPriority w:val="0"/>
    <w:pPr>
      <w:spacing w:line="360" w:lineRule="auto"/>
      <w:ind w:firstLine="200" w:firstLineChars="200"/>
    </w:pPr>
    <w:rPr>
      <w:rFonts w:cs="Times New Roman"/>
      <w:kern w:val="0"/>
      <w:sz w:val="24"/>
      <w:szCs w:val="20"/>
    </w:rPr>
  </w:style>
  <w:style w:type="character" w:customStyle="1" w:styleId="72">
    <w:name w:val="NormalCharacter"/>
    <w:autoRedefine/>
    <w:qFormat/>
    <w:uiPriority w:val="0"/>
    <w:rPr>
      <w:rFonts w:ascii="Calibri Light" w:hAnsi="Calibri Light" w:eastAsia="华文仿宋" w:cs="Calibri Light"/>
      <w:kern w:val="2"/>
      <w:sz w:val="28"/>
      <w:szCs w:val="28"/>
      <w:lang w:val="en-US" w:eastAsia="zh-CN" w:bidi="ar-SA"/>
    </w:rPr>
  </w:style>
  <w:style w:type="table" w:customStyle="1" w:styleId="73">
    <w:name w:val="Table Normal"/>
    <w:autoRedefine/>
    <w:unhideWhenUsed/>
    <w:qFormat/>
    <w:uiPriority w:val="0"/>
    <w:rPr>
      <w:lang w:val="en-US" w:eastAsia="zh-CN" w:bidi="ar-SA"/>
    </w:rPr>
    <w:tblPr>
      <w:tblCellMar>
        <w:top w:w="0" w:type="dxa"/>
        <w:left w:w="0" w:type="dxa"/>
        <w:bottom w:w="0" w:type="dxa"/>
        <w:right w:w="0" w:type="dxa"/>
      </w:tblCellMar>
    </w:tblPr>
  </w:style>
  <w:style w:type="paragraph" w:customStyle="1" w:styleId="74">
    <w:name w:val="msonormalcxspmiddle"/>
    <w:basedOn w:val="1"/>
    <w:autoRedefine/>
    <w:qFormat/>
    <w:uiPriority w:val="0"/>
    <w:pPr>
      <w:spacing w:before="100" w:beforeAutospacing="1" w:after="100" w:afterAutospacing="1"/>
      <w:jc w:val="left"/>
    </w:pPr>
    <w:rPr>
      <w:rFonts w:ascii="Times New Roman" w:hAnsi="Times New Roman"/>
      <w:sz w:val="24"/>
    </w:rPr>
  </w:style>
  <w:style w:type="paragraph" w:customStyle="1" w:styleId="75">
    <w:name w:val="p0"/>
    <w:basedOn w:val="1"/>
    <w:autoRedefine/>
    <w:qFormat/>
    <w:uiPriority w:val="0"/>
    <w:pPr>
      <w:widowControl/>
      <w:spacing w:line="240" w:lineRule="auto"/>
    </w:pPr>
    <w:rPr>
      <w:kern w:val="0"/>
      <w:szCs w:val="21"/>
    </w:rPr>
  </w:style>
  <w:style w:type="character" w:customStyle="1" w:styleId="76">
    <w:name w:val="input1"/>
    <w:basedOn w:val="31"/>
    <w:autoRedefine/>
    <w:qFormat/>
    <w:uiPriority w:val="0"/>
    <w:rPr>
      <w:color w:val="000000"/>
      <w:sz w:val="21"/>
      <w:szCs w:val="21"/>
      <w:bdr w:val="single" w:color="000000" w:sz="2" w:space="0"/>
      <w:shd w:val="clear" w:fill="F7F2B0"/>
    </w:rPr>
  </w:style>
  <w:style w:type="character" w:customStyle="1" w:styleId="77">
    <w:name w:val="wdate1"/>
    <w:basedOn w:val="31"/>
    <w:autoRedefine/>
    <w:qFormat/>
    <w:uiPriority w:val="0"/>
    <w:rPr>
      <w:shd w:val="clear" w:fill="F7F2B0"/>
    </w:rPr>
  </w:style>
  <w:style w:type="paragraph" w:customStyle="1" w:styleId="78">
    <w:name w:val="Table Text"/>
    <w:autoRedefine/>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 w:type="paragraph" w:customStyle="1" w:styleId="79">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80">
    <w:name w:val="样式1"/>
    <w:basedOn w:val="1"/>
    <w:qFormat/>
    <w:uiPriority w:val="99"/>
    <w:pPr>
      <w:adjustRightInd w:val="0"/>
      <w:textAlignment w:val="baseline"/>
    </w:pPr>
    <w:rPr>
      <w:rFonts w:ascii="宋体" w:hAnsi="宋体"/>
      <w:kern w:val="0"/>
      <w:szCs w:val="21"/>
    </w:rPr>
  </w:style>
  <w:style w:type="character" w:customStyle="1" w:styleId="81">
    <w:name w:val="font11"/>
    <w:qFormat/>
    <w:uiPriority w:val="0"/>
    <w:rPr>
      <w:rFonts w:hint="eastAsia" w:ascii="宋体" w:hAnsi="宋体" w:eastAsia="宋体" w:cs="宋体"/>
      <w:color w:val="000000"/>
      <w:sz w:val="20"/>
      <w:szCs w:val="20"/>
      <w:u w:val="none"/>
    </w:rPr>
  </w:style>
  <w:style w:type="character" w:customStyle="1" w:styleId="82">
    <w:name w:val="font31"/>
    <w:qFormat/>
    <w:uiPriority w:val="0"/>
    <w:rPr>
      <w:rFonts w:hint="eastAsia" w:ascii="宋体" w:hAnsi="宋体" w:eastAsia="宋体" w:cs="宋体"/>
      <w:color w:val="000000"/>
      <w:sz w:val="20"/>
      <w:szCs w:val="20"/>
      <w:u w:val="single"/>
    </w:rPr>
  </w:style>
  <w:style w:type="character" w:customStyle="1" w:styleId="83">
    <w:name w:val="font21"/>
    <w:qFormat/>
    <w:uiPriority w:val="0"/>
    <w:rPr>
      <w:rFonts w:hint="eastAsia" w:ascii="宋体" w:hAnsi="宋体" w:eastAsia="宋体" w:cs="宋体"/>
      <w:b/>
      <w:bCs/>
      <w:color w:val="000000"/>
      <w:sz w:val="36"/>
      <w:szCs w:val="36"/>
      <w:u w:val="none"/>
    </w:rPr>
  </w:style>
  <w:style w:type="character" w:customStyle="1" w:styleId="84">
    <w:name w:val="font51"/>
    <w:qFormat/>
    <w:uiPriority w:val="0"/>
    <w:rPr>
      <w:rFonts w:hint="eastAsia" w:ascii="宋体" w:hAnsi="宋体" w:eastAsia="宋体" w:cs="宋体"/>
      <w:b/>
      <w:bCs/>
      <w:color w:val="000000"/>
      <w:sz w:val="36"/>
      <w:szCs w:val="36"/>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71</Pages>
  <Words>279</Words>
  <Characters>293</Characters>
  <Lines>288</Lines>
  <Paragraphs>81</Paragraphs>
  <TotalTime>19</TotalTime>
  <ScaleCrop>false</ScaleCrop>
  <LinksUpToDate>false</LinksUpToDate>
  <CharactersWithSpaces>317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2022-11-01T07:08:00Z</dcterms:created>
  <dc:creator>一颗糖豆</dc:creator>
  <cp:lastModifiedBy>祈如初</cp:lastModifiedBy>
  <cp:lastPrinted>2026-09-23T08:43:01Z</cp:lastPrinted>
  <dcterms:modified xsi:type="dcterms:W3CDTF">2026-09-23T08:45:04Z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6E2408CF2719487E96CCF923AEE98C07_13</vt:lpwstr>
  </property>
  <property fmtid="{D5CDD505-2E9C-101B-9397-08002B2CF9AE}" pid="4" name="KSOTemplateDocerSaveRecord">
    <vt:lpwstr>eyJoZGlkIjoiNmRmMDE3MjZkNzUzM2NhYTc5YjY5Y2Q5MjlhZTkyNGQiLCJ1c2VySWQiOiIxNzMyNTM1MjczIn0=</vt:lpwstr>
  </property>
</Properties>
</file>