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版本号：JXZB2026-02920260731001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中央专项彩票公益金支持革命老区乡村振兴项目(陕西省宜君县“彭祖药谷、红韵康养”乡村振兴项目)初步设计及施工图设计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JXZB2026-029</w:t>
      </w:r>
      <w:r>
        <w:br/>
      </w:r>
      <w:r>
        <w:br/>
      </w:r>
      <w:r>
        <w:br/>
      </w:r>
    </w:p>
    <w:p>
      <w:pPr>
        <w:pStyle w:val="null3"/>
        <w:jc w:val="center"/>
        <w:outlineLvl w:val="2"/>
      </w:pPr>
      <w:r>
        <w:rPr>
          <w:rFonts w:ascii="仿宋_GB2312" w:hAnsi="仿宋_GB2312" w:cs="仿宋_GB2312" w:eastAsia="仿宋_GB2312"/>
          <w:sz w:val="28"/>
          <w:b/>
        </w:rPr>
        <w:t>宜君县农业农村局</w:t>
      </w:r>
    </w:p>
    <w:p>
      <w:pPr>
        <w:pStyle w:val="null3"/>
        <w:jc w:val="center"/>
        <w:outlineLvl w:val="2"/>
      </w:pPr>
      <w:r>
        <w:rPr>
          <w:rFonts w:ascii="仿宋_GB2312" w:hAnsi="仿宋_GB2312" w:cs="仿宋_GB2312" w:eastAsia="仿宋_GB2312"/>
          <w:sz w:val="28"/>
          <w:b/>
        </w:rPr>
        <w:t>嘉翔项目管理有限公司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嘉翔项目管理有限公司</w:t>
      </w:r>
      <w:r>
        <w:rPr>
          <w:rFonts w:ascii="仿宋_GB2312" w:hAnsi="仿宋_GB2312" w:cs="仿宋_GB2312" w:eastAsia="仿宋_GB2312"/>
        </w:rPr>
        <w:t>（以下简称“代理机构”）受</w:t>
      </w:r>
      <w:r>
        <w:rPr>
          <w:rFonts w:ascii="仿宋_GB2312" w:hAnsi="仿宋_GB2312" w:cs="仿宋_GB2312" w:eastAsia="仿宋_GB2312"/>
        </w:rPr>
        <w:t>宜君县农业农村局</w:t>
      </w:r>
      <w:r>
        <w:rPr>
          <w:rFonts w:ascii="仿宋_GB2312" w:hAnsi="仿宋_GB2312" w:cs="仿宋_GB2312" w:eastAsia="仿宋_GB2312"/>
        </w:rPr>
        <w:t>委托，拟对</w:t>
      </w:r>
      <w:r>
        <w:rPr>
          <w:rFonts w:ascii="仿宋_GB2312" w:hAnsi="仿宋_GB2312" w:cs="仿宋_GB2312" w:eastAsia="仿宋_GB2312"/>
        </w:rPr>
        <w:t>中央专项彩票公益金支持革命老区乡村振兴项目(陕西省宜君县“彭祖药谷、红韵康养”乡村振兴项目)初步设计及施工图设计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JXZB2026-029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中央专项彩票公益金支持革命老区乡村振兴项目(陕西省宜君县“彭祖药谷、红韵康养”乡村振兴项目)初步设计及施工图设计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本项目为实施县域内中央专项彩票公益金支持革命老区乡村振兴项目。包括厂房、红色宜君展馆、村居环境治理、食用菌基地、食用菌烘干厂房、食用菌冷库等初步设计及施工图设计。</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采购包1（中央专项彩票公益金支持革命老区乡村振兴项目（陕西省宜君县“彭祖药谷、红韵康养”乡村振兴项目）初步设计及施工图设计）：属于专门面向中小企业采购。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事业单位法人证书等国家规定的相关证明，自然人参与的提供其身份证明：供应商为具有独立承担民事责任能力的法人、其他组织或自然人。企业法人应提供合法有效的标识有统一社会信用代码的营业执照；事业法人应提供事业单位法人证书；其他组织应提供合法登记证明文件；自然人应提供身份证；</w:t>
      </w:r>
    </w:p>
    <w:p>
      <w:pPr>
        <w:pStyle w:val="null3"/>
      </w:pPr>
      <w:r>
        <w:rPr>
          <w:rFonts w:ascii="仿宋_GB2312" w:hAnsi="仿宋_GB2312" w:cs="仿宋_GB2312" w:eastAsia="仿宋_GB2312"/>
        </w:rPr>
        <w:t>2、供应商资质要求：供应商具备工程设计综合资质甲级，或同时具备①工程设计建筑行业乙级及以上或工程设计建筑行业（建筑工程）专业乙级及以上资质。及② 工程设计市政行业乙级及以上或工程设计市政行业(燃气工程、轨道交通工程除外)乙级及以上资质或工程设计市政行业（道路工程、排水工程）专业乙级及以上资质。及③工程设计农林行业（农业工程）乙级及以上或工程设计农林行业（农业工程（农业综合开发生态工程））专业乙级及以上资质；</w:t>
      </w:r>
    </w:p>
    <w:p>
      <w:pPr>
        <w:pStyle w:val="null3"/>
      </w:pPr>
      <w:r>
        <w:rPr>
          <w:rFonts w:ascii="仿宋_GB2312" w:hAnsi="仿宋_GB2312" w:cs="仿宋_GB2312" w:eastAsia="仿宋_GB2312"/>
        </w:rPr>
        <w:t>3、项目负责人：拟派项目负责人具备一级注册建筑师执业资格且具备建筑（市政或农业）类相关专业中级及以上职称；</w:t>
      </w:r>
    </w:p>
    <w:p>
      <w:pPr>
        <w:pStyle w:val="null3"/>
      </w:pPr>
      <w:r>
        <w:rPr>
          <w:rFonts w:ascii="仿宋_GB2312" w:hAnsi="仿宋_GB2312" w:cs="仿宋_GB2312" w:eastAsia="仿宋_GB2312"/>
        </w:rPr>
        <w:t>4、财务状况报表：提供2024年度或2025年度经审计的财务报告，或提交自2026年01月01日以来其基本开户银行出具的资信证明及基本存款账户信息，或信用担保机构出具的投标担保函（以上三种形式的资料提供任何一种即可）；其他组织和自然人提供银行出具的资信证明或财务报表；</w:t>
      </w:r>
    </w:p>
    <w:p>
      <w:pPr>
        <w:pStyle w:val="null3"/>
      </w:pPr>
      <w:r>
        <w:rPr>
          <w:rFonts w:ascii="仿宋_GB2312" w:hAnsi="仿宋_GB2312" w:cs="仿宋_GB2312" w:eastAsia="仿宋_GB2312"/>
        </w:rPr>
        <w:t>5、完税证明：提供供应商2026年至今任意一个月已缴纳的完税凭证或税务机关开具的完税证明（任意税种），依法免税的单位应提供相关证明材料；</w:t>
      </w:r>
    </w:p>
    <w:p>
      <w:pPr>
        <w:pStyle w:val="null3"/>
      </w:pPr>
      <w:r>
        <w:rPr>
          <w:rFonts w:ascii="仿宋_GB2312" w:hAnsi="仿宋_GB2312" w:cs="仿宋_GB2312" w:eastAsia="仿宋_GB2312"/>
        </w:rPr>
        <w:t>6、社保证明：提供供应商2026年至今任意一个月的社会保障资金缴存单据或社保机构开具的社会保险参保缴费情况证明。依法不需要缴纳社会保障资金的供应商应提供相关证明文件；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7、声明函：提供具有履行本合同所必需的设备和专业技术能力的声明；</w:t>
      </w:r>
    </w:p>
    <w:p>
      <w:pPr>
        <w:pStyle w:val="null3"/>
      </w:pPr>
      <w:r>
        <w:rPr>
          <w:rFonts w:ascii="仿宋_GB2312" w:hAnsi="仿宋_GB2312" w:cs="仿宋_GB2312" w:eastAsia="仿宋_GB2312"/>
        </w:rPr>
        <w:t>8、声明函：出具参加政府采购活动前3年内在经营活动中没有重大违法记录的书面声明；</w:t>
      </w:r>
    </w:p>
    <w:p>
      <w:pPr>
        <w:pStyle w:val="null3"/>
      </w:pPr>
      <w:r>
        <w:rPr>
          <w:rFonts w:ascii="仿宋_GB2312" w:hAnsi="仿宋_GB2312" w:cs="仿宋_GB2312" w:eastAsia="仿宋_GB2312"/>
        </w:rPr>
        <w:t>9、法定代表人授权书及被授权人身份证：法定代表人授权书及被授权人身份证(法定代表人直接参加投标，须提交其身份证复印件及法定代表人身份证明)；</w:t>
      </w:r>
    </w:p>
    <w:p>
      <w:pPr>
        <w:pStyle w:val="null3"/>
      </w:pPr>
      <w:r>
        <w:rPr>
          <w:rFonts w:ascii="仿宋_GB2312" w:hAnsi="仿宋_GB2312" w:cs="仿宋_GB2312" w:eastAsia="仿宋_GB2312"/>
        </w:rPr>
        <w:t>10、信用截图：供应商不得为“信用中国”网站(www.creditchina.gov.cn)中列入重大税收违法失信主体、供应商不得为中国执行信息公开网（http://zxgk.court.gov.cn/shixin/）中列入失信被执行人名单、不得为“中国政府采购网”（www.ccgp.gov.cn）政府采购严重违法失信行为记录名单中被财政部门禁止参加政府采购活动的供应商（处罚期限届满的除外，如相关失信记录已失效，供应商需提供相关证明资料）；</w:t>
      </w:r>
    </w:p>
    <w:p>
      <w:pPr>
        <w:pStyle w:val="null3"/>
      </w:pPr>
      <w:r>
        <w:rPr>
          <w:rFonts w:ascii="仿宋_GB2312" w:hAnsi="仿宋_GB2312" w:cs="仿宋_GB2312" w:eastAsia="仿宋_GB2312"/>
        </w:rPr>
        <w:t>11、联合体投标及控股关系说明：本项目不接受联合体投标，单位负责人为同一人或者存在控股、管理关系的不同单位不得同时参加。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宜君县农业农村局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陕西省铜川市宜君县宜阳北街28号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周林轩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19282930716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嘉翔项目管理有限公司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西安曲江新区雁南五路曲江影视大厦19层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田凯</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029-85495286转8009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宜君县政府采购管理股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蔡富春</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0919-5996058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采购包1：690,000.00元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国家计委关于印发《招标代理服务收费管理暂行办法》的通知（计价格[2002]1980号）、国家发展改革委《关于降低部分建设项目收费标准规范收费行为等有关问题的通知》（发改价格[2011]534号）”规定收费标准收取。结算时以项目成交价为基数，按照合同签订收取比例计算招标代理服务费。 招标代理服务费收款账户信息：招标代理机构开户名称：嘉翔项目管理有限公司 开户行名称：中国建设银行股份有限公司西安汇轩路支行 账号：61050172370000000288 转账附言：JXZB2026-029代理服务费 注：中标人支付招标代理服务费后，请将转账凭证、单位开票信息、发票收件人地址信息发至3363927373@qq.com，如有疑问，可致电029-85495286 转 8009</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宜君县农业农村局</w:t>
      </w:r>
      <w:r>
        <w:rPr>
          <w:rFonts w:ascii="仿宋_GB2312" w:hAnsi="仿宋_GB2312" w:cs="仿宋_GB2312" w:eastAsia="仿宋_GB2312"/>
        </w:rPr>
        <w:t>和</w:t>
      </w:r>
      <w:r>
        <w:rPr>
          <w:rFonts w:ascii="仿宋_GB2312" w:hAnsi="仿宋_GB2312" w:cs="仿宋_GB2312" w:eastAsia="仿宋_GB2312"/>
        </w:rPr>
        <w:t>嘉翔项目管理有限公司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宜君县农业农村局</w:t>
      </w:r>
      <w:r>
        <w:rPr>
          <w:rFonts w:ascii="仿宋_GB2312" w:hAnsi="仿宋_GB2312" w:cs="仿宋_GB2312" w:eastAsia="仿宋_GB2312"/>
        </w:rPr>
        <w:t>负责解释。除上述招标文件内容，其他内容由</w:t>
      </w:r>
      <w:r>
        <w:rPr>
          <w:rFonts w:ascii="仿宋_GB2312" w:hAnsi="仿宋_GB2312" w:cs="仿宋_GB2312" w:eastAsia="仿宋_GB2312"/>
        </w:rPr>
        <w:t>嘉翔项目管理有限公司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宜君县农业农村局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嘉翔项目管理有限公司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应保证在本项目中使用的任何产品和服务（包括部分使用），不会产生因第三方提出侵犯其专利权、商标权或其它知识产权而引起的法律和经济纠纷，如因专利权、商标权或其它知识产权而引起法律和经济纠纷，由供应商承担所有相关责任。</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60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组织⽅式：⾃⾏验收；2）是否邀请本项⽬的其他供应商：否；3）是否邀请专家：是；4）是否邀请服务对象：否；5）是否邀请第三⽅检测机构：否；6）履约验收程序：⼀次性验收；7）履约验收时间：供应商提出验收申请之⽇起7⽇内组织验收；8）履约验收标准：符合国家及⾏业质量验收合格标准；9）履约验收其他事项：受托⽅提交设计归档资料，形式为图⽂结合的说明类⽂本形式。委托组织⼈员验收，并填签收单。</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嘉翔项目管理有限公司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嘉翔项目管理有限公司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嘉翔项目管理有限公司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联系人：田凯</w:t>
      </w:r>
    </w:p>
    <w:p>
      <w:pPr>
        <w:pStyle w:val="null3"/>
      </w:pPr>
      <w:r>
        <w:rPr>
          <w:rFonts w:ascii="仿宋_GB2312" w:hAnsi="仿宋_GB2312" w:cs="仿宋_GB2312" w:eastAsia="仿宋_GB2312"/>
        </w:rPr>
        <w:t>联系电话：029-85495286转8009</w:t>
      </w:r>
    </w:p>
    <w:p>
      <w:pPr>
        <w:pStyle w:val="null3"/>
      </w:pPr>
      <w:r>
        <w:rPr>
          <w:rFonts w:ascii="仿宋_GB2312" w:hAnsi="仿宋_GB2312" w:cs="仿宋_GB2312" w:eastAsia="仿宋_GB2312"/>
        </w:rPr>
        <w:t>地址：西安曲江新区雁南五路曲江影视大厦19层</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 xml:space="preserve"> 本项目为实施县域内中央专项彩票公益金支持革命老区乡村振兴项目。包括厂房、红色宜君展馆、村居环境治理、食用菌基地、食用菌烘干厂房、食用菌冷库等初步设计及施工图设计。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690,000.00</w:t>
      </w:r>
    </w:p>
    <w:p>
      <w:pPr>
        <w:pStyle w:val="null3"/>
      </w:pPr>
      <w:r>
        <w:rPr>
          <w:rFonts w:ascii="仿宋_GB2312" w:hAnsi="仿宋_GB2312" w:cs="仿宋_GB2312" w:eastAsia="仿宋_GB2312"/>
        </w:rPr>
        <w:t>采购包最高限价（元）: 690,000.00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初步设计及施工图设计服务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690,000.00</w:t>
            </w:r>
          </w:p>
        </w:tc>
        <w:tc>
          <w:tcPr>
            <w:tcW w:type="dxa" w:w="755"/>
          </w:tcPr>
          <w:p>
            <w:pPr>
              <w:pStyle w:val="null3"/>
            </w:pPr>
            <w:r>
              <w:rPr>
                <w:rFonts w:ascii="仿宋_GB2312" w:hAnsi="仿宋_GB2312" w:cs="仿宋_GB2312" w:eastAsia="仿宋_GB2312"/>
              </w:rPr>
              <w:t>690000.00</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标的名称：初步设计及施工图设计服务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一、服务内容及服务范围</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本项目为本项目为实施县域内中央专项彩票公益金支持革命老区乡村振兴项目。包括厂房、红色宜君展馆、村居环境治理、食用菌基地、食用菌烘干厂房、食用菌冷库等初步设计及施工图设计。</w:t>
            </w:r>
          </w:p>
          <w:p>
            <w:pPr>
              <w:pStyle w:val="null3"/>
              <w:jc w:val="both"/>
            </w:pPr>
            <w:r>
              <w:rPr>
                <w:rFonts w:ascii="仿宋_GB2312" w:hAnsi="仿宋_GB2312" w:cs="仿宋_GB2312" w:eastAsia="仿宋_GB2312"/>
                <w:sz w:val="21"/>
              </w:rPr>
              <w:t>二、服务标准</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、质量要求：符合国家及行业质量验收合格标准。</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、拟采用的设计标准：国家颁布的有关施工质量验收规范及标准、《建筑结构荷载规范》</w:t>
            </w:r>
            <w:r>
              <w:rPr>
                <w:rFonts w:ascii="仿宋_GB2312" w:hAnsi="仿宋_GB2312" w:cs="仿宋_GB2312" w:eastAsia="仿宋_GB2312"/>
                <w:sz w:val="21"/>
              </w:rPr>
              <w:t xml:space="preserve">( GB 50009) </w:t>
            </w:r>
            <w:r>
              <w:rPr>
                <w:rFonts w:ascii="仿宋_GB2312" w:hAnsi="仿宋_GB2312" w:cs="仿宋_GB2312" w:eastAsia="仿宋_GB2312"/>
                <w:sz w:val="21"/>
              </w:rPr>
              <w:t>、《建筑地基基础设计规范》</w:t>
            </w:r>
            <w:r>
              <w:rPr>
                <w:rFonts w:ascii="仿宋_GB2312" w:hAnsi="仿宋_GB2312" w:cs="仿宋_GB2312" w:eastAsia="仿宋_GB2312"/>
                <w:sz w:val="21"/>
              </w:rPr>
              <w:t>( GB 50007)</w:t>
            </w:r>
            <w:r>
              <w:rPr>
                <w:rFonts w:ascii="仿宋_GB2312" w:hAnsi="仿宋_GB2312" w:cs="仿宋_GB2312" w:eastAsia="仿宋_GB2312"/>
                <w:sz w:val="21"/>
              </w:rPr>
              <w:t>、《建筑防火规范》</w:t>
            </w:r>
            <w:r>
              <w:rPr>
                <w:rFonts w:ascii="仿宋_GB2312" w:hAnsi="仿宋_GB2312" w:cs="仿宋_GB2312" w:eastAsia="仿宋_GB2312"/>
                <w:sz w:val="21"/>
              </w:rPr>
              <w:t>( GB 50016)</w:t>
            </w:r>
            <w:r>
              <w:rPr>
                <w:rFonts w:ascii="仿宋_GB2312" w:hAnsi="仿宋_GB2312" w:cs="仿宋_GB2312" w:eastAsia="仿宋_GB2312"/>
                <w:sz w:val="21"/>
              </w:rPr>
              <w:t>、《建筑节能设计标准》</w:t>
            </w:r>
            <w:r>
              <w:rPr>
                <w:rFonts w:ascii="仿宋_GB2312" w:hAnsi="仿宋_GB2312" w:cs="仿宋_GB2312" w:eastAsia="仿宋_GB2312"/>
                <w:sz w:val="21"/>
              </w:rPr>
              <w:t>( GB 50189)</w:t>
            </w:r>
            <w:r>
              <w:rPr>
                <w:rFonts w:ascii="仿宋_GB2312" w:hAnsi="仿宋_GB2312" w:cs="仿宋_GB2312" w:eastAsia="仿宋_GB2312"/>
                <w:sz w:val="21"/>
              </w:rPr>
              <w:t>、《建筑装饰装修工程质量验收规范》</w:t>
            </w:r>
            <w:r>
              <w:rPr>
                <w:rFonts w:ascii="仿宋_GB2312" w:hAnsi="仿宋_GB2312" w:cs="仿宋_GB2312" w:eastAsia="仿宋_GB2312"/>
                <w:sz w:val="21"/>
              </w:rPr>
              <w:t>( GB 50210)</w:t>
            </w:r>
            <w:r>
              <w:rPr>
                <w:rFonts w:ascii="仿宋_GB2312" w:hAnsi="仿宋_GB2312" w:cs="仿宋_GB2312" w:eastAsia="仿宋_GB2312"/>
                <w:sz w:val="21"/>
              </w:rPr>
              <w:t>、《建筑工程设计文件编制深度规定》（</w:t>
            </w:r>
            <w:r>
              <w:rPr>
                <w:rFonts w:ascii="仿宋_GB2312" w:hAnsi="仿宋_GB2312" w:cs="仿宋_GB2312" w:eastAsia="仿宋_GB2312"/>
                <w:sz w:val="21"/>
              </w:rPr>
              <w:t>GB/T 50357</w:t>
            </w:r>
            <w:r>
              <w:rPr>
                <w:rFonts w:ascii="仿宋_GB2312" w:hAnsi="仿宋_GB2312" w:cs="仿宋_GB2312" w:eastAsia="仿宋_GB2312"/>
                <w:sz w:val="21"/>
              </w:rPr>
              <w:t>）等设计规范。</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、成果文件要求：包括初步设计、概算、施工图：</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）从签订合同到交付施工图阶段的设计服务。</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）成果初步设计、概算、施工图等汇编归档资料。</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岗位配备齐全、专业搭配合理，工作经验和能力充分满足本项目建设需要。</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规定验收合格标准；方法：（一）甲方确认收到报告成果后，组织乙方（必要时可请有关专家）进行验收。（二）乙方向甲方提交项目实施过程中的所有资料。（三）验收依据1、采购文件、响应文件、澄清函；2、本合同及附件文本；3、合同签订时国家及行业现行的标准和技术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 ，达到付款条件起10个工作日内，支付合同总金额的40.0%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进度款，提交设计成果文件并通过相关审核后，达到付款条件起10个工作日内，支付合同总金额的60.0%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中华人民共和国政府采购法实施条例》的相关条款和本合同约定，中标单位未全面履行合同义务或者发生违约，采购人有权终止合同，依法向中标单位进行经济索赔，并报请政府采购监督管理机关进行相应的行政处罚。采购人违约的，应当赔偿给中标单位造成的经济损失。 在执行过程中发生的与本协议有关的争议，甲乙双方应先协商解决，协商解决不了的，双方同意到甲方所在地申请仲裁；仲裁不成的，依法向甲方所在地人民法院提起诉讼。</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投标人的投标报价是投标人响应采购项目要求的全部工作内容的价格体现，合同金额即中成交价，合同价格为含税价，乙方提供服务所发生的一切费用（包括人工费、设备费、管理费、利润、税金、风险及完成工作准备阶段、实施阶段、完成本项目所需的全部费用）等都已包含于合同价款中。在提供服务的过程中的任何遗漏，均由成交单位免费提供，采购人将不再支付任何费用。（二）采购标的对应的中小企业划分标准所属行业为其他未列明行业。其他未列明行业的划型标准为：从业人员300人以下的为中小微型企业。其中，从业人员100人及以上的为中型企业；从业人员10人及以上的为小型企业；从业人员10人以下的为微型企业。(三）落实的政府采购政策：1）《政府采购促进中小企业发展管理办法》的通知--财库[2020]46号；2）财政部司法部关于政府采购支持监狱企业发展有关问题的通知--财库〔2014〕68号；3）《国务院办公厅关于建立政府强制采购节能产品制度的通知》--国办发〔2007〕51号；4）《财政部发展改革委生态环境部市场监管总局关于调整优化节能产品、环境标志产品政府采购执 行机制的通知》--（财库[2019]9号）；5）《关于印发环境标志产品政府采购品目清单的通 知》--（财库〔2019〕18号）；6）《关于印发节能产品政府采购品目清单的通知》--（财库〔2019〕19号）；7）《市场监管总局关于发布参与实施政府采购节能产品、环境标志产品认证机构名录的公告》—2019年第16号；8）《财政部民政部中国残疾人联合会关于促进残疾人就业政府采购政策的通知》--（财库 2017〕141号）；9）《关于运用政府采购政策支持乡村产业振兴的通知》（财库〔2021〕19号）；10）陕西省财政厅关于印发《陕西省中小企业政府采购信用融资办法》（陕财办采〔2018〕23号）；11）《陕西省财政厅关于加快推进我省中小企业政府采购信用融资工作的通知》（陕财办采〔2020〕15号）；12）《关于进一步加强政府绿色采购有关问题的通知》（陕财办采〔2021〕29号）；13）《陕西省财政厅陕西省工业和信息化厅关于运用政府采购政策支持首台（套）及创新产品有关事项的通知》（陕财办采﹝2021﹞17号）；14）财办库〔2020〕123关于印发《商品包装政府采购需求标准（试行）》、《快递包装政府采购需求标准（试行）》的通知；15）《国务院办公厅关于在政府采购中实施本国产品标准及相关政策的通知》（国办发〔2025〕34号）、关于贯彻落实《国务院办公厅关于在政府采购中实施本国产品标准及相关政策的通知》的意见 （财库〔2025〕30号）；16）《关于推动解决政府采购异常低价问题的通知》财库〔2026〕2号；17）政府采购扶持不发达地区和少数民族地区的政策；18）其他需要落实的政府采购政策；19）如有最新颁布的政府采购政策，按最新的文件执行。（四）成交供应商在领取成交通知书时提供纸质版投标文件两套，应通过专用制作软件直接打印，确保与电子投标文件保持一致，不允许修改和补充。提交地点：西安曲江新区雁南五路曲江影视大厦19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财务报告，或提交自2026年01月01日以来其基本开户银行出具的资信证明及基本存款账户信息，或信用担保机构出具的投标担保函（以上三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供应商应提交的相关资格证明材料 其他</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营业执照或事业单位法人证书等国家规定的相关证明，自然人参与的提供其身份证明</w:t>
            </w:r>
          </w:p>
        </w:tc>
        <w:tc>
          <w:tcPr>
            <w:tcW w:type="dxa" w:w="3322"/>
          </w:tcPr>
          <w:p>
            <w:pPr>
              <w:pStyle w:val="null3"/>
            </w:pPr>
            <w:r>
              <w:rPr>
                <w:rFonts w:ascii="仿宋_GB2312" w:hAnsi="仿宋_GB2312" w:cs="仿宋_GB2312" w:eastAsia="仿宋_GB2312"/>
              </w:rPr>
              <w:t>供应商为具有独立承担民事责任能力的法人、其他组织或自然人。企业法人应提供合法有效的标识有统一社会信用代码的营业执照；事业法人应提供事业单位法人证书；其他组织应提供合法登记证明文件；自然人应提供身份证；</w:t>
            </w:r>
          </w:p>
        </w:tc>
        <w:tc>
          <w:tcPr>
            <w:tcW w:type="dxa" w:w="1661"/>
          </w:tcPr>
          <w:p>
            <w:pPr>
              <w:pStyle w:val="null3"/>
            </w:pPr>
            <w:r>
              <w:rPr>
                <w:rFonts w:ascii="仿宋_GB2312" w:hAnsi="仿宋_GB2312" w:cs="仿宋_GB2312" w:eastAsia="仿宋_GB2312"/>
              </w:rPr>
              <w:t>供应商应提交的相关资格证明材料 其他</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供应商具备工程设计综合资质甲级，或同时具备①工程设计建筑行业乙级及以上或工程设计建筑行业（建筑工程）专业乙级及以上资质。及② 工程设计市政行业乙级及以上或工程设计市政行业(燃气工程、轨道交通工程除外)乙级及以上资质或工程设计市政行业（道路工程、排水工程）专业乙级及以上资质。及③工程设计农林行业（农业工程）乙级及以上或工程设计农林行业（农业工程（农业综合开发生态工程））专业乙级及以上资质；</w:t>
            </w:r>
          </w:p>
        </w:tc>
        <w:tc>
          <w:tcPr>
            <w:tcW w:type="dxa" w:w="1661"/>
          </w:tcPr>
          <w:p>
            <w:pPr>
              <w:pStyle w:val="null3"/>
            </w:pPr>
            <w:r>
              <w:rPr>
                <w:rFonts w:ascii="仿宋_GB2312" w:hAnsi="仿宋_GB2312" w:cs="仿宋_GB2312" w:eastAsia="仿宋_GB2312"/>
              </w:rPr>
              <w:t>供应商应提交的相关资格证明材料 其他</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拟派项目负责人具备一级注册建筑师执业资格且具备建筑（市政或农业）类相关专业中级及以上职称；</w:t>
            </w:r>
          </w:p>
        </w:tc>
        <w:tc>
          <w:tcPr>
            <w:tcW w:type="dxa" w:w="1661"/>
          </w:tcPr>
          <w:p>
            <w:pPr>
              <w:pStyle w:val="null3"/>
            </w:pPr>
            <w:r>
              <w:rPr>
                <w:rFonts w:ascii="仿宋_GB2312" w:hAnsi="仿宋_GB2312" w:cs="仿宋_GB2312" w:eastAsia="仿宋_GB2312"/>
              </w:rPr>
              <w:t>供应商应提交的相关资格证明材料 其他</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财务状况报表</w:t>
            </w:r>
          </w:p>
        </w:tc>
        <w:tc>
          <w:tcPr>
            <w:tcW w:type="dxa" w:w="3322"/>
          </w:tcPr>
          <w:p>
            <w:pPr>
              <w:pStyle w:val="null3"/>
            </w:pPr>
            <w:r>
              <w:rPr>
                <w:rFonts w:ascii="仿宋_GB2312" w:hAnsi="仿宋_GB2312" w:cs="仿宋_GB2312" w:eastAsia="仿宋_GB2312"/>
              </w:rPr>
              <w:t>提供2024年度或2025年度经审计的财务报告，或提交自2026年01月01日以来其基本开户银行出具的资信证明及基本存款账户信息，或信用担保机构出具的投标担保函（以上三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供应商应提交的相关资格证明材料 其他</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完税证明</w:t>
            </w:r>
          </w:p>
        </w:tc>
        <w:tc>
          <w:tcPr>
            <w:tcW w:type="dxa" w:w="3322"/>
          </w:tcPr>
          <w:p>
            <w:pPr>
              <w:pStyle w:val="null3"/>
            </w:pPr>
            <w:r>
              <w:rPr>
                <w:rFonts w:ascii="仿宋_GB2312" w:hAnsi="仿宋_GB2312" w:cs="仿宋_GB2312" w:eastAsia="仿宋_GB2312"/>
              </w:rPr>
              <w:t>提供供应商2026年至今任意一个月已缴纳的完税凭证或税务机关开具的完税证明（任意税种），依法免税的单位应提供相关证明材料；</w:t>
            </w:r>
          </w:p>
        </w:tc>
        <w:tc>
          <w:tcPr>
            <w:tcW w:type="dxa" w:w="1661"/>
          </w:tcPr>
          <w:p>
            <w:pPr>
              <w:pStyle w:val="null3"/>
            </w:pPr>
            <w:r>
              <w:rPr>
                <w:rFonts w:ascii="仿宋_GB2312" w:hAnsi="仿宋_GB2312" w:cs="仿宋_GB2312" w:eastAsia="仿宋_GB2312"/>
              </w:rPr>
              <w:t>供应商应提交的相关资格证明材料 其他</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社保证明</w:t>
            </w:r>
          </w:p>
        </w:tc>
        <w:tc>
          <w:tcPr>
            <w:tcW w:type="dxa" w:w="3322"/>
          </w:tcPr>
          <w:p>
            <w:pPr>
              <w:pStyle w:val="null3"/>
            </w:pPr>
            <w:r>
              <w:rPr>
                <w:rFonts w:ascii="仿宋_GB2312" w:hAnsi="仿宋_GB2312" w:cs="仿宋_GB2312" w:eastAsia="仿宋_GB2312"/>
              </w:rPr>
              <w:t>提供供应商2026年至今任意一个月的社会保障资金缴存单据或社保机构开具的社会保险参保缴费情况证明。依法不需要缴纳社会保障资金的供应商应提供相关证明文件；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供应商应提交的相关资格证明材料 其他</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声明函</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供应商应提交的相关资格证明材料 其他</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声明函</w:t>
            </w:r>
          </w:p>
        </w:tc>
        <w:tc>
          <w:tcPr>
            <w:tcW w:type="dxa" w:w="3322"/>
          </w:tcPr>
          <w:p>
            <w:pPr>
              <w:pStyle w:val="null3"/>
            </w:pPr>
            <w:r>
              <w:rPr>
                <w:rFonts w:ascii="仿宋_GB2312" w:hAnsi="仿宋_GB2312" w:cs="仿宋_GB2312" w:eastAsia="仿宋_GB2312"/>
              </w:rPr>
              <w:t>出具参加政府采购活动前3年内在经营活动中没有重大违法记录的书面声明；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 其他</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法定代表人授权书及被授权人身份证</w:t>
            </w:r>
          </w:p>
        </w:tc>
        <w:tc>
          <w:tcPr>
            <w:tcW w:type="dxa" w:w="3322"/>
          </w:tcPr>
          <w:p>
            <w:pPr>
              <w:pStyle w:val="null3"/>
            </w:pPr>
            <w:r>
              <w:rPr>
                <w:rFonts w:ascii="仿宋_GB2312" w:hAnsi="仿宋_GB2312" w:cs="仿宋_GB2312" w:eastAsia="仿宋_GB2312"/>
              </w:rPr>
              <w:t>法定代表人授权书及被授权人身份证(法定代表人直接参加投标，须提交其身份证复印件及法定代表人身份证明)；</w:t>
            </w:r>
          </w:p>
        </w:tc>
        <w:tc>
          <w:tcPr>
            <w:tcW w:type="dxa" w:w="1661"/>
          </w:tcPr>
          <w:p>
            <w:pPr>
              <w:pStyle w:val="null3"/>
            </w:pPr>
            <w:r>
              <w:rPr>
                <w:rFonts w:ascii="仿宋_GB2312" w:hAnsi="仿宋_GB2312" w:cs="仿宋_GB2312" w:eastAsia="仿宋_GB2312"/>
              </w:rPr>
              <w:t>供应商应提交的相关资格证明材料 其他</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信用截图</w:t>
            </w:r>
          </w:p>
        </w:tc>
        <w:tc>
          <w:tcPr>
            <w:tcW w:type="dxa" w:w="3322"/>
          </w:tcPr>
          <w:p>
            <w:pPr>
              <w:pStyle w:val="null3"/>
            </w:pPr>
            <w:r>
              <w:rPr>
                <w:rFonts w:ascii="仿宋_GB2312" w:hAnsi="仿宋_GB2312" w:cs="仿宋_GB2312" w:eastAsia="仿宋_GB2312"/>
              </w:rPr>
              <w:t>供应商不得为“信用中国”网站(www.creditchina.gov.cn)中列入重大税收违法失信主体、供应商不得为中国执行信息公开网（http://zxgk.court.gov.cn/shixin/）中列入失信被执行人名单、不得为“中国政府采购网”（www.ccgp.gov.cn）政府采购严重违法失信行为记录名单中被财政部门禁止参加政府采购活动的供应商（处罚期限届满的除外，如相关失信记录已失效，供应商需提供相关证明资料）；</w:t>
            </w:r>
          </w:p>
        </w:tc>
        <w:tc>
          <w:tcPr>
            <w:tcW w:type="dxa" w:w="1661"/>
          </w:tcPr>
          <w:p>
            <w:pPr>
              <w:pStyle w:val="null3"/>
            </w:pPr>
            <w:r>
              <w:rPr>
                <w:rFonts w:ascii="仿宋_GB2312" w:hAnsi="仿宋_GB2312" w:cs="仿宋_GB2312" w:eastAsia="仿宋_GB2312"/>
              </w:rPr>
              <w:t>供应商应提交的相关资格证明材料 其他</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联合体投标及控股关系说明</w:t>
            </w:r>
          </w:p>
        </w:tc>
        <w:tc>
          <w:tcPr>
            <w:tcW w:type="dxa" w:w="3322"/>
          </w:tcPr>
          <w:p>
            <w:pPr>
              <w:pStyle w:val="null3"/>
            </w:pPr>
            <w:r>
              <w:rPr>
                <w:rFonts w:ascii="仿宋_GB2312" w:hAnsi="仿宋_GB2312" w:cs="仿宋_GB2312" w:eastAsia="仿宋_GB2312"/>
              </w:rPr>
              <w:t>本项目不接受联合体投标，单位负责人为同一人或者存在控股、管理关系的不同单位不得同时参加。</w:t>
            </w:r>
          </w:p>
        </w:tc>
        <w:tc>
          <w:tcPr>
            <w:tcW w:type="dxa" w:w="1661"/>
          </w:tcPr>
          <w:p>
            <w:pPr>
              <w:pStyle w:val="null3"/>
            </w:pPr>
            <w:r>
              <w:rPr>
                <w:rFonts w:ascii="仿宋_GB2312" w:hAnsi="仿宋_GB2312" w:cs="仿宋_GB2312" w:eastAsia="仿宋_GB2312"/>
              </w:rPr>
              <w:t>投标函 供应商应提交的相关资格证明材料 其他</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投标文件签署、盖章均按招标文件要求签字、盖章。</w:t>
            </w:r>
          </w:p>
        </w:tc>
        <w:tc>
          <w:tcPr>
            <w:tcW w:type="dxa" w:w="1661"/>
          </w:tcPr>
          <w:p>
            <w:pPr>
              <w:pStyle w:val="null3"/>
            </w:pPr>
            <w:r>
              <w:rPr>
                <w:rFonts w:ascii="仿宋_GB2312" w:hAnsi="仿宋_GB2312" w:cs="仿宋_GB2312" w:eastAsia="仿宋_GB2312"/>
              </w:rPr>
              <w:t>人员团队配置 中小企业声明函 业绩 商务应答表 供应商应提交的相关资格证明材料 服务内容及服务要求应答表 其他 项目负责人 投标函 服务承诺 残疾人福利性单位声明函 服务方案 标的清单 投标文件封面 归档资料管理方案 监狱企业的证明文件 实施方案</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符合招标文件的要求。（不得因文件排序等非实质性的格式、形式问题限制和影响供应商响应)</w:t>
            </w:r>
          </w:p>
        </w:tc>
        <w:tc>
          <w:tcPr>
            <w:tcW w:type="dxa" w:w="1661"/>
          </w:tcPr>
          <w:p>
            <w:pPr>
              <w:pStyle w:val="null3"/>
            </w:pPr>
            <w:r>
              <w:rPr>
                <w:rFonts w:ascii="仿宋_GB2312" w:hAnsi="仿宋_GB2312" w:cs="仿宋_GB2312" w:eastAsia="仿宋_GB2312"/>
              </w:rPr>
              <w:t>人员团队配置 中小企业声明函 业绩 商务应答表 供应商应提交的相关资格证明材料 服务内容及服务要求应答表 其他 项目负责人 投标函 服务承诺 残疾人福利性单位声明函 服务方案 标的清单 投标文件封面 归档资料管理方案 监狱企业的证明文件 实施方案</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报价形式符合招标文件要求，且报价不超过预算金额或最高限价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从提交投标文件的截止之日起不少于90天。</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30日历天</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投标情况</w:t>
            </w:r>
          </w:p>
        </w:tc>
        <w:tc>
          <w:tcPr>
            <w:tcW w:type="dxa" w:w="3322"/>
          </w:tcPr>
          <w:p>
            <w:pPr>
              <w:pStyle w:val="null3"/>
            </w:pPr>
            <w:r>
              <w:rPr>
                <w:rFonts w:ascii="仿宋_GB2312" w:hAnsi="仿宋_GB2312" w:cs="仿宋_GB2312" w:eastAsia="仿宋_GB2312"/>
              </w:rPr>
              <w:t>应满足招标文件要求，投标文件未含有采购人不能接受的附加条件，且无其他无效标的情形。</w:t>
            </w:r>
          </w:p>
        </w:tc>
        <w:tc>
          <w:tcPr>
            <w:tcW w:type="dxa" w:w="1661"/>
          </w:tcPr>
          <w:p>
            <w:pPr>
              <w:pStyle w:val="null3"/>
            </w:pPr>
            <w:r>
              <w:rPr>
                <w:rFonts w:ascii="仿宋_GB2312" w:hAnsi="仿宋_GB2312" w:cs="仿宋_GB2312" w:eastAsia="仿宋_GB2312"/>
              </w:rPr>
              <w:t>开标一览表 投标函 商务应答表 服务内容及服务要求应答表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服务方案包含①对项目总体设计的理解分析②总体设计思路③设计服务内容④设计服务目标⑤设计服务标准⑥设计服务过程的重点难点分析及解决措施等；（二）评审标准：方案完整，完全包含以上6项且满足实际工作需求的得18分，每缺少一项扣3分，每有一项缺陷（缺陷是指不适用项目实际情况、凭空编造、存在逻辑漏洞、科学原理错误、不可能实现的夸大情形以及涉及的规范、标准与本项目要求不一致等）扣1分，扣完为止。说明：未提供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实施方案包含①项目总体实施方案②项目人员组织方案③项目进度控制方案④项目质量控制方案⑤项目成本控制方案（二）评审标准：方案完整，完全包含以上5项且满足实际工作需求的得10分，每缺少一项扣2分，每有一项缺陷（缺陷是指不适用项目实际情况、凭空编造、存在逻辑漏洞、科学原理错误、不可能实现的夸大情形以及涉及的规范、标准与本项目要求不一致等）扣1分，扣完为止。说明：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w:t>
            </w:r>
          </w:p>
          <w:p>
            <w:pPr>
              <w:pStyle w:val="null3"/>
            </w:pPr>
            <w:r>
              <w:rPr>
                <w:rFonts w:ascii="仿宋_GB2312" w:hAnsi="仿宋_GB2312" w:cs="仿宋_GB2312" w:eastAsia="仿宋_GB2312"/>
              </w:rPr>
              <w:t>其他</w:t>
            </w:r>
          </w:p>
        </w:tc>
      </w:tr>
      <w:tr>
        <w:tc>
          <w:tcPr>
            <w:tcW w:type="dxa" w:w="831"/>
            <w:vMerge/>
          </w:tcPr>
          <w:p/>
        </w:tc>
        <w:tc>
          <w:tcPr>
            <w:tcW w:type="dxa" w:w="1661"/>
          </w:tcPr>
          <w:p>
            <w:pPr>
              <w:pStyle w:val="null3"/>
            </w:pPr>
            <w:r>
              <w:rPr>
                <w:rFonts w:ascii="仿宋_GB2312" w:hAnsi="仿宋_GB2312" w:cs="仿宋_GB2312" w:eastAsia="仿宋_GB2312"/>
              </w:rPr>
              <w:t>归档资料管理方案</w:t>
            </w:r>
          </w:p>
        </w:tc>
        <w:tc>
          <w:tcPr>
            <w:tcW w:type="dxa" w:w="2492"/>
          </w:tcPr>
          <w:p>
            <w:pPr>
              <w:pStyle w:val="null3"/>
            </w:pPr>
            <w:r>
              <w:rPr>
                <w:rFonts w:ascii="仿宋_GB2312" w:hAnsi="仿宋_GB2312" w:cs="仿宋_GB2312" w:eastAsia="仿宋_GB2312"/>
              </w:rPr>
              <w:t>（一）评审内容：归档资料管理方案包含①归档资料的整理、保存方案②归档案资料的移交方案③归档资料的保密及知识产权归属相关方案等（二）评审标准：方案完整，完全包含以上3项且满足实际工作需求的得12分，每缺少一项扣4分，每有一项缺陷（缺陷是指不适用项目实际情况、凭空编造、存在逻辑漏洞、科学原理错误、不可能实现的夸大情形以及涉及的规范、标准与本项目要求不一致等）扣1分，扣完为止。说明：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w:t>
            </w:r>
          </w:p>
          <w:p>
            <w:pPr>
              <w:pStyle w:val="null3"/>
            </w:pPr>
            <w:r>
              <w:rPr>
                <w:rFonts w:ascii="仿宋_GB2312" w:hAnsi="仿宋_GB2312" w:cs="仿宋_GB2312" w:eastAsia="仿宋_GB2312"/>
              </w:rPr>
              <w:t>归档资料管理方案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供应商提供针对本项目的相关承诺。包括但不限于①对设计成果的质量承诺②对服务期的承诺③紧急事项服务承诺及响应时效承诺等；每提供一项承诺得 2 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服务承诺</w:t>
            </w:r>
          </w:p>
          <w:p>
            <w:pPr>
              <w:pStyle w:val="null3"/>
            </w:pPr>
            <w:r>
              <w:rPr>
                <w:rFonts w:ascii="仿宋_GB2312" w:hAnsi="仿宋_GB2312" w:cs="仿宋_GB2312" w:eastAsia="仿宋_GB2312"/>
              </w:rPr>
              <w:t>其他</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①拟派项目负责人具有大专学历得2分，本科及以上学历得4分。（提供相关学历证明材料，包括但不限于：学历证书或学信网《教育部学历证书电子注册备案表》） ②拟派项目负责人每提供一个类似业绩（2023年1月1日 至今）得3分，最高得6分，类似业绩以合同或中标通知书为准。（中标通知书或合同上应体现项目负责人姓名，若未体现项目负责人姓名，则应提供其他有效证明资料，有效证明材料包括但不限于相关网站中标公示截图、成果报告等）复印件并加盖公章。 注：不提供者不得分。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w:t>
            </w:r>
          </w:p>
          <w:p>
            <w:pPr>
              <w:pStyle w:val="null3"/>
            </w:pPr>
            <w:r>
              <w:rPr>
                <w:rFonts w:ascii="仿宋_GB2312" w:hAnsi="仿宋_GB2312" w:cs="仿宋_GB2312" w:eastAsia="仿宋_GB2312"/>
              </w:rPr>
              <w:t>项目负责人</w:t>
            </w:r>
          </w:p>
        </w:tc>
      </w:tr>
      <w:tr>
        <w:tc>
          <w:tcPr>
            <w:tcW w:type="dxa" w:w="831"/>
            <w:vMerge/>
          </w:tcPr>
          <w:p/>
        </w:tc>
        <w:tc>
          <w:tcPr>
            <w:tcW w:type="dxa" w:w="1661"/>
          </w:tcPr>
          <w:p>
            <w:pPr>
              <w:pStyle w:val="null3"/>
            </w:pPr>
            <w:r>
              <w:rPr>
                <w:rFonts w:ascii="仿宋_GB2312" w:hAnsi="仿宋_GB2312" w:cs="仿宋_GB2312" w:eastAsia="仿宋_GB2312"/>
              </w:rPr>
              <w:t>人员团队配置</w:t>
            </w:r>
          </w:p>
        </w:tc>
        <w:tc>
          <w:tcPr>
            <w:tcW w:type="dxa" w:w="2492"/>
          </w:tcPr>
          <w:p>
            <w:pPr>
              <w:pStyle w:val="null3"/>
            </w:pPr>
            <w:r>
              <w:rPr>
                <w:rFonts w:ascii="仿宋_GB2312" w:hAnsi="仿宋_GB2312" w:cs="仿宋_GB2312" w:eastAsia="仿宋_GB2312"/>
              </w:rPr>
              <w:t>人员团队配置合理，岗位分工明确（项目负责人除外），每具备一名一级注册建筑师或建筑（市政或农业）类相关专业中级及以上职称人员得2分，本项满分16分。 （须提供人员相关资格证书、身份证、职称证等证明材料，未提供不得分；同一人拥有多个证书，不重复计算。）</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人员团队配置</w:t>
            </w:r>
          </w:p>
          <w:p>
            <w:pPr>
              <w:pStyle w:val="null3"/>
            </w:pPr>
            <w:r>
              <w:rPr>
                <w:rFonts w:ascii="仿宋_GB2312" w:hAnsi="仿宋_GB2312" w:cs="仿宋_GB2312" w:eastAsia="仿宋_GB2312"/>
              </w:rPr>
              <w:t>其他</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供应商每提供一个类似业绩（2023年1月1日起至今）得3分，满分18分，类似业绩以合同或中标通知书为准。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w:t>
            </w:r>
          </w:p>
          <w:p>
            <w:pPr>
              <w:pStyle w:val="null3"/>
            </w:pPr>
            <w:r>
              <w:rPr>
                <w:rFonts w:ascii="仿宋_GB2312" w:hAnsi="仿宋_GB2312" w:cs="仿宋_GB2312" w:eastAsia="仿宋_GB2312"/>
              </w:rPr>
              <w:t>业绩</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实质性满足招标文件要求且投标总价格最低的投标报价为评标基准价，其价格分为满分10分。 投标报价得分=(评标基准价／投标总报价)×价格权值。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详见附件：实施方案</w:t>
      </w:r>
    </w:p>
    <w:p>
      <w:pPr>
        <w:pStyle w:val="null3"/>
        <w:ind w:firstLine="960"/>
      </w:pPr>
      <w:r>
        <w:rPr>
          <w:rFonts w:ascii="仿宋_GB2312" w:hAnsi="仿宋_GB2312" w:cs="仿宋_GB2312" w:eastAsia="仿宋_GB2312"/>
        </w:rPr>
        <w:t>详见附件：归档资料管理方案</w:t>
      </w:r>
    </w:p>
    <w:p>
      <w:pPr>
        <w:pStyle w:val="null3"/>
        <w:ind w:firstLine="960"/>
      </w:pPr>
      <w:r>
        <w:rPr>
          <w:rFonts w:ascii="仿宋_GB2312" w:hAnsi="仿宋_GB2312" w:cs="仿宋_GB2312" w:eastAsia="仿宋_GB2312"/>
        </w:rPr>
        <w:t>详见附件：服务承诺</w:t>
      </w:r>
    </w:p>
    <w:p>
      <w:pPr>
        <w:pStyle w:val="null3"/>
        <w:ind w:firstLine="960"/>
      </w:pPr>
      <w:r>
        <w:rPr>
          <w:rFonts w:ascii="仿宋_GB2312" w:hAnsi="仿宋_GB2312" w:cs="仿宋_GB2312" w:eastAsia="仿宋_GB2312"/>
        </w:rPr>
        <w:t>详见附件：项目负责人</w:t>
      </w:r>
    </w:p>
    <w:p>
      <w:pPr>
        <w:pStyle w:val="null3"/>
        <w:ind w:firstLine="960"/>
      </w:pPr>
      <w:r>
        <w:rPr>
          <w:rFonts w:ascii="仿宋_GB2312" w:hAnsi="仿宋_GB2312" w:cs="仿宋_GB2312" w:eastAsia="仿宋_GB2312"/>
        </w:rPr>
        <w:t>详见附件：人员团队配置</w:t>
      </w:r>
    </w:p>
    <w:p>
      <w:pPr>
        <w:pStyle w:val="null3"/>
        <w:ind w:firstLine="960"/>
      </w:pPr>
      <w:r>
        <w:rPr>
          <w:rFonts w:ascii="仿宋_GB2312" w:hAnsi="仿宋_GB2312" w:cs="仿宋_GB2312" w:eastAsia="仿宋_GB2312"/>
        </w:rPr>
        <w:t>详见附件：业绩</w:t>
      </w:r>
    </w:p>
    <w:p>
      <w:pPr>
        <w:pStyle w:val="null3"/>
        <w:ind w:firstLine="960"/>
      </w:pPr>
      <w:r>
        <w:rPr>
          <w:rFonts w:ascii="仿宋_GB2312" w:hAnsi="仿宋_GB2312" w:cs="仿宋_GB2312" w:eastAsia="仿宋_GB2312"/>
        </w:rPr>
        <w:t>详见附件：其他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详见附件：第七章 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