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版本号：SXBH-ZFCG-026-04120260612001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王益区黄堡镇逸夫小学专用校车采购项目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SXBH-ZFCG-026-041</w:t>
      </w:r>
      <w:r>
        <w:br/>
      </w:r>
      <w:r>
        <w:br/>
      </w:r>
      <w:r>
        <w:br/>
      </w:r>
    </w:p>
    <w:p>
      <w:pPr>
        <w:pStyle w:val="null3"/>
        <w:jc w:val="center"/>
        <w:outlineLvl w:val="2"/>
      </w:pPr>
      <w:r>
        <w:rPr>
          <w:rFonts w:ascii="仿宋_GB2312" w:hAnsi="仿宋_GB2312" w:cs="仿宋_GB2312" w:eastAsia="仿宋_GB2312"/>
          <w:sz w:val="28"/>
          <w:b/>
        </w:rPr>
        <w:t>铜川市王益区黄堡镇逸夫小学</w:t>
      </w:r>
    </w:p>
    <w:p>
      <w:pPr>
        <w:pStyle w:val="null3"/>
        <w:jc w:val="center"/>
        <w:outlineLvl w:val="2"/>
      </w:pPr>
      <w:r>
        <w:rPr>
          <w:rFonts w:ascii="仿宋_GB2312" w:hAnsi="仿宋_GB2312" w:cs="仿宋_GB2312" w:eastAsia="仿宋_GB2312"/>
          <w:sz w:val="28"/>
          <w:b/>
        </w:rPr>
        <w:t>陕西北衡全项目咨询有限公司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铜川市王益区黄堡镇逸夫小学</w:t>
      </w:r>
      <w:r>
        <w:rPr>
          <w:rFonts w:ascii="仿宋_GB2312" w:hAnsi="仿宋_GB2312" w:cs="仿宋_GB2312" w:eastAsia="仿宋_GB2312"/>
        </w:rPr>
        <w:t>委托，拟对</w:t>
      </w:r>
      <w:r>
        <w:rPr>
          <w:rFonts w:ascii="仿宋_GB2312" w:hAnsi="仿宋_GB2312" w:cs="仿宋_GB2312" w:eastAsia="仿宋_GB2312"/>
        </w:rPr>
        <w:t>王益区黄堡镇逸夫小学专用校车采购项目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SXBH-ZFCG-026-041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王益区黄堡镇逸夫小学专用校车采购项目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专用校车采购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材料：提供有效存续的企业营业执照（副本）/事业单位法人证书/专业服务机构执业许可证/民办非企业单位登记证书（以上四种形式的资料提供任何一种即可），自然人提供身份证；投标人需在项目电子化交易系统中按要求上传相应证明文件并进行电子签章。</w:t>
      </w:r>
    </w:p>
    <w:p>
      <w:pPr>
        <w:pStyle w:val="null3"/>
      </w:pPr>
      <w:r>
        <w:rPr>
          <w:rFonts w:ascii="仿宋_GB2312" w:hAnsi="仿宋_GB2312" w:cs="仿宋_GB2312" w:eastAsia="仿宋_GB2312"/>
        </w:rPr>
        <w:t>2、具有良好的商业信誉：提供中国裁判文书网（https://wenshu.court.gov.cn/）无行贿犯罪行为记录的查询截图，并附良好商业信誉声明函（格式自拟，加盖单位公章）；投标人需在项目电子化交易系统中按要求上传相应证明文件并进行电子签章。</w:t>
      </w:r>
    </w:p>
    <w:p>
      <w:pPr>
        <w:pStyle w:val="null3"/>
      </w:pPr>
      <w:r>
        <w:rPr>
          <w:rFonts w:ascii="仿宋_GB2312" w:hAnsi="仿宋_GB2312" w:cs="仿宋_GB2312" w:eastAsia="仿宋_GB2312"/>
        </w:rPr>
        <w:t>3、具有良好的财务制度：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投标人需在项目电子化交易系统中按要求上传相应证明文件并进行电子签章。</w:t>
      </w:r>
    </w:p>
    <w:p>
      <w:pPr>
        <w:pStyle w:val="null3"/>
      </w:pPr>
      <w:r>
        <w:rPr>
          <w:rFonts w:ascii="仿宋_GB2312" w:hAnsi="仿宋_GB2312" w:cs="仿宋_GB2312" w:eastAsia="仿宋_GB2312"/>
        </w:rPr>
        <w:t>4、依法缴纳税收的证明材料：提供2025年8月1日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p>
      <w:pPr>
        <w:pStyle w:val="null3"/>
      </w:pPr>
      <w:r>
        <w:rPr>
          <w:rFonts w:ascii="仿宋_GB2312" w:hAnsi="仿宋_GB2312" w:cs="仿宋_GB2312" w:eastAsia="仿宋_GB2312"/>
        </w:rPr>
        <w:t>5、依法缴纳社会保障资金的证明材料：提供2025年8月1日至今已缴存的至少一个月的社会保障资金缴存单据或社保机构开具的社会保险参保缴费情况证明；投标人需在项目电子化交易系统中按要求上传相应证明文件并进行电子签章。</w:t>
      </w:r>
    </w:p>
    <w:p>
      <w:pPr>
        <w:pStyle w:val="null3"/>
      </w:pPr>
      <w:r>
        <w:rPr>
          <w:rFonts w:ascii="仿宋_GB2312" w:hAnsi="仿宋_GB2312" w:cs="仿宋_GB2312" w:eastAsia="仿宋_GB2312"/>
        </w:rPr>
        <w:t>6、法定代表人或法定代表授权人：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7、具有履行合同所必需的设备和专业技术能力：提供具有履行合同所必需的设备和专业技术能力的声明；投标人需在项目电子化交易系统中按要求上传相应证明文件并进行电子签章。</w:t>
      </w:r>
    </w:p>
    <w:p>
      <w:pPr>
        <w:pStyle w:val="null3"/>
      </w:pPr>
      <w:r>
        <w:rPr>
          <w:rFonts w:ascii="仿宋_GB2312" w:hAnsi="仿宋_GB2312" w:cs="仿宋_GB2312" w:eastAsia="仿宋_GB2312"/>
        </w:rPr>
        <w:t>8、参加本次政府采购活动前3年内在经营活动中没有重大违法记录或被起诉：提供参加本次政府采购活动前3年内在经营活动中没有重大违法记录或被起诉的声明；投标人需在项目电子化交易系统中按要求上传相应证明文件并进行电子签章。</w:t>
      </w:r>
    </w:p>
    <w:p>
      <w:pPr>
        <w:pStyle w:val="null3"/>
      </w:pPr>
      <w:r>
        <w:rPr>
          <w:rFonts w:ascii="仿宋_GB2312" w:hAnsi="仿宋_GB2312" w:cs="仿宋_GB2312" w:eastAsia="仿宋_GB2312"/>
        </w:rPr>
        <w:t>9、无关联声明：提供单位负责人为同一人或者存在直接控股、管理关系的不同投标人，不得参加同一合同项下的政府采购活动的书面声明；投标人需在项目电子化交易系统中按要求上传相应证明文件并进行电子签章。</w:t>
      </w:r>
    </w:p>
    <w:p>
      <w:pPr>
        <w:pStyle w:val="null3"/>
      </w:pPr>
      <w:r>
        <w:rPr>
          <w:rFonts w:ascii="仿宋_GB2312" w:hAnsi="仿宋_GB2312" w:cs="仿宋_GB2312" w:eastAsia="仿宋_GB2312"/>
        </w:rPr>
        <w:t>10、非联合体投标：提供非联合体投标的承诺书；投标人需在项目电子化交易系统中按要求上传相应证明文件并进行电子签章。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铜川市王益区黄堡镇逸夫小学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铜川市王益区黄堡镇新市街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铜川市王益区黄堡镇逸夫小学经办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18691932101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陕西省铜川市印台区南苑社区惠民佳苑8号楼2楼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常多多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18091953010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收费标准依据国家计委计价格[2002]1980号文件规定计取，以中标金额为计算基数，按差额定率累进法计算。本项目代理服务费由中标单位承担，采购代理工作结束后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铜川市王益区黄堡镇逸夫小学</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铜川市王益区黄堡镇逸夫小学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铜川市王益区黄堡镇逸夫小学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要求乙方所供产品质量必须全面且严格符合国家强制性标准及行业质量验收规范，同时需满足相关法规要求。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联系人：常多多</w:t>
      </w:r>
    </w:p>
    <w:p>
      <w:pPr>
        <w:pStyle w:val="null3"/>
      </w:pPr>
      <w:r>
        <w:rPr>
          <w:rFonts w:ascii="仿宋_GB2312" w:hAnsi="仿宋_GB2312" w:cs="仿宋_GB2312" w:eastAsia="仿宋_GB2312"/>
        </w:rPr>
        <w:t>联系电话：18091953010</w:t>
      </w:r>
    </w:p>
    <w:p>
      <w:pPr>
        <w:pStyle w:val="null3"/>
      </w:pPr>
      <w:r>
        <w:rPr>
          <w:rFonts w:ascii="仿宋_GB2312" w:hAnsi="仿宋_GB2312" w:cs="仿宋_GB2312" w:eastAsia="仿宋_GB2312"/>
        </w:rPr>
        <w:t>地址：铜川市耀州区咸丰路街道丹阳国际 15 层招标部</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专用校车采购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专用校车采购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标的名称：专用校车采购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w:t>
            </w:r>
          </w:p>
          <w:p>
            <w:pPr>
              <w:pStyle w:val="null3"/>
              <w:ind w:left="360"/>
            </w:pPr>
            <w:r>
              <w:rPr>
                <w:rFonts w:ascii="仿宋_GB2312" w:hAnsi="仿宋_GB2312" w:cs="仿宋_GB2312" w:eastAsia="仿宋_GB2312"/>
                <w:sz w:val="21"/>
              </w:rPr>
              <w:t>1、</w:t>
            </w:r>
            <w:r>
              <w:rPr>
                <w:rFonts w:ascii="仿宋_GB2312" w:hAnsi="仿宋_GB2312" w:cs="仿宋_GB2312" w:eastAsia="仿宋_GB2312"/>
                <w:sz w:val="21"/>
              </w:rPr>
              <w:t>车型应为幼儿专用校车，座位数为</w:t>
            </w: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座（包含司机以及照管人员）；</w:t>
            </w:r>
          </w:p>
          <w:p>
            <w:pPr>
              <w:pStyle w:val="null3"/>
              <w:ind w:left="360"/>
            </w:pPr>
            <w:r>
              <w:rPr>
                <w:rFonts w:ascii="仿宋_GB2312" w:hAnsi="仿宋_GB2312" w:cs="仿宋_GB2312" w:eastAsia="仿宋_GB2312"/>
                <w:sz w:val="21"/>
              </w:rPr>
              <w:t>2、</w:t>
            </w:r>
            <w:r>
              <w:rPr>
                <w:rFonts w:ascii="仿宋_GB2312" w:hAnsi="仿宋_GB2312" w:cs="仿宋_GB2312" w:eastAsia="仿宋_GB2312"/>
                <w:sz w:val="21"/>
              </w:rPr>
              <w:t>车长为</w:t>
            </w:r>
            <w:r>
              <w:rPr>
                <w:rFonts w:ascii="仿宋_GB2312" w:hAnsi="仿宋_GB2312" w:cs="仿宋_GB2312" w:eastAsia="仿宋_GB2312"/>
                <w:sz w:val="21"/>
              </w:rPr>
              <w:t>6</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6.8</w:t>
            </w:r>
            <w:r>
              <w:rPr>
                <w:rFonts w:ascii="仿宋_GB2312" w:hAnsi="仿宋_GB2312" w:cs="仿宋_GB2312" w:eastAsia="仿宋_GB2312"/>
                <w:sz w:val="21"/>
              </w:rPr>
              <w:t>米之间，车宽为</w:t>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米之间；</w:t>
            </w:r>
          </w:p>
          <w:p>
            <w:pPr>
              <w:pStyle w:val="null3"/>
              <w:ind w:left="360"/>
            </w:pPr>
            <w:r>
              <w:rPr>
                <w:rFonts w:ascii="仿宋_GB2312" w:hAnsi="仿宋_GB2312" w:cs="仿宋_GB2312" w:eastAsia="仿宋_GB2312"/>
                <w:sz w:val="21"/>
              </w:rPr>
              <w:t>3、</w:t>
            </w:r>
            <w:r>
              <w:rPr>
                <w:rFonts w:ascii="仿宋_GB2312" w:hAnsi="仿宋_GB2312" w:cs="仿宋_GB2312" w:eastAsia="仿宋_GB2312"/>
                <w:sz w:val="21"/>
              </w:rPr>
              <w:t>发动机排量大于等于</w:t>
            </w:r>
            <w:r>
              <w:rPr>
                <w:rFonts w:ascii="仿宋_GB2312" w:hAnsi="仿宋_GB2312" w:cs="仿宋_GB2312" w:eastAsia="仿宋_GB2312"/>
                <w:sz w:val="21"/>
              </w:rPr>
              <w:t>2</w:t>
            </w:r>
            <w:r>
              <w:rPr>
                <w:rFonts w:ascii="仿宋_GB2312" w:hAnsi="仿宋_GB2312" w:cs="仿宋_GB2312" w:eastAsia="仿宋_GB2312"/>
                <w:sz w:val="21"/>
              </w:rPr>
              <w:t>.3L</w:t>
            </w:r>
            <w:r>
              <w:rPr>
                <w:rFonts w:ascii="仿宋_GB2312" w:hAnsi="仿宋_GB2312" w:cs="仿宋_GB2312" w:eastAsia="仿宋_GB2312"/>
                <w:sz w:val="21"/>
              </w:rPr>
              <w:t>；</w:t>
            </w:r>
          </w:p>
          <w:p>
            <w:pPr>
              <w:pStyle w:val="null3"/>
              <w:ind w:left="360"/>
            </w:pPr>
            <w:r>
              <w:rPr>
                <w:rFonts w:ascii="仿宋_GB2312" w:hAnsi="仿宋_GB2312" w:cs="仿宋_GB2312" w:eastAsia="仿宋_GB2312"/>
                <w:sz w:val="21"/>
              </w:rPr>
              <w:t>4、</w:t>
            </w:r>
            <w:r>
              <w:rPr>
                <w:rFonts w:ascii="仿宋_GB2312" w:hAnsi="仿宋_GB2312" w:cs="仿宋_GB2312" w:eastAsia="仿宋_GB2312"/>
                <w:sz w:val="21"/>
              </w:rPr>
              <w:t>标配</w:t>
            </w:r>
            <w:r>
              <w:rPr>
                <w:rFonts w:ascii="仿宋_GB2312" w:hAnsi="仿宋_GB2312" w:cs="仿宋_GB2312" w:eastAsia="仿宋_GB2312"/>
                <w:sz w:val="21"/>
              </w:rPr>
              <w:t>A</w:t>
            </w:r>
            <w:r>
              <w:rPr>
                <w:rFonts w:ascii="仿宋_GB2312" w:hAnsi="仿宋_GB2312" w:cs="仿宋_GB2312" w:eastAsia="仿宋_GB2312"/>
                <w:sz w:val="21"/>
              </w:rPr>
              <w:t>BS；</w:t>
            </w:r>
          </w:p>
          <w:p>
            <w:pPr>
              <w:pStyle w:val="null3"/>
              <w:ind w:left="360"/>
            </w:pPr>
            <w:r>
              <w:rPr>
                <w:rFonts w:ascii="仿宋_GB2312" w:hAnsi="仿宋_GB2312" w:cs="仿宋_GB2312" w:eastAsia="仿宋_GB2312"/>
                <w:sz w:val="21"/>
              </w:rPr>
              <w:t>5、</w:t>
            </w:r>
            <w:r>
              <w:rPr>
                <w:rFonts w:ascii="仿宋_GB2312" w:hAnsi="仿宋_GB2312" w:cs="仿宋_GB2312" w:eastAsia="仿宋_GB2312"/>
                <w:sz w:val="21"/>
              </w:rPr>
              <w:t>随车安装备胎、带随车工具，千斤顶等；</w:t>
            </w:r>
          </w:p>
          <w:p>
            <w:pPr>
              <w:pStyle w:val="null3"/>
              <w:ind w:left="360"/>
            </w:pPr>
            <w:r>
              <w:rPr>
                <w:rFonts w:ascii="仿宋_GB2312" w:hAnsi="仿宋_GB2312" w:cs="仿宋_GB2312" w:eastAsia="仿宋_GB2312"/>
                <w:sz w:val="21"/>
              </w:rPr>
              <w:t>6、</w:t>
            </w:r>
            <w:r>
              <w:rPr>
                <w:rFonts w:ascii="仿宋_GB2312" w:hAnsi="仿宋_GB2312" w:cs="仿宋_GB2312" w:eastAsia="仿宋_GB2312"/>
                <w:sz w:val="21"/>
              </w:rPr>
              <w:t>安装冷凝器；</w:t>
            </w:r>
          </w:p>
          <w:p>
            <w:pPr>
              <w:pStyle w:val="null3"/>
              <w:ind w:left="360"/>
            </w:pPr>
            <w:r>
              <w:rPr>
                <w:rFonts w:ascii="仿宋_GB2312" w:hAnsi="仿宋_GB2312" w:cs="仿宋_GB2312" w:eastAsia="仿宋_GB2312"/>
                <w:sz w:val="21"/>
              </w:rPr>
              <w:t>7、</w:t>
            </w:r>
            <w:r>
              <w:rPr>
                <w:rFonts w:ascii="仿宋_GB2312" w:hAnsi="仿宋_GB2312" w:cs="仿宋_GB2312" w:eastAsia="仿宋_GB2312"/>
                <w:sz w:val="21"/>
              </w:rPr>
              <w:t>安装前轮轮胎爆胎应急安全装置以及单胎轴轮胎胎压报警器；</w:t>
            </w:r>
            <w:r>
              <w:rPr>
                <w:rFonts w:ascii="仿宋_GB2312" w:hAnsi="仿宋_GB2312" w:cs="仿宋_GB2312" w:eastAsia="仿宋_GB2312"/>
              </w:rPr>
              <w:t xml:space="preserve"> </w:t>
            </w:r>
          </w:p>
          <w:p>
            <w:pPr>
              <w:pStyle w:val="null3"/>
              <w:ind w:left="360"/>
            </w:pPr>
            <w:r>
              <w:rPr>
                <w:rFonts w:ascii="仿宋_GB2312" w:hAnsi="仿宋_GB2312" w:cs="仿宋_GB2312" w:eastAsia="仿宋_GB2312"/>
                <w:sz w:val="21"/>
              </w:rPr>
              <w:t>8、</w:t>
            </w:r>
            <w:r>
              <w:rPr>
                <w:rFonts w:ascii="仿宋_GB2312" w:hAnsi="仿宋_GB2312" w:cs="仿宋_GB2312" w:eastAsia="仿宋_GB2312"/>
                <w:sz w:val="21"/>
              </w:rPr>
              <w:t>车外警示装置需安装带灯的停车指示牌；</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、需有防遗忘装置，形式不限；</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、需有起步转弯语音提示；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、司机窗需为推拉司机窗，安装带换气扇的顶风窗；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、第一乘客门采用遥控式的钢化玻璃外摆门；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、保暖配置需配备发动机进气预热、发动机燃油加热系统、独立水暖等，散热器数量大于等于三个，壁挂盒式均可，除霜器采用大功率的水暖除霜，同时安装驾驶区取暖器以及前门踏步取暖器，满足冬季需求；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、车载空调；</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、安装彩色道监设备、车内安装电子钟；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、安装校车终端视频记录仪一体机；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、国六车型。</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合同签订后7日历天内完成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进度款，车辆完整安全交付，通过检验，达到采购人使用标准后，，达到付款条件起30个工作日内，支付合同总金额的100.0%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整车质保3年，不限制里程</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单位未按合同要求执行、质量不能满足要求，采购人可根据中标单位的违约情况，调整中标单位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1、为顺利推进政府采购电子化交易平台应用工作，投标人需要在线提交所有通过电子化交易平台实施的政府采购项目的响应文件，同时，线下提交纸质响应文件正本壹份、副本壹份。 2、纸质响应文件正副本分别胶装（书脊处注明项目名称，项目编号），标明投标人名称密封递交，递交截止时间同在线递交电子响应文件截止时间一致，递交地址：铜川市耀州区咸丰路街道丹阳国际 15 层招标部。（纸质响应文件可邮寄，邮件签收时间应为在线递交电子响应文件截止时间之前，邮寄地址：铜川市耀州区咸丰路街道丹阳国际 15 层招标部，联系人：常多多，联系电话：18091953010）。3、若电子投标文件与纸质投标文件不一致的，以电子投标文件为准。4、本项目《中小企业声明函》须逐项完整响应；若存在缺项响应，则供应商在本项目中无权享受中小企业扶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营业执照等证明材料</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无行贿犯罪行为记录的查询截图，并附良好商业信誉声明函（格式自拟，加盖单位公章）；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具有良好的财务制度</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依法缴纳税收的证明材料</w:t>
            </w:r>
          </w:p>
        </w:tc>
        <w:tc>
          <w:tcPr>
            <w:tcW w:type="dxa" w:w="3322"/>
          </w:tcPr>
          <w:p>
            <w:pPr>
              <w:pStyle w:val="null3"/>
            </w:pPr>
            <w:r>
              <w:rPr>
                <w:rFonts w:ascii="仿宋_GB2312" w:hAnsi="仿宋_GB2312" w:cs="仿宋_GB2312" w:eastAsia="仿宋_GB2312"/>
              </w:rPr>
              <w:t>提供2025年8月1日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依法缴纳社会保障资金的证明材料</w:t>
            </w:r>
          </w:p>
        </w:tc>
        <w:tc>
          <w:tcPr>
            <w:tcW w:type="dxa" w:w="3322"/>
          </w:tcPr>
          <w:p>
            <w:pPr>
              <w:pStyle w:val="null3"/>
            </w:pPr>
            <w:r>
              <w:rPr>
                <w:rFonts w:ascii="仿宋_GB2312" w:hAnsi="仿宋_GB2312" w:cs="仿宋_GB2312" w:eastAsia="仿宋_GB2312"/>
              </w:rPr>
              <w:t>提供2025年8月1日至今已缴存的至少一个月的社会保障资金缴存单据或社保机构开具的社会保险参保缴费情况证明；投标人需在项目电子化交易系统中按要求上传相应证明文件并进行电子签章。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法定代表人或法定代表授权人</w:t>
            </w:r>
          </w:p>
        </w:tc>
        <w:tc>
          <w:tcPr>
            <w:tcW w:type="dxa" w:w="3322"/>
          </w:tcPr>
          <w:p>
            <w:pPr>
              <w:pStyle w:val="null3"/>
            </w:pPr>
            <w:r>
              <w:rPr>
                <w:rFonts w:ascii="仿宋_GB2312" w:hAnsi="仿宋_GB2312" w:cs="仿宋_GB2312" w:eastAsia="仿宋_GB2312"/>
              </w:rPr>
              <w:t>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法定代表人证明书.docx 投标人应提交的相关资格证明材料 法定代表人授权书.docx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提供参加本次政府采购活动前3年内在经营活动中没有重大违法记录或被起诉的声明；投标人需在项目电子化交易系统中按要求上传相应证明文件并进行电子签章。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无关联声明</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提供非联合体投标的承诺书；投标人需在项目电子化交易系统中按要求上传相应证明文件并进行电子签章。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投标人按照招标文件要求上传响应文件。</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不得超过招标文件要求的交货期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A、投标人的响应报价有选择性报价或者响应报价重新计算后超过本项目采购预算或者最高限价的； B、投标人未经过正常渠道领取招标文件，或投标人名称与领取招标文件时登记的投标人名称不符的； C、投标人针对同一项目递交两份或多份内容不同的响应文件，未书面声明哪一份是有效的或出现选择性报价的；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K、不符合法律、法规规定的其它实质性要求的；L：所提供证明材料在有效期内。</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评审内容（最高得3分，负偏离一处扣0.5分） 拟提交货物完全符合、满足招标文件技术要求或者优于招标文件的要求，需附佐证材料：官网截图、产品彩页、车辆外观照片、所投车辆及生产厂家在工信部发布的《道路机动车辆生产企业及产品公告》内的截图；未提供或所提供材料模糊不清或所提供材料无法有效证明，与所投标产品无密切相关的将视为不满足本参数要求，按负偏离进行扣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车辆材质及工艺</w:t>
            </w:r>
          </w:p>
        </w:tc>
        <w:tc>
          <w:tcPr>
            <w:tcW w:type="dxa" w:w="2492"/>
          </w:tcPr>
          <w:p>
            <w:pPr>
              <w:pStyle w:val="null3"/>
            </w:pPr>
            <w:r>
              <w:rPr>
                <w:rFonts w:ascii="仿宋_GB2312" w:hAnsi="仿宋_GB2312" w:cs="仿宋_GB2312" w:eastAsia="仿宋_GB2312"/>
              </w:rPr>
              <w:t>一、评审内容（每项计4分，最高得12分，未提供不计分） 1、关键部件工艺及材质：明确关键部件（如发动机缸体、变速箱壳体、底盘车架等）选用的加工工艺先进合理，贴合项目需求，清晰说明工艺优势及流程规范；明确选用的材料优质且适配车辆使用场景，详细阐述材质性能及选型依据； 2、设备整体质量：清晰阐述车辆整体装配工艺思路，明确装配标准及质量控制要点，对部件衔接、外观质量等要求明确合理； 3、配件耐久性：明确核心配件（如轴承、密封件、传动部件等）的选型依据，详细说明配件耐久性保障措施，体现配件选型的合理性及耐久性优势。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12分；以上评审内容每项有缺项扣4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一、评审内容（每项计4分，最高得16分，未提供不计分） 1、备货、供货进度及保证措施：明确各阶段时间节点、备货数量、供货批次，完全匹配本项目需求，无延误风险；保证措施完善，涵盖原材料储备、生产调度、物流运输、应急补供等内容； 2、拟投入本项目的人员安排：明确项目负责人、技术人员、操作人员、后勤保障人员等岗位职责、数量及配置标准，人员资质符合项目要求，分工清晰、衔接顺畅，提供人员名单； 3、车辆检测、调试措施：明确检测调试流程、项目、标准及时间节点，配备专业检测调试设备及人员，涵盖车辆性能、安全、外观等全方面检测； 4、车辆运行安全保障措施：涵盖车辆日常维护、故障排查、应急处置、安全培训等内容。 二、扣分规则（累计扣分不超过对应评审内容分值，四项内容总扣分无上限，扣完对应分项分值即止） 专门针对本项目编制，切合本项目实际情况及实施要求，内容与要点相符、每个要点均有展开详细的阐述且能够适用于本项目的计16分；以上评审内容每项有缺项扣4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一、评审内容（每项计2分，最高得6分，未提供不计分） 1、具有售后服务机构及人员配置方案； 2、提供保修期外至全寿命周期内零配件及备品备件供应方案（包括：供应时间、安装更换方式）； 3、所投产品售后服务承诺。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6分；以上评审内容每项有缺项扣2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一、评审内容（每项计2分，最高得6分，未提供不计分） 1、培训时间计划及培训人员安排； 2、培训内容设计安排； 3、重点难点及培训结果保障措施。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6分；以上评审内容每项有缺项扣2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一、评审内容（前两项每项计2分，第三项计3分，最高得7分，未提供不计分） 针对本项目突发事件的应急响应处理方案： 1、设备故障应急预案； 2、人员受伤应急预案； 3、运输途中突发交通事故；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7分；以上评审内容第1、2项有缺项扣2分，第3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评审内容（每项计1.5分，最高得3分，未提供不计分） 1、故障响应：接到甲方故障通知后，1小时内作出响应并可赶至现场得1.5分，2小时内响应得1分，超过2小时响应不计分； 2、佐证材料：提供售后服务网点/驻点地址、专属售后人员名单、项目核心构配件配备存储情况佐证材料，得1.5分，未提供/提供不完整不计分。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退换货方案</w:t>
            </w:r>
          </w:p>
        </w:tc>
        <w:tc>
          <w:tcPr>
            <w:tcW w:type="dxa" w:w="2492"/>
          </w:tcPr>
          <w:p>
            <w:pPr>
              <w:pStyle w:val="null3"/>
            </w:pPr>
            <w:r>
              <w:rPr>
                <w:rFonts w:ascii="仿宋_GB2312" w:hAnsi="仿宋_GB2312" w:cs="仿宋_GB2312" w:eastAsia="仿宋_GB2312"/>
              </w:rPr>
              <w:t>一、评审内容（每项计3分，最高得6分，未提供不计分） 1、产品质量问题退货方案：明确退货判定标准、退货申请流程、退货时限、退货验收、退款流程及相关责任划分，流程规范、权责清晰； 2、产品质量问题换货方案：明确换货判定标准、换货申请流程、换货时限、换货产品质量要求、物流保障及相关责任划分，能保障换货及时、产品合格。 二、扣分规则（累计扣分不超过对应评审内容分值，两项内容总扣分无上限，扣完对应分项分值即止） 专门针对本项目编制，切合本项目实际情况及实施要求，内容与要点相符、每个要点均有展开详细的阐述且能够适用于本项目的计6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评审内容：（每提供一份计1.5分，最高得6分；未提供或未文字说明核心响应点，不计分） 1.提供供货能力承诺（明确承诺交付时限）； 2.提供交付周期承诺（明确承诺按时交付，若因投标人原因延迟的解决办法）； 3.提供瑕疵处理承诺（明确货物存在质量问题，承诺在收到反馈后响应时限）； 4.提供合同履行承诺（明确承诺严格遵守合同所有条款）。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评审内容：（每提供一份计1分，最高得5分，未提供不计分） 项目业绩： 提供2022年1月1日以来投标人或制造商已完成同类项目业绩。请提供合同复印件（同时提供合同首页、内容页、盖章页复印件并加盖供应商公章），未按要求完整提供证明文件不得分。 注：①同一个项目提供多份合同的，按一份业绩； ②若提供制造商业绩附制造商授权书，明确授权其业绩参与投标。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计算分数时四舍五入取小数点后两位。特别说明：投标人报价明显低于其他实质性响应投标人报价，有可能影响产品质量或不能诚信履约的，须提交相关成本证明材料，无法提供的按无效投标处理。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详见附件：同类项目业绩一览表.docx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