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版本号：【KRDL】K5-250912820260424001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水电站绝缘材料太赫兹时域光谱检测仪及水利水电太赫兹无损探伤成像仪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【KRDL】K5-2509128</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水电站绝缘材料太赫兹时域光谱检测仪及水利水电太赫兹无损探伤成像仪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【KRDL】K5-2509128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水电站绝缘材料太赫兹时域光谱检测仪及水利水电太赫兹无损探伤成像仪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本项目拟采购水电站绝缘材料太赫兹时域光谱检测仪及水利水电太赫兹无损探伤成像仪各1套。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采购包1（水电站绝缘材料太赫兹时域光谱检测仪）：属于专门面向中小企业采购。</w:t>
      </w:r>
    </w:p>
    <w:p>
      <w:pPr>
        <w:pStyle w:val="null3"/>
      </w:pPr>
      <w:r>
        <w:rPr>
          <w:rFonts w:ascii="仿宋_GB2312" w:hAnsi="仿宋_GB2312" w:cs="仿宋_GB2312" w:eastAsia="仿宋_GB2312"/>
        </w:rPr>
        <w:t>采购包2（水利水电太赫兹无损探伤成像仪）：属于专门面向中小企业采购。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6、授权委托书：投标人应授权合法的人员参加本项目招标活动全过程；</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6、授权委托书：投标人应授权合法的人员参加本项目招标活动全过程；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采购包2：580,000.00元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采购包1保证金金额：5,015.00元</w:t>
            </w:r>
          </w:p>
          <w:p>
            <w:pPr>
              <w:pStyle w:val="null3"/>
            </w:pPr>
            <w:r>
              <w:rPr>
                <w:rFonts w:ascii="仿宋_GB2312" w:hAnsi="仿宋_GB2312" w:cs="仿宋_GB2312" w:eastAsia="仿宋_GB2312"/>
              </w:rPr>
              <w:t>采购包2保证金金额：5,025.00元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代理服务费收费标准：本项目招标代理服务费6000.00元，确定中标人后3日内，由各采购包中标人在领取中标（成交）通知书时向采购代理机构一次付清。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联系人：王森、于珂欣</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本项目拟采购水电站绝缘材料太赫兹时域光谱检测仪及水利水电太赫兹无损探伤成像仪各1套。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水电站绝缘材料太赫兹时域光谱检测仪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水利水电太赫兹无损探伤成像仪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标的名称：水电站绝缘材料太赫兹时域光谱检测仪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透射式太赫兹时域光谱测量；</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反射式太赫兹时域光谱测量；</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多角度太赫兹时域光谱测量；</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透射式太赫兹光谱成像；</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反射式太赫兹光谱成像；</w:t>
            </w:r>
          </w:p>
          <w:p>
            <w:pPr>
              <w:pStyle w:val="null3"/>
            </w:pPr>
            <w:r>
              <w:rPr>
                <w:rFonts w:ascii="仿宋_GB2312" w:hAnsi="仿宋_GB2312" w:cs="仿宋_GB2312" w:eastAsia="仿宋_GB2312"/>
              </w:rPr>
              <w:t>二、主要技术参数要求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光谱范围：</w:t>
            </w:r>
            <w:r>
              <w:rPr>
                <w:rFonts w:ascii="仿宋_GB2312" w:hAnsi="仿宋_GB2312" w:cs="仿宋_GB2312" w:eastAsia="仿宋_GB2312"/>
              </w:rPr>
              <w:t>0.1THz~4.5THz</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动态范围：</w:t>
            </w:r>
            <w:r>
              <w:rPr>
                <w:rFonts w:ascii="仿宋_GB2312" w:hAnsi="仿宋_GB2312" w:cs="仿宋_GB2312" w:eastAsia="仿宋_GB2312"/>
              </w:rPr>
              <w:t>≥</w:t>
            </w:r>
            <w:r>
              <w:rPr>
                <w:rFonts w:ascii="仿宋_GB2312" w:hAnsi="仿宋_GB2312" w:cs="仿宋_GB2312" w:eastAsia="仿宋_GB2312"/>
              </w:rPr>
              <w:t>70dB</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延迟线调节范围：</w:t>
            </w:r>
            <w:r>
              <w:rPr>
                <w:rFonts w:ascii="仿宋_GB2312" w:hAnsi="仿宋_GB2312" w:cs="仿宋_GB2312" w:eastAsia="仿宋_GB2312"/>
              </w:rPr>
              <w:t>0ns~2ns</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光谱分辨率：</w:t>
            </w:r>
            <w:r>
              <w:rPr>
                <w:rFonts w:ascii="仿宋_GB2312" w:hAnsi="仿宋_GB2312" w:cs="仿宋_GB2312" w:eastAsia="仿宋_GB2312"/>
              </w:rPr>
              <w:t>≤</w:t>
            </w:r>
            <w:r>
              <w:rPr>
                <w:rFonts w:ascii="仿宋_GB2312" w:hAnsi="仿宋_GB2312" w:cs="仿宋_GB2312" w:eastAsia="仿宋_GB2312"/>
              </w:rPr>
              <w:t>1GHz</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成像范围：</w:t>
            </w:r>
            <w:r>
              <w:rPr>
                <w:rFonts w:ascii="仿宋_GB2312" w:hAnsi="仿宋_GB2312" w:cs="仿宋_GB2312" w:eastAsia="仿宋_GB2312"/>
              </w:rPr>
              <w:t>至少覆盖</w:t>
            </w:r>
            <w:r>
              <w:rPr>
                <w:rFonts w:ascii="仿宋_GB2312" w:hAnsi="仿宋_GB2312" w:cs="仿宋_GB2312" w:eastAsia="仿宋_GB2312"/>
              </w:rPr>
              <w:t>150mm×150mm</w:t>
            </w:r>
          </w:p>
          <w:p>
            <w:pPr>
              <w:pStyle w:val="null3"/>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成像分辨率：</w:t>
            </w:r>
            <w:r>
              <w:rPr>
                <w:rFonts w:ascii="仿宋_GB2312" w:hAnsi="仿宋_GB2312" w:cs="仿宋_GB2312" w:eastAsia="仿宋_GB2312"/>
              </w:rPr>
              <w:t>≤</w:t>
            </w:r>
            <w:r>
              <w:rPr>
                <w:rFonts w:ascii="仿宋_GB2312" w:hAnsi="仿宋_GB2312" w:cs="仿宋_GB2312" w:eastAsia="仿宋_GB2312"/>
              </w:rPr>
              <w:t>0.3mm</w:t>
            </w:r>
          </w:p>
          <w:p>
            <w:pPr>
              <w:pStyle w:val="null3"/>
            </w:pP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工作模式：透射</w:t>
            </w:r>
            <w:r>
              <w:rPr>
                <w:rFonts w:ascii="仿宋_GB2312" w:hAnsi="仿宋_GB2312" w:cs="仿宋_GB2312" w:eastAsia="仿宋_GB2312"/>
              </w:rPr>
              <w:t>/反射</w:t>
            </w:r>
          </w:p>
          <w:p>
            <w:pPr>
              <w:pStyle w:val="null3"/>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转动平台调节方式：手动</w:t>
            </w:r>
          </w:p>
          <w:p>
            <w:pPr>
              <w:pStyle w:val="null3"/>
            </w:pP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转动平台调节范围：</w:t>
            </w:r>
            <w:r>
              <w:rPr>
                <w:rFonts w:ascii="仿宋_GB2312" w:hAnsi="仿宋_GB2312" w:cs="仿宋_GB2312" w:eastAsia="仿宋_GB2312"/>
              </w:rPr>
              <w:t>0~360°</w:t>
            </w:r>
          </w:p>
          <w:p>
            <w:pPr>
              <w:pStyle w:val="null3"/>
            </w:pPr>
            <w:r>
              <w:rPr>
                <w:rFonts w:ascii="仿宋_GB2312" w:hAnsi="仿宋_GB2312" w:cs="仿宋_GB2312" w:eastAsia="仿宋_GB2312"/>
              </w:rPr>
              <w:t>▲10</w:t>
            </w:r>
            <w:r>
              <w:rPr>
                <w:rFonts w:ascii="仿宋_GB2312" w:hAnsi="仿宋_GB2312" w:cs="仿宋_GB2312" w:eastAsia="仿宋_GB2312"/>
              </w:rPr>
              <w:t>.</w:t>
            </w:r>
            <w:r>
              <w:rPr>
                <w:rFonts w:ascii="仿宋_GB2312" w:hAnsi="仿宋_GB2312" w:cs="仿宋_GB2312" w:eastAsia="仿宋_GB2312"/>
              </w:rPr>
              <w:t>光纤飞秒激光器：双路输出</w:t>
            </w:r>
          </w:p>
          <w:p>
            <w:pPr>
              <w:pStyle w:val="null3"/>
            </w:pPr>
            <w:r>
              <w:rPr>
                <w:rFonts w:ascii="仿宋_GB2312" w:hAnsi="仿宋_GB2312" w:cs="仿宋_GB2312" w:eastAsia="仿宋_GB2312"/>
              </w:rPr>
              <w:t>11</w:t>
            </w:r>
            <w:r>
              <w:rPr>
                <w:rFonts w:ascii="仿宋_GB2312" w:hAnsi="仿宋_GB2312" w:cs="仿宋_GB2312" w:eastAsia="仿宋_GB2312"/>
              </w:rPr>
              <w:t>.</w:t>
            </w:r>
            <w:r>
              <w:rPr>
                <w:rFonts w:ascii="仿宋_GB2312" w:hAnsi="仿宋_GB2312" w:cs="仿宋_GB2312" w:eastAsia="仿宋_GB2312"/>
              </w:rPr>
              <w:t>光纤飞秒激光器输出功率：每路</w:t>
            </w:r>
            <w:r>
              <w:rPr>
                <w:rFonts w:ascii="仿宋_GB2312" w:hAnsi="仿宋_GB2312" w:cs="仿宋_GB2312" w:eastAsia="仿宋_GB2312"/>
              </w:rPr>
              <w:t>≥</w:t>
            </w:r>
            <w:r>
              <w:rPr>
                <w:rFonts w:ascii="仿宋_GB2312" w:hAnsi="仿宋_GB2312" w:cs="仿宋_GB2312" w:eastAsia="仿宋_GB2312"/>
              </w:rPr>
              <w:t>25mW，</w:t>
            </w:r>
          </w:p>
          <w:p>
            <w:pPr>
              <w:pStyle w:val="null3"/>
            </w:pPr>
            <w:r>
              <w:rPr>
                <w:rFonts w:ascii="仿宋_GB2312" w:hAnsi="仿宋_GB2312" w:cs="仿宋_GB2312" w:eastAsia="仿宋_GB2312"/>
              </w:rPr>
              <w:t>12</w:t>
            </w:r>
            <w:r>
              <w:rPr>
                <w:rFonts w:ascii="仿宋_GB2312" w:hAnsi="仿宋_GB2312" w:cs="仿宋_GB2312" w:eastAsia="仿宋_GB2312"/>
              </w:rPr>
              <w:t>.</w:t>
            </w:r>
            <w:r>
              <w:rPr>
                <w:rFonts w:ascii="仿宋_GB2312" w:hAnsi="仿宋_GB2312" w:cs="仿宋_GB2312" w:eastAsia="仿宋_GB2312"/>
              </w:rPr>
              <w:t>飞秒激光脉冲宽度：</w:t>
            </w:r>
            <w:r>
              <w:rPr>
                <w:rFonts w:ascii="仿宋_GB2312" w:hAnsi="仿宋_GB2312" w:cs="仿宋_GB2312" w:eastAsia="仿宋_GB2312"/>
              </w:rPr>
              <w:t>≤</w:t>
            </w:r>
            <w:r>
              <w:rPr>
                <w:rFonts w:ascii="仿宋_GB2312" w:hAnsi="仿宋_GB2312" w:cs="仿宋_GB2312" w:eastAsia="仿宋_GB2312"/>
              </w:rPr>
              <w:t>100fs</w:t>
            </w:r>
          </w:p>
          <w:p>
            <w:pPr>
              <w:pStyle w:val="null3"/>
            </w:pPr>
            <w:r>
              <w:rPr>
                <w:rFonts w:ascii="仿宋_GB2312" w:hAnsi="仿宋_GB2312" w:cs="仿宋_GB2312" w:eastAsia="仿宋_GB2312"/>
              </w:rPr>
              <w:t>13</w:t>
            </w:r>
            <w:r>
              <w:rPr>
                <w:rFonts w:ascii="仿宋_GB2312" w:hAnsi="仿宋_GB2312" w:cs="仿宋_GB2312" w:eastAsia="仿宋_GB2312"/>
              </w:rPr>
              <w:t>.</w:t>
            </w:r>
            <w:r>
              <w:rPr>
                <w:rFonts w:ascii="仿宋_GB2312" w:hAnsi="仿宋_GB2312" w:cs="仿宋_GB2312" w:eastAsia="仿宋_GB2312"/>
              </w:rPr>
              <w:t>飞秒激光中心波长：</w:t>
            </w:r>
            <w:r>
              <w:rPr>
                <w:rFonts w:ascii="仿宋_GB2312" w:hAnsi="仿宋_GB2312" w:cs="仿宋_GB2312" w:eastAsia="仿宋_GB2312"/>
              </w:rPr>
              <w:t>1560nm±10nm</w:t>
            </w:r>
          </w:p>
          <w:p>
            <w:pPr>
              <w:pStyle w:val="null3"/>
            </w:pPr>
            <w:r>
              <w:rPr>
                <w:rFonts w:ascii="仿宋_GB2312" w:hAnsi="仿宋_GB2312" w:cs="仿宋_GB2312" w:eastAsia="仿宋_GB2312"/>
              </w:rPr>
              <w:t>14</w:t>
            </w:r>
            <w:r>
              <w:rPr>
                <w:rFonts w:ascii="仿宋_GB2312" w:hAnsi="仿宋_GB2312" w:cs="仿宋_GB2312" w:eastAsia="仿宋_GB2312"/>
              </w:rPr>
              <w:t>.</w:t>
            </w:r>
            <w:r>
              <w:rPr>
                <w:rFonts w:ascii="仿宋_GB2312" w:hAnsi="仿宋_GB2312" w:cs="仿宋_GB2312" w:eastAsia="仿宋_GB2312"/>
              </w:rPr>
              <w:t>飞秒激光重复频率：</w:t>
            </w:r>
            <w:r>
              <w:rPr>
                <w:rFonts w:ascii="仿宋_GB2312" w:hAnsi="仿宋_GB2312" w:cs="仿宋_GB2312" w:eastAsia="仿宋_GB2312"/>
              </w:rPr>
              <w:t>100MHz</w:t>
            </w:r>
          </w:p>
          <w:p>
            <w:pPr>
              <w:pStyle w:val="null3"/>
            </w:pP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太赫兹镜头工作频率：</w:t>
            </w:r>
            <w:r>
              <w:rPr>
                <w:rFonts w:ascii="仿宋_GB2312" w:hAnsi="仿宋_GB2312" w:cs="仿宋_GB2312" w:eastAsia="仿宋_GB2312"/>
              </w:rPr>
              <w:t>0.1THz~30THz</w:t>
            </w:r>
          </w:p>
          <w:p>
            <w:pPr>
              <w:pStyle w:val="null3"/>
            </w:pPr>
            <w:r>
              <w:rPr>
                <w:rFonts w:ascii="仿宋_GB2312" w:hAnsi="仿宋_GB2312" w:cs="仿宋_GB2312" w:eastAsia="仿宋_GB2312"/>
              </w:rPr>
              <w:t>16</w:t>
            </w:r>
            <w:r>
              <w:rPr>
                <w:rFonts w:ascii="仿宋_GB2312" w:hAnsi="仿宋_GB2312" w:cs="仿宋_GB2312" w:eastAsia="仿宋_GB2312"/>
              </w:rPr>
              <w:t>.</w:t>
            </w:r>
            <w:r>
              <w:rPr>
                <w:rFonts w:ascii="仿宋_GB2312" w:hAnsi="仿宋_GB2312" w:cs="仿宋_GB2312" w:eastAsia="仿宋_GB2312"/>
              </w:rPr>
              <w:t>太赫兹镜头焦距：</w:t>
            </w:r>
            <w:r>
              <w:rPr>
                <w:rFonts w:ascii="仿宋_GB2312" w:hAnsi="仿宋_GB2312" w:cs="仿宋_GB2312" w:eastAsia="仿宋_GB2312"/>
              </w:rPr>
              <w:t>≥</w:t>
            </w:r>
            <w:r>
              <w:rPr>
                <w:rFonts w:ascii="仿宋_GB2312" w:hAnsi="仿宋_GB2312" w:cs="仿宋_GB2312" w:eastAsia="仿宋_GB2312"/>
              </w:rPr>
              <w:t>15mm</w:t>
            </w:r>
          </w:p>
          <w:p>
            <w:pPr>
              <w:pStyle w:val="null3"/>
            </w:pPr>
            <w:r>
              <w:rPr>
                <w:rFonts w:ascii="仿宋_GB2312" w:hAnsi="仿宋_GB2312" w:cs="仿宋_GB2312" w:eastAsia="仿宋_GB2312"/>
              </w:rPr>
              <w:t>▲17</w:t>
            </w:r>
            <w:r>
              <w:rPr>
                <w:rFonts w:ascii="仿宋_GB2312" w:hAnsi="仿宋_GB2312" w:cs="仿宋_GB2312" w:eastAsia="仿宋_GB2312"/>
              </w:rPr>
              <w:t>.</w:t>
            </w:r>
            <w:r>
              <w:rPr>
                <w:rFonts w:ascii="仿宋_GB2312" w:hAnsi="仿宋_GB2312" w:cs="仿宋_GB2312" w:eastAsia="仿宋_GB2312"/>
              </w:rPr>
              <w:t>太赫兹镜头像场：</w:t>
            </w:r>
            <w:r>
              <w:rPr>
                <w:rFonts w:ascii="仿宋_GB2312" w:hAnsi="仿宋_GB2312" w:cs="仿宋_GB2312" w:eastAsia="仿宋_GB2312"/>
              </w:rPr>
              <w:t>40</w:t>
            </w:r>
            <w:r>
              <w:rPr>
                <w:rFonts w:ascii="仿宋_GB2312" w:hAnsi="仿宋_GB2312" w:cs="仿宋_GB2312" w:eastAsia="仿宋_GB2312"/>
              </w:rPr>
              <w:t>°</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▲18</w:t>
            </w:r>
            <w:r>
              <w:rPr>
                <w:rFonts w:ascii="仿宋_GB2312" w:hAnsi="仿宋_GB2312" w:cs="仿宋_GB2312" w:eastAsia="仿宋_GB2312"/>
              </w:rPr>
              <w:t>.</w:t>
            </w:r>
            <w:r>
              <w:rPr>
                <w:rFonts w:ascii="仿宋_GB2312" w:hAnsi="仿宋_GB2312" w:cs="仿宋_GB2312" w:eastAsia="仿宋_GB2312"/>
              </w:rPr>
              <w:t>太赫兹镜头工作距离：</w:t>
            </w:r>
            <w:r>
              <w:rPr>
                <w:rFonts w:ascii="仿宋_GB2312" w:hAnsi="仿宋_GB2312" w:cs="仿宋_GB2312" w:eastAsia="仿宋_GB2312"/>
              </w:rPr>
              <w:t>3cm—∞cm</w:t>
            </w:r>
          </w:p>
          <w:p>
            <w:pPr>
              <w:pStyle w:val="null3"/>
            </w:pPr>
            <w:r>
              <w:rPr>
                <w:rFonts w:ascii="仿宋_GB2312" w:hAnsi="仿宋_GB2312" w:cs="仿宋_GB2312" w:eastAsia="仿宋_GB2312"/>
              </w:rPr>
              <w:t>19</w:t>
            </w:r>
            <w:r>
              <w:rPr>
                <w:rFonts w:ascii="仿宋_GB2312" w:hAnsi="仿宋_GB2312" w:cs="仿宋_GB2312" w:eastAsia="仿宋_GB2312"/>
              </w:rPr>
              <w:t>.</w:t>
            </w:r>
            <w:r>
              <w:rPr>
                <w:rFonts w:ascii="仿宋_GB2312" w:hAnsi="仿宋_GB2312" w:cs="仿宋_GB2312" w:eastAsia="仿宋_GB2312"/>
              </w:rPr>
              <w:t>太赫兹镜头畸变：</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p>
          <w:p>
            <w:pPr>
              <w:pStyle w:val="null3"/>
            </w:pPr>
            <w:r>
              <w:rPr>
                <w:rFonts w:ascii="仿宋_GB2312" w:hAnsi="仿宋_GB2312" w:cs="仿宋_GB2312" w:eastAsia="仿宋_GB2312"/>
              </w:rPr>
              <w:t>三、配置要求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成像</w:t>
            </w:r>
            <w:r>
              <w:rPr>
                <w:rFonts w:ascii="仿宋_GB2312" w:hAnsi="仿宋_GB2312" w:cs="仿宋_GB2312" w:eastAsia="仿宋_GB2312"/>
              </w:rPr>
              <w:t>模块</w:t>
            </w:r>
            <w:r>
              <w:rPr>
                <w:rFonts w:ascii="仿宋_GB2312" w:hAnsi="仿宋_GB2312" w:cs="仿宋_GB2312" w:eastAsia="仿宋_GB2312"/>
              </w:rPr>
              <w:t>：外接高精度二维成像平台</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转角度</w:t>
            </w:r>
            <w:r>
              <w:rPr>
                <w:rFonts w:ascii="仿宋_GB2312" w:hAnsi="仿宋_GB2312" w:cs="仿宋_GB2312" w:eastAsia="仿宋_GB2312"/>
              </w:rPr>
              <w:t>模块</w:t>
            </w:r>
            <w:r>
              <w:rPr>
                <w:rFonts w:ascii="仿宋_GB2312" w:hAnsi="仿宋_GB2312" w:cs="仿宋_GB2312" w:eastAsia="仿宋_GB2312"/>
              </w:rPr>
              <w:t>：外接手动转角度平台</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上位机</w:t>
            </w:r>
            <w:r>
              <w:rPr>
                <w:rFonts w:ascii="仿宋_GB2312" w:hAnsi="仿宋_GB2312" w:cs="仿宋_GB2312" w:eastAsia="仿宋_GB2312"/>
              </w:rPr>
              <w:t>模块</w:t>
            </w:r>
            <w:r>
              <w:rPr>
                <w:rFonts w:ascii="仿宋_GB2312" w:hAnsi="仿宋_GB2312" w:cs="仿宋_GB2312" w:eastAsia="仿宋_GB2312"/>
              </w:rPr>
              <w:t>：仪器控制、数据采集、存储等</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数据分析</w:t>
            </w:r>
            <w:r>
              <w:rPr>
                <w:rFonts w:ascii="仿宋_GB2312" w:hAnsi="仿宋_GB2312" w:cs="仿宋_GB2312" w:eastAsia="仿宋_GB2312"/>
              </w:rPr>
              <w:t>模块</w:t>
            </w:r>
            <w:r>
              <w:rPr>
                <w:rFonts w:ascii="仿宋_GB2312" w:hAnsi="仿宋_GB2312" w:cs="仿宋_GB2312" w:eastAsia="仿宋_GB2312"/>
              </w:rPr>
              <w:t>：折射率、吸收系数、消光系数等</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二次开发：</w:t>
            </w:r>
            <w:r>
              <w:rPr>
                <w:rFonts w:ascii="仿宋_GB2312" w:hAnsi="仿宋_GB2312" w:cs="仿宋_GB2312" w:eastAsia="仿宋_GB2312"/>
                <w:sz w:val="21"/>
              </w:rPr>
              <w:t>SKD二次开发包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标的名称：水利水电太赫兹无损探伤成像仪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一、水利水电太赫兹无损探伤成像仪功能要求</w:t>
            </w:r>
          </w:p>
          <w:p>
            <w:pPr>
              <w:pStyle w:val="null3"/>
            </w:pPr>
            <w:r>
              <w:rPr>
                <w:rFonts w:ascii="仿宋_GB2312" w:hAnsi="仿宋_GB2312" w:cs="仿宋_GB2312" w:eastAsia="仿宋_GB2312"/>
                <w:sz w:val="20"/>
              </w:rPr>
              <w:t>1.透射式成像</w:t>
            </w:r>
          </w:p>
          <w:p>
            <w:pPr>
              <w:pStyle w:val="null3"/>
            </w:pPr>
            <w:r>
              <w:rPr>
                <w:rFonts w:ascii="仿宋_GB2312" w:hAnsi="仿宋_GB2312" w:cs="仿宋_GB2312" w:eastAsia="仿宋_GB2312"/>
                <w:sz w:val="20"/>
              </w:rPr>
              <w:t>2.</w:t>
            </w:r>
            <w:r>
              <w:rPr>
                <w:rFonts w:ascii="仿宋_GB2312" w:hAnsi="仿宋_GB2312" w:cs="仿宋_GB2312" w:eastAsia="仿宋_GB2312"/>
                <w:sz w:val="20"/>
              </w:rPr>
              <w:t>反射式成像</w:t>
            </w:r>
          </w:p>
          <w:p>
            <w:pPr>
              <w:pStyle w:val="null3"/>
            </w:pPr>
            <w:r>
              <w:rPr>
                <w:rFonts w:ascii="仿宋_GB2312" w:hAnsi="仿宋_GB2312" w:cs="仿宋_GB2312" w:eastAsia="仿宋_GB2312"/>
                <w:sz w:val="20"/>
              </w:rPr>
              <w:t>二、主要技术参数要求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面阵成像阵列</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像素：</w:t>
            </w:r>
            <w:r>
              <w:rPr>
                <w:rFonts w:ascii="仿宋_GB2312" w:hAnsi="仿宋_GB2312" w:cs="仿宋_GB2312" w:eastAsia="仿宋_GB2312"/>
                <w:sz w:val="20"/>
              </w:rPr>
              <w:t>≥160×160</w:t>
            </w:r>
          </w:p>
          <w:p>
            <w:pPr>
              <w:pStyle w:val="null3"/>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频谱响应范围：</w:t>
            </w:r>
            <w:r>
              <w:rPr>
                <w:rFonts w:ascii="仿宋_GB2312" w:hAnsi="仿宋_GB2312" w:cs="仿宋_GB2312" w:eastAsia="仿宋_GB2312"/>
                <w:sz w:val="20"/>
              </w:rPr>
              <w:t>0.1</w:t>
            </w:r>
            <w:r>
              <w:rPr>
                <w:rFonts w:ascii="仿宋_GB2312" w:hAnsi="仿宋_GB2312" w:cs="仿宋_GB2312" w:eastAsia="仿宋_GB2312"/>
                <w:sz w:val="20"/>
              </w:rPr>
              <w:t xml:space="preserve"> </w:t>
            </w:r>
            <w:r>
              <w:rPr>
                <w:rFonts w:ascii="仿宋_GB2312" w:hAnsi="仿宋_GB2312" w:cs="仿宋_GB2312" w:eastAsia="仿宋_GB2312"/>
                <w:sz w:val="20"/>
              </w:rPr>
              <w:t>THz～</w:t>
            </w:r>
            <w:r>
              <w:rPr>
                <w:rFonts w:ascii="仿宋_GB2312" w:hAnsi="仿宋_GB2312" w:cs="仿宋_GB2312" w:eastAsia="仿宋_GB2312"/>
                <w:sz w:val="20"/>
              </w:rPr>
              <w:t>3 THz</w:t>
            </w:r>
          </w:p>
          <w:p>
            <w:pPr>
              <w:pStyle w:val="null3"/>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成像速度：</w:t>
            </w:r>
            <w:r>
              <w:rPr>
                <w:rFonts w:ascii="仿宋_GB2312" w:hAnsi="仿宋_GB2312" w:cs="仿宋_GB2312" w:eastAsia="仿宋_GB2312"/>
                <w:sz w:val="20"/>
              </w:rPr>
              <w:t>＜</w:t>
            </w:r>
            <w:r>
              <w:rPr>
                <w:rFonts w:ascii="仿宋_GB2312" w:hAnsi="仿宋_GB2312" w:cs="仿宋_GB2312" w:eastAsia="仿宋_GB2312"/>
                <w:sz w:val="20"/>
              </w:rPr>
              <w:t>1 s</w:t>
            </w:r>
          </w:p>
          <w:p>
            <w:pPr>
              <w:pStyle w:val="null3"/>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100 μm@1 THz</w:t>
            </w:r>
          </w:p>
          <w:p>
            <w:pPr>
              <w:pStyle w:val="null3"/>
            </w:pPr>
            <w:r>
              <w:rPr>
                <w:rFonts w:ascii="仿宋_GB2312" w:hAnsi="仿宋_GB2312" w:cs="仿宋_GB2312" w:eastAsia="仿宋_GB2312"/>
                <w:sz w:val="20"/>
              </w:rPr>
              <w:t>2.平移控制系统：</w:t>
            </w:r>
          </w:p>
          <w:p>
            <w:pPr>
              <w:pStyle w:val="null3"/>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扫描</w:t>
            </w:r>
            <w:r>
              <w:rPr>
                <w:rFonts w:ascii="仿宋_GB2312" w:hAnsi="仿宋_GB2312" w:cs="仿宋_GB2312" w:eastAsia="仿宋_GB2312"/>
                <w:sz w:val="20"/>
              </w:rPr>
              <w:t>成像</w:t>
            </w:r>
            <w:r>
              <w:rPr>
                <w:rFonts w:ascii="仿宋_GB2312" w:hAnsi="仿宋_GB2312" w:cs="仿宋_GB2312" w:eastAsia="仿宋_GB2312"/>
                <w:sz w:val="20"/>
              </w:rPr>
              <w:t>范围：</w:t>
            </w:r>
            <w:r>
              <w:rPr>
                <w:rFonts w:ascii="仿宋_GB2312" w:hAnsi="仿宋_GB2312" w:cs="仿宋_GB2312" w:eastAsia="仿宋_GB2312"/>
                <w:sz w:val="20"/>
              </w:rPr>
              <w:t>≥</w:t>
            </w:r>
            <w:r>
              <w:rPr>
                <w:rFonts w:ascii="仿宋_GB2312" w:hAnsi="仿宋_GB2312" w:cs="仿宋_GB2312" w:eastAsia="仿宋_GB2312"/>
                <w:sz w:val="20"/>
              </w:rPr>
              <w:t>150 mm×150 mm</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平移控制系统：</w:t>
            </w:r>
            <w:r>
              <w:rPr>
                <w:rFonts w:ascii="仿宋_GB2312" w:hAnsi="仿宋_GB2312" w:cs="仿宋_GB2312" w:eastAsia="仿宋_GB2312"/>
                <w:sz w:val="20"/>
              </w:rPr>
              <w:t>3轴，</w:t>
            </w:r>
            <w:r>
              <w:rPr>
                <w:rFonts w:ascii="仿宋_GB2312" w:hAnsi="仿宋_GB2312" w:cs="仿宋_GB2312" w:eastAsia="仿宋_GB2312"/>
                <w:sz w:val="20"/>
              </w:rPr>
              <w:t>具有</w:t>
            </w:r>
            <w:r>
              <w:rPr>
                <w:rFonts w:ascii="仿宋_GB2312" w:hAnsi="仿宋_GB2312" w:cs="仿宋_GB2312" w:eastAsia="仿宋_GB2312"/>
                <w:sz w:val="20"/>
              </w:rPr>
              <w:t>3D扫描功能，可设置2D扫描功能。</w:t>
            </w:r>
          </w:p>
          <w:p>
            <w:pPr>
              <w:pStyle w:val="null3"/>
            </w:pPr>
            <w:r>
              <w:rPr>
                <w:rFonts w:ascii="仿宋_GB2312" w:hAnsi="仿宋_GB2312" w:cs="仿宋_GB2312" w:eastAsia="仿宋_GB2312"/>
                <w:sz w:val="20"/>
              </w:rPr>
              <w:t>3．探测器：</w:t>
            </w:r>
          </w:p>
          <w:p>
            <w:pPr>
              <w:pStyle w:val="null3"/>
            </w:pPr>
            <w:r>
              <w:rPr>
                <w:rFonts w:ascii="仿宋_GB2312" w:hAnsi="仿宋_GB2312" w:cs="仿宋_GB2312" w:eastAsia="仿宋_GB2312"/>
                <w:sz w:val="20"/>
              </w:rPr>
              <w:t>▲噪声等效功率：≤10</w:t>
            </w:r>
            <w:r>
              <w:rPr>
                <w:rFonts w:ascii="仿宋_GB2312" w:hAnsi="仿宋_GB2312" w:cs="仿宋_GB2312" w:eastAsia="仿宋_GB2312"/>
                <w:sz w:val="24"/>
                <w:vertAlign w:val="superscript"/>
              </w:rPr>
              <w:t>-10</w:t>
            </w:r>
            <w:r>
              <w:rPr>
                <w:rFonts w:ascii="仿宋_GB2312" w:hAnsi="仿宋_GB2312" w:cs="仿宋_GB2312" w:eastAsia="仿宋_GB2312"/>
                <w:sz w:val="20"/>
              </w:rPr>
              <w:t xml:space="preserve"> W/Hz</w:t>
            </w:r>
            <w:r>
              <w:rPr>
                <w:rFonts w:ascii="仿宋_GB2312" w:hAnsi="仿宋_GB2312" w:cs="仿宋_GB2312" w:eastAsia="仿宋_GB2312"/>
                <w:sz w:val="24"/>
                <w:vertAlign w:val="superscript"/>
              </w:rPr>
              <w:t>1/2</w:t>
            </w:r>
          </w:p>
          <w:p>
            <w:pPr>
              <w:pStyle w:val="null3"/>
            </w:pPr>
            <w:r>
              <w:rPr>
                <w:rFonts w:ascii="仿宋_GB2312" w:hAnsi="仿宋_GB2312" w:cs="仿宋_GB2312" w:eastAsia="仿宋_GB2312"/>
                <w:sz w:val="20"/>
              </w:rPr>
              <w:t>4. 太赫兹透镜：</w:t>
            </w:r>
          </w:p>
          <w:p>
            <w:pPr>
              <w:pStyle w:val="null3"/>
            </w:pPr>
            <w:r>
              <w:rPr>
                <w:rFonts w:ascii="仿宋_GB2312" w:hAnsi="仿宋_GB2312" w:cs="仿宋_GB2312" w:eastAsia="仿宋_GB2312"/>
                <w:sz w:val="20"/>
              </w:rPr>
              <w:t>TPX材质或离轴抛物面镜，焦距50mm</w:t>
            </w:r>
            <w:r>
              <w:rPr>
                <w:rFonts w:ascii="仿宋_GB2312" w:hAnsi="仿宋_GB2312" w:cs="仿宋_GB2312" w:eastAsia="仿宋_GB2312"/>
                <w:sz w:val="20"/>
              </w:rPr>
              <w:t>～</w:t>
            </w:r>
            <w:r>
              <w:rPr>
                <w:rFonts w:ascii="仿宋_GB2312" w:hAnsi="仿宋_GB2312" w:cs="仿宋_GB2312" w:eastAsia="仿宋_GB2312"/>
                <w:sz w:val="20"/>
              </w:rPr>
              <w:t>200mm</w:t>
            </w:r>
          </w:p>
          <w:p>
            <w:pPr>
              <w:pStyle w:val="null3"/>
            </w:pPr>
            <w:r>
              <w:rPr>
                <w:rFonts w:ascii="仿宋_GB2312" w:hAnsi="仿宋_GB2312" w:cs="仿宋_GB2312" w:eastAsia="仿宋_GB2312"/>
                <w:sz w:val="20"/>
              </w:rPr>
              <w:t>5. 斩波器：</w:t>
            </w:r>
          </w:p>
          <w:p>
            <w:pPr>
              <w:pStyle w:val="null3"/>
            </w:pPr>
            <w:r>
              <w:rPr>
                <w:rFonts w:ascii="仿宋_GB2312" w:hAnsi="仿宋_GB2312" w:cs="仿宋_GB2312" w:eastAsia="仿宋_GB2312"/>
                <w:sz w:val="20"/>
              </w:rPr>
              <w:t>频率</w:t>
            </w:r>
            <w:r>
              <w:rPr>
                <w:rFonts w:ascii="仿宋_GB2312" w:hAnsi="仿宋_GB2312" w:cs="仿宋_GB2312" w:eastAsia="仿宋_GB2312"/>
                <w:sz w:val="20"/>
              </w:rPr>
              <w:t>1Hz</w:t>
            </w:r>
            <w:r>
              <w:rPr>
                <w:rFonts w:ascii="仿宋_GB2312" w:hAnsi="仿宋_GB2312" w:cs="仿宋_GB2312" w:eastAsia="仿宋_GB2312"/>
                <w:sz w:val="20"/>
              </w:rPr>
              <w:t>～</w:t>
            </w:r>
            <w:r>
              <w:rPr>
                <w:rFonts w:ascii="仿宋_GB2312" w:hAnsi="仿宋_GB2312" w:cs="仿宋_GB2312" w:eastAsia="仿宋_GB2312"/>
                <w:sz w:val="20"/>
              </w:rPr>
              <w:t>4kHz 可调。</w:t>
            </w:r>
          </w:p>
          <w:p>
            <w:pPr>
              <w:pStyle w:val="null3"/>
            </w:pPr>
            <w:r>
              <w:rPr>
                <w:rFonts w:ascii="仿宋_GB2312" w:hAnsi="仿宋_GB2312" w:cs="仿宋_GB2312" w:eastAsia="仿宋_GB2312"/>
                <w:sz w:val="20"/>
              </w:rPr>
              <w:t>6. 锁相放大器：</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电压：</w:t>
            </w:r>
            <w:r>
              <w:rPr>
                <w:rFonts w:ascii="仿宋_GB2312" w:hAnsi="仿宋_GB2312" w:cs="仿宋_GB2312" w:eastAsia="仿宋_GB2312"/>
                <w:sz w:val="20"/>
              </w:rPr>
              <w:t xml:space="preserve">3 µV </w:t>
            </w:r>
            <w:r>
              <w:rPr>
                <w:rFonts w:ascii="仿宋_GB2312" w:hAnsi="仿宋_GB2312" w:cs="仿宋_GB2312" w:eastAsia="仿宋_GB2312"/>
                <w:sz w:val="20"/>
              </w:rPr>
              <w:t>～</w:t>
            </w:r>
            <w:r>
              <w:rPr>
                <w:rFonts w:ascii="仿宋_GB2312" w:hAnsi="仿宋_GB2312" w:cs="仿宋_GB2312" w:eastAsia="仿宋_GB2312"/>
                <w:sz w:val="20"/>
              </w:rPr>
              <w:t xml:space="preserve"> 100 mV;</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电流：</w:t>
            </w:r>
            <w:r>
              <w:rPr>
                <w:rFonts w:ascii="仿宋_GB2312" w:hAnsi="仿宋_GB2312" w:cs="仿宋_GB2312" w:eastAsia="仿宋_GB2312"/>
                <w:sz w:val="20"/>
              </w:rPr>
              <w:t xml:space="preserve">3 nA </w:t>
            </w:r>
            <w:r>
              <w:rPr>
                <w:rFonts w:ascii="仿宋_GB2312" w:hAnsi="仿宋_GB2312" w:cs="仿宋_GB2312" w:eastAsia="仿宋_GB2312"/>
                <w:sz w:val="20"/>
              </w:rPr>
              <w:t>～</w:t>
            </w:r>
            <w:r>
              <w:rPr>
                <w:rFonts w:ascii="仿宋_GB2312" w:hAnsi="仿宋_GB2312" w:cs="仿宋_GB2312" w:eastAsia="仿宋_GB2312"/>
                <w:sz w:val="20"/>
              </w:rPr>
              <w:t xml:space="preserve"> 100 µA</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频率范围：</w:t>
            </w:r>
            <w:r>
              <w:rPr>
                <w:rFonts w:ascii="仿宋_GB2312" w:hAnsi="仿宋_GB2312" w:cs="仿宋_GB2312" w:eastAsia="仿宋_GB2312"/>
                <w:sz w:val="20"/>
              </w:rPr>
              <w:t>10Hz</w:t>
            </w:r>
            <w:r>
              <w:rPr>
                <w:rFonts w:ascii="仿宋_GB2312" w:hAnsi="仿宋_GB2312" w:cs="仿宋_GB2312" w:eastAsia="仿宋_GB2312"/>
                <w:sz w:val="20"/>
              </w:rPr>
              <w:t>～</w:t>
            </w:r>
            <w:r>
              <w:rPr>
                <w:rFonts w:ascii="仿宋_GB2312" w:hAnsi="仿宋_GB2312" w:cs="仿宋_GB2312" w:eastAsia="仿宋_GB2312"/>
                <w:sz w:val="20"/>
              </w:rPr>
              <w:t xml:space="preserve"> 45kHz</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时间常数：</w:t>
            </w:r>
            <w:r>
              <w:rPr>
                <w:rFonts w:ascii="仿宋_GB2312" w:hAnsi="仿宋_GB2312" w:cs="仿宋_GB2312" w:eastAsia="仿宋_GB2312"/>
                <w:sz w:val="20"/>
              </w:rPr>
              <w:t xml:space="preserve">3 ms </w:t>
            </w:r>
            <w:r>
              <w:rPr>
                <w:rFonts w:ascii="仿宋_GB2312" w:hAnsi="仿宋_GB2312" w:cs="仿宋_GB2312" w:eastAsia="仿宋_GB2312"/>
                <w:sz w:val="20"/>
              </w:rPr>
              <w:t>～</w:t>
            </w:r>
            <w:r>
              <w:rPr>
                <w:rFonts w:ascii="仿宋_GB2312" w:hAnsi="仿宋_GB2312" w:cs="仿宋_GB2312" w:eastAsia="仿宋_GB2312"/>
                <w:sz w:val="20"/>
              </w:rPr>
              <w:t>10 s</w:t>
            </w:r>
          </w:p>
          <w:p>
            <w:pPr>
              <w:pStyle w:val="null3"/>
            </w:pPr>
            <w:r>
              <w:rPr>
                <w:rFonts w:ascii="仿宋_GB2312" w:hAnsi="仿宋_GB2312" w:cs="仿宋_GB2312" w:eastAsia="仿宋_GB2312"/>
                <w:sz w:val="20"/>
              </w:rPr>
              <w:t>三、配置要求</w:t>
            </w:r>
          </w:p>
          <w:p>
            <w:pPr>
              <w:pStyle w:val="null3"/>
            </w:pPr>
            <w:r>
              <w:rPr>
                <w:rFonts w:ascii="仿宋_GB2312" w:hAnsi="仿宋_GB2312" w:cs="仿宋_GB2312" w:eastAsia="仿宋_GB2312"/>
                <w:sz w:val="20"/>
              </w:rPr>
              <w:t>1.透射式成像模块：由多个透镜或离轴抛物面镜组成的8f透射成像光路</w:t>
            </w:r>
          </w:p>
          <w:p>
            <w:pPr>
              <w:pStyle w:val="null3"/>
            </w:pPr>
            <w:r>
              <w:rPr>
                <w:rFonts w:ascii="仿宋_GB2312" w:hAnsi="仿宋_GB2312" w:cs="仿宋_GB2312" w:eastAsia="仿宋_GB2312"/>
                <w:sz w:val="20"/>
              </w:rPr>
              <w:t>2.反射式成像模块：由多个透镜或离轴抛物面镜组成的8f反射成像光路</w:t>
            </w:r>
          </w:p>
          <w:p>
            <w:pPr>
              <w:pStyle w:val="null3"/>
            </w:pPr>
            <w:r>
              <w:rPr>
                <w:rFonts w:ascii="仿宋_GB2312" w:hAnsi="仿宋_GB2312" w:cs="仿宋_GB2312" w:eastAsia="仿宋_GB2312"/>
                <w:sz w:val="20"/>
              </w:rPr>
              <w:t>3.</w:t>
            </w:r>
            <w:r>
              <w:rPr>
                <w:rFonts w:ascii="仿宋_GB2312" w:hAnsi="仿宋_GB2312" w:cs="仿宋_GB2312" w:eastAsia="仿宋_GB2312"/>
                <w:sz w:val="20"/>
              </w:rPr>
              <w:t>图像处理</w:t>
            </w:r>
            <w:r>
              <w:rPr>
                <w:rFonts w:ascii="仿宋_GB2312" w:hAnsi="仿宋_GB2312" w:cs="仿宋_GB2312" w:eastAsia="仿宋_GB2312"/>
                <w:sz w:val="20"/>
              </w:rPr>
              <w:t>软件</w:t>
            </w:r>
            <w:r>
              <w:rPr>
                <w:rFonts w:ascii="仿宋_GB2312" w:hAnsi="仿宋_GB2312" w:cs="仿宋_GB2312" w:eastAsia="仿宋_GB2312"/>
                <w:sz w:val="20"/>
              </w:rPr>
              <w:t>：对比度、分辨率、频谱分析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合同签订后30个日历日内完成安装并交付采购人使用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合同签订后30个日历日内完成安装并交付采购人使用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中标人按照合同规定期限内供货、调试完成，经招标人最终验收合格并签署《验收合格确认书》后中标人向招标人开具全额合法有效的增值税专用发票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中标人按照合同规定期限内供货、调试完成，经招标人最终验收合格并签署《验收合格确认书》后中标人向招标人开具全额合法有效的增值税专用发票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标的物必须为全新的、来源合法，符合国家或有关行业质量标准。合同标的物自项目验收合格之日起质保期3年，质保期自甲方在货物质量验收合格之日起计算。本项目质保期内所产生的全部费用（含但不限于设备维修、零部件更换、人工服务、技术支持等与产品质量保障相关的费用），均已包含在本次投标报价中，采购人在质保期内不再向中标人支付任何额外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标的物必须为全新的、来源合法，符合国家或有关行业质量标准。合同标的物自项目验收合格之日起质保期3年，质保期自甲方在货物质量验收合格之日起计算。本项目质保期内所产生的全部费用（含但不限于设备维修、零部件更换、人工服务、技术支持等与产品质量保障相关的费用），均已包含在本次投标报价中，采购人在质保期内不再向中标人支付任何额外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合同违约情况按《中华人民共和国民法典》中的相关条款执行。2、甲乙双方必须遵守本合同并执行合同中的各项规定，保证本合同的正常履行。3、如因乙方工作人员在履行职务过程中的疏忽、失职、过错等故意或者过失原因给甲方造成损失或侵害，包括但不限于甲方本身的财产损失、由此而导致的甲方对任何第三方的法律责任等，乙方对此均应承担全部的赔偿责任。4、未按合同要求提供设备或提供的设备质量或规格不能满足技术要求，甲方有权终止合同并对乙方违约行为进行追究，同时按政府采购法的有关规定进行相应的处罚。 解决合同纠纷的方式 1、在执行本合同中发生的或与本合同有关的争端，双方应通过友好协商解决，经协商不能达成协议时，则采取以下第2种方式解决争议： （1）向甲方所在地有管辖权的人民法院提起诉讼；（2）向西安仲裁委员会按其仲裁规则申请仲裁。 2、在仲裁期间，本合同应继续履行。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 1、合同违约情况按《中华人民共和国民法典》中的相关条款执行。2、甲乙双方必须遵守本合同并执行合同中的各项规定，保证本合同的正常履行。3、如因乙方工作人员在履行职务过程中的疏忽、失职、过错等故意或者过失原因给甲方造成损失或侵害，包括但不限于甲方本身的财产损失、由此而导致的甲方对任何第三方的法律责任等，乙方对此均应承担全部的赔偿责任。4、未按合同要求提供设备或提供的设备质量或规格不能满足技术要求，甲方有权终止合同并对乙方违约行为进行追究，同时按政府采购法的有关规定进行相应的处罚。 解决合同纠纷的方式 1、在执行本合同中发生的或与本合同有关的争端，双方应通过友好协商解决，经协商不能达成协议时，则采取以下第2种方式解决争议： （1）向甲方所在地有管辖权的人民法院提起诉讼；（2）向西安仲裁委员会按其仲裁规则申请仲裁。 2、在仲裁期间，本合同应继续履行。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3.4.4支付约定为系统固定推述内容，具体付款方式以下列内容为准：中标人按照合同规定期限内供货、调试完成，经招标人最终验收合格并签署《验收合格报告》后7个工作日内，向中标人支付全部合同款项。中标人应在招标人付款前，向招标人开具全额合法有效的增值税专用发票。 2.用保函形式缴纳投标保证金的投标人应按照陕西省政府采购网的相关要求进行递交，同时还需在投标截止时间前将保函扫描成清晰的PDF文件发送至邮箱1253677747@qq.com（邮件命名：项目编号+项目名称） 3.用转账形式缴纳投标保证金的投标人转账时需备注项目名称+采购包号+投标保证金； 4.本项目依次按照采购包1、采购包2进行评审。各供应商均可就本招标项目上述采购包中的其中一个或多个采购包投标，但两个采购包只允许中标其中一个。如多个采购包为第一成交候选人，则按照采购包号从前到后的顺序只推荐为其中一个采购包的第一成交候选人。 5.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（5）落实《国务院办公厅关于在政府采购中实施本国产品标准及相关政策的通知》（国办发﹝2025﹞34号）的政策；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（5）落实《国务院办公厅关于在政府采购中实施本国产品标准及相关政策的通知》（国办发﹝2025﹞34号）的政策；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开标一览表 产品技术参数表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投标人应提交的相关资格证明材料.docx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 xml:space="preserve"> 不存在法律、法规和招标文件规定的其他无效情形。</w:t>
            </w:r>
          </w:p>
        </w:tc>
        <w:tc>
          <w:tcPr>
            <w:tcW w:type="dxa" w:w="1661"/>
          </w:tcPr>
          <w:p>
            <w:pPr>
              <w:pStyle w:val="null3"/>
            </w:pPr>
            <w:r>
              <w:rPr>
                <w:rFonts w:ascii="仿宋_GB2312" w:hAnsi="仿宋_GB2312" w:cs="仿宋_GB2312" w:eastAsia="仿宋_GB2312"/>
              </w:rPr>
              <w:t>开标一览表 产品技术参数表 投标人应提交的相关资格证明材料.docx 投标函 中小企业声明函 残疾人福利性单位声明函 商务应答表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开标一览表 投标人应提交的相关资格证明材料.docx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投标人应提交的相关资格证明材料.docx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开标一览表 产品技术参数表 投标人应提交的相关资格证明材料.docx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1.完全满足采购技术要求的，得31.50分； 2.“★”项技术参数为实质性要求，不允许负偏离，否则为无效响应； 3.“▲”项技术参数为重要参数，每负偏离一项扣4分，扣完为止； 3.无标识参数为一般参数，每负偏离一项扣0.5分，扣完为止； 注：投标人对所投产品“★”及“▲”项参数须提供相应的佐证材料（不限于产品彩页或官网截图或产品白皮书或技术规格表或国家认可的第三方检测报告等），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31.5000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根据投标人提供的供货方案（包含①供货计划；②配送与交付运输方案；③应急保障）进行评审： ①供货计划：供货计划方案流程清晰、有序各环节内容明确，符合本项目要求的得2分； 供货计划方案完整，内容简单，与本项目采购需求存在细微偏差的得1分； ②配送与交付运输方案：配送与交付运输方案安排合理，高效，能够及时送达，能够保障项目高效实施的得2分； 配送与交付运输方案内容简单，可能影响项目实施的得1分； ③应急保障：针对各种突发事件具有详细的保障措施，能够保障项目高效实施的得2分； 应急保障措施方案存在部分缺陷，可能影响项目实施的得1分；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根据投标人提供的组织保证措施（包含①组织机构方案；②专业服务团队情况；）进行评审： ①组织机构：组织机构完备，框架结构完整，运行机制有效的得2分； 组织机构存在缺陷，框架结构残缺松散，运行机制低效的得1分； ②服务团队：服务团队人员充实、结构合理、经验丰富，能够保障项目高效实施的得2分； 服务团队人员简单、结构基本合理、经验存在一定欠缺，可能影响项目实施的得1分；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根据投标人提供的安装调试阶段的质量保证措施（包括①安装调试标准；②安装调试工具及安装调试人员配置情况；③安装调试过程中对产品的保护措施）进行评审： ①安装调试标准： 提供安装调试方案，严格按照使用说明进行安装调试并提供相应标准的得2分； 提供安装调试方案，安装调试及提供相应标准内容稍有欠缺的得1分； ②安装调试工具及安装调试人员配置情况： 配备的安装调试工具先进适配，安装调试人员具有专业性，且在安装调试方面具备充足的经验的，完全满足安装调试要求的得2分； 配备的安装调试工具及安装调试人员具有专业性，在安装调试方面经验稍有欠缺的得1分； ③安装调试过程中对产品的保护措施： 在安装调试过程中的保护措施详细合理可行，保证对产品不会造成损坏的得2分； 在安装调试过程中的保护措施简单粗略，无法保证对产品不会造成损坏的得1分；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根据投标人提供的质量保证措施（包含①质量管理体系；②质量控制流程；）进行评审： ①质量管理体系：质量管理体系明确，内容全面详细准确，能够保障项目高效实施的得2分； 质量管理体系模糊不清，可能影响项目实施的得1分； ②质量控制流程：质量控制流程清晰明确，内容全面详细，能够保障项目高效实施的得2分； 质量控制流程混乱，可能影响项目实施的得1分；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根据投标人提供的进度保证措施（包括①运输进度保证措施；②安装调试进度保证措施）进行评审： ①运输进度保证措施： 运输进度安排合理、详细，能够保障项目高效实施的得2分； 运输进度安排基本合理，方案内容较为简单，可能影响项目实施的得1分； ②安装调试进度保证措施： 安装、调试进度安排合理、详细，能够保障项目高效实施的得2分； 安装、调试进度安排基本合理，方案内容较为简单，可能影响项目实施的得1分；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根据投标人提供的售后服务（包含①售后服务专职人员安排及承诺；②售后响应时间；③售后巡查及质量跟踪方案）进行评审： ①售后服务专职人员安排及承诺：投标人能够提供专职售后服务人员且证明材料齐全（提供专职人员身份证复印件或劳动合同）完全满足本项目需求的得2分； 投标人能够提供专职售后服务人员但证明材料存在欠缺（提供专职人员身份证复印件及劳动合同）的得1分； ②售后响应时间：投标人承诺能够及时有效的为采购人提供相应售后服务的能力，并配备有专业技术人员提供实时技术支持的得0.5分（提供承诺书，承诺书格式自拟）； ③售后巡查及质量跟踪方案：投标人能够定时对产品进行故障检测排除及质量跟踪，主动发现潜在问题，避免问题扩大，各项流程清晰明确，能够保障项目高效实施的得2分； 售后巡查及质量跟踪方案存在一定欠缺，与项目实际需求存在细微偏差，可能影响项目实施的得1分；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根据投标人提供的培训方案（包含①培训人员安排及培训课程计划；②培训的内容、方式、次数等）进行评审， ①培训人员安排及培训课程计划：培训人员安排充沛，分工合理的，培训计划安排合理，丰富，能够保障项目高效实施的得2分； 培训人员简单，职责不清，培训计划安排混乱，可能影响项目实施的得1分； ②培训的内容、方式、次数：培训内容丰富，方式新颖，次数满足项目需求的得2分； 培训内容简单，方式常规，次数与项目需求存在细微偏差的得1分；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根据投标人提供的质保期承诺进行评审，质保期承诺书格式自拟；质保期在满足招标文件要求的基础上每延长1年加1分，最多加2分。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投标人提供自2023年3月1日至投标文件递交截止时间前的类似项目业绩证明材料。每提供1个完整合同复印件的得1分，满分4分。 注：以合同签订时间为准，投标人应在投标文件中提供完整业绩合同复印件或扫描件并加盖单位公章。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1.完全满足采购技术要求的，得29分； 2.“▲”项技术参数为重要参数，每负偏离一项扣3分，扣完为止； 4.无标识参数为一般参数，每负偏离一项扣1分，扣完为止； 注：投标人对所投产品“▲”项参数须提供相应的佐证材料（不限于产品彩页或官网截图或产品白皮书或技术规格表或国家认可的第三方检测报告等），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根据投标人提供的供货方案（包含①供货计划；②配送与交付运输方案；③应急保障；）进行评审： ①供货计划：供货计划方案流程清晰、有序各环节内容明确，符合本项目要求的得2分； 供货计划方案完整，内容简单，与本项目采购需求存在细微偏差的得1分； ②配送与交付运输方案：配送与交付运输方案安排合理，高效，能够及时送达，能够保障项目高效实施的得2分； 配送与交付运输方案内容简单，可能影响项目实施的得1分； ③应急保障：针对各种突发事件具有详细的保障措施，能够保障项目高效实施的得2分； 应急保障措施方案存在部分缺陷，可能影响项目实施的得1分；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根据投标人提供的组织保证措施（包含①组织机构方案；②专业服务团队情况；）进行评审： ①组织机构：组织机构完备，框架结构完整，运行机制有效的得2分； 组织机构存在缺陷，框架结构残缺松散，运行机制低效的得1分； ②服务团队：服务团队人员充实、结构合理、经验丰富，能够保障项目高效实施的得2分； 服务团队人员简单、结构基本合理、经验存在一定欠缺，可能影响项目实施的得1分；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根据投标人提供的安装调试阶段的质量保证措施（包括①安装调试标准；②安装调试工具及安装调试人员配置情况；③安装调试过程中对产品的保护措施；）进行评审： ①安装调试标准： 提供安装调试方案，严格按照使用说明进行安装调试并提供相应标准的得2分； 提供安装调试方案，安装调试及提供相应标准内容稍有欠缺的得1分； ②安装调试工具及安装调试人员配置情况： 配备的安装调试工具先进适配，安装调试人员具有专业性，且在安装调试方面具备充足的经验的，完全满足安装调试要求的得2分； 配备的安装调试工具及安装调试人员具有专业性，在安装调试方面经验稍有欠缺的得1分； ③安装调试过程中对产品的保护措施： 在安装调试过程中的保护措施详细合理可行，保证对产品不会造成损坏的得2分； 在安装调试过程中的保护措施简单粗略，无法保证对产品不会造成损坏的得1分；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根据投标人提供的质量保证措施（包含①质量管理体系；②质量控制流程；）进行评审： ①质量管理体系：质量管理体系明确，内容全面详细准确，能够保障项目高效实施的得2分； 质量管理体系模糊不清，可能影响项目实施的得1分； ②质量控制流程：质量控制流程清晰明确，内容全面详细，能够保障项目高效实施的得2分； 质量控制流程混乱，可能影响项目实施的得1分；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根据投标人提供的进度保证措施（包括①运输进度保证措施；②安装调试进度保证措施）进行评审： ①运输进度保证措施： 运输进度安排合理、详细，能够保障项目高效实施的得2分； 运输进度安排基本合理，方案内容较为简单，可能影响项目实施的得1分； ②安装调试进度保证措施： 安装、调试进度安排合理、详细，能够保障项目高效实施的得2分； 安装、调试进度安排基本合理，方案内容较为简单，可能影响项目实施的得1分；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根据投标人提供的售后服务方案（包含①售后服务专职人员安排及承诺；②售后响应时间；③应急处理方案④售后巡查及质量跟踪方案）进行评审： ①售后服务专职人员安排及承诺：投标人能够提供专职售后服务人员且证明材料齐全（提供专职人员身份证复印件或劳动合同）完全满足本项目需求的得2分； 投标人能够提供专职售后服务人员但证明材料存在欠缺（提供专职人员身份证复印件及劳动合同）的得1分； ②售后响应时间：投标人承诺能够及时有效的为采购人提供相应售后服务的能力，并配备有专业技术人员提供实时技术支持的得1分（提供承诺书，承诺书格式自拟）； ③应急处理方案：出现故障情况具备详细有效的应急方案，考虑充分，能够保障项目高效实施的得2分； 应急方案存在一定欠缺，与项目实际需求存在细微偏差，可能影响项目实施的得1分； ④售后巡查及质量跟踪方案：投标人能够定时对产品进行故障检测排除及质量跟踪，主动发现潜在问题，避免问题扩大，各项流程清晰明确，能够保障项目高效实施的得2分； 售后巡查及质量跟踪方案存在一定欠缺，与项目实际需求存在细微偏差，可能影响项目实施的得1分；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根据投标人提供的培训方案（包含①培训人员安排及培训课程计划；②培训的内容、方式、次数等）进行评审， ①培训人员安排及培训课程计划：培训人员安排充沛，分工合理的，培训计划安排合理，丰富，能够保障项目高效实施的得2分； 培训人员简单，职责不清，培训计划安排混乱，可能影响项目实施的得1分； ②培训的内容、方式、次数：培训内容丰富，方式新颖，次数满足项目需求的得2分； 培训内容简单，方式常规，次数与项目需求存在细微偏差的得1分；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根据投标人提供的质保期承诺进行评审，质保期承诺书格式自拟；质保期在满足招标文件要求的基础上每延长1年加1分，最多加2分。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投标人提供自2023年3月1日至投标文件递交截止时间前的类似项目业绩证明材料。每提供1个完整合同复印件的得1分，满分4分。 注：以合同签订时间为准，投标人应在投标文件中提供完整业绩合同复印件或扫描件并加盖单位公章。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