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版本号：SXSJHT2026-11720260810001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鄠邑区2026年土地征收成片开发方案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SXSJHT2026-117</w:t>
      </w:r>
      <w:r>
        <w:br/>
      </w:r>
      <w:r>
        <w:br/>
      </w:r>
      <w:r>
        <w:br/>
      </w:r>
    </w:p>
    <w:p>
      <w:pPr>
        <w:pStyle w:val="null3"/>
        <w:jc w:val="center"/>
        <w:outlineLvl w:val="2"/>
      </w:pPr>
      <w:r>
        <w:rPr>
          <w:rFonts w:ascii="仿宋_GB2312" w:hAnsi="仿宋_GB2312" w:cs="仿宋_GB2312" w:eastAsia="仿宋_GB2312"/>
          <w:sz w:val="28"/>
          <w:b/>
        </w:rPr>
        <w:t>西安市自然资源和规划局鄠邑分局</w:t>
      </w:r>
    </w:p>
    <w:p>
      <w:pPr>
        <w:pStyle w:val="null3"/>
        <w:jc w:val="center"/>
        <w:outlineLvl w:val="2"/>
      </w:pPr>
      <w:r>
        <w:rPr>
          <w:rFonts w:ascii="仿宋_GB2312" w:hAnsi="仿宋_GB2312" w:cs="仿宋_GB2312" w:eastAsia="仿宋_GB2312"/>
          <w:sz w:val="28"/>
          <w:b/>
        </w:rPr>
        <w:t>陕西盛世嘉和招标有限公司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陕西盛世嘉和招标有限公司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西安市自然资源和规划局鄠邑分局</w:t>
      </w:r>
      <w:r>
        <w:rPr>
          <w:rFonts w:ascii="仿宋_GB2312" w:hAnsi="仿宋_GB2312" w:cs="仿宋_GB2312" w:eastAsia="仿宋_GB2312"/>
        </w:rPr>
        <w:t>委托，拟对</w:t>
      </w:r>
      <w:r>
        <w:rPr>
          <w:rFonts w:ascii="仿宋_GB2312" w:hAnsi="仿宋_GB2312" w:cs="仿宋_GB2312" w:eastAsia="仿宋_GB2312"/>
        </w:rPr>
        <w:t>鄠邑区2026年土地征收成片开发方案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SXSJHT2026-117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鄠邑区2026年土地征收成片开发方案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鄠邑区2026年土地征收成片开发方案，详见磋商文件第三章。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采购包1（鄠邑区2026年土地征收成片开发方案）：属于专门面向中小企业采购。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财务审计报告（成立时间至提交响应文件截止时间不足一年的可提供成立后任意时段的资产负债表）；或其开标前六个月内基本存款账户开户银行出具的资信证明及基本存款账户开户许可证（基本存款账户信息）；或信用担保机构出具的投标担保函（以上三种形式的资料提供任何一种即可）。</w:t>
      </w:r>
    </w:p>
    <w:p>
      <w:pPr>
        <w:pStyle w:val="null3"/>
      </w:pPr>
      <w:r>
        <w:rPr>
          <w:rFonts w:ascii="仿宋_GB2312" w:hAnsi="仿宋_GB2312" w:cs="仿宋_GB2312" w:eastAsia="仿宋_GB2312"/>
        </w:rPr>
        <w:t>3、社会保障资金缴纳证明：提供2026年1月至今任意一个月的社会保障资金缴存单据或社保机构开具的社会保险参保缴费情况证明，依法不需要缴纳社会保障资金的单位应提供相关证明材料。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4、税收缴纳证明：提供2026年1月至今任意一个月的纳税证明或完税证明（任意税种），依法免税的单位应提供相关证明材料。</w:t>
      </w:r>
    </w:p>
    <w:p>
      <w:pPr>
        <w:pStyle w:val="null3"/>
      </w:pPr>
      <w:r>
        <w:rPr>
          <w:rFonts w:ascii="仿宋_GB2312" w:hAnsi="仿宋_GB2312" w:cs="仿宋_GB2312" w:eastAsia="仿宋_GB2312"/>
        </w:rPr>
        <w:t>5、书面声明：出具参加本次政府采购活动前三年内在经营活动中没有重大违法记录的书面声明。</w:t>
      </w:r>
    </w:p>
    <w:p>
      <w:pPr>
        <w:pStyle w:val="null3"/>
      </w:pPr>
      <w:r>
        <w:rPr>
          <w:rFonts w:ascii="仿宋_GB2312" w:hAnsi="仿宋_GB2312" w:cs="仿宋_GB2312" w:eastAsia="仿宋_GB2312"/>
        </w:rPr>
        <w:t>6、履行合同所必需的设备和专业技术能力：提供具有履行合同所必需的设备和专业技术能力的承诺。</w:t>
      </w:r>
    </w:p>
    <w:p>
      <w:pPr>
        <w:pStyle w:val="null3"/>
      </w:pPr>
      <w:r>
        <w:rPr>
          <w:rFonts w:ascii="仿宋_GB2312" w:hAnsi="仿宋_GB2312" w:cs="仿宋_GB2312" w:eastAsia="仿宋_GB2312"/>
        </w:rPr>
        <w:t>7、法定代表人身份证明/法定代表人授权书：法定代表人直接参加磋商的，须提供法定代表人身份证明及身份证复印件；法定代表人授权代表参加磋商的，须出具法定代表人授权书、授权代表身份证复印件及被授权人近三个月内任意一个月在本单位的社会保障资金缴纳证明。</w:t>
      </w:r>
    </w:p>
    <w:p>
      <w:pPr>
        <w:pStyle w:val="null3"/>
      </w:pPr>
      <w:r>
        <w:rPr>
          <w:rFonts w:ascii="仿宋_GB2312" w:hAnsi="仿宋_GB2312" w:cs="仿宋_GB2312" w:eastAsia="仿宋_GB2312"/>
        </w:rPr>
        <w:t>8、供应商资质：供应商须具有有效的土地规划乙级及以上资质。</w:t>
      </w:r>
    </w:p>
    <w:p>
      <w:pPr>
        <w:pStyle w:val="null3"/>
      </w:pPr>
      <w:r>
        <w:rPr>
          <w:rFonts w:ascii="仿宋_GB2312" w:hAnsi="仿宋_GB2312" w:cs="仿宋_GB2312" w:eastAsia="仿宋_GB2312"/>
        </w:rPr>
        <w:t>9、信用信息：供应商不得为“信用中国”网站(http://www.creditchina.gov.c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10、本项目不接受联合体磋商：本项目不接受联合体磋商（提供书面声明）。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西安市自然资源和规划局鄠邑分局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西安市鄠邑区兆丰西路3号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西安市自然资源和规划局鄠邑分局经办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029-84814274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陕西盛世嘉和招标有限公司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西安市高新区团结南路12号西安国际人才大厦A座15楼1503室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029-88601068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在领取中标（成交）通知书前依据成交金额向代理机构缴纳代理服务费，参考国家计委颁布的《招标代理服务收费管理暂行办法》（计价格[2002]1980号）和（发改办价格[2003]857号）文收费标准计取，若最终代理服务费不足5000元，按5000元记取费用。此部分费用应计入磋商报价中，但不需要单独开列。招标代理服务费缴纳账户信息如下： 账户名称：陕西盛世嘉和招标有限公司 开户行: 上海浦东发展银行股份有限公司西安高新开发区支行 银行账号:72040078801400000854 联系人：财务 联系电话：029-88601068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西安市自然资源和规划局鄠邑分局</w:t>
      </w:r>
      <w:r>
        <w:rPr>
          <w:rFonts w:ascii="仿宋_GB2312" w:hAnsi="仿宋_GB2312" w:cs="仿宋_GB2312" w:eastAsia="仿宋_GB2312"/>
        </w:rPr>
        <w:t>和</w:t>
      </w:r>
      <w:r>
        <w:rPr>
          <w:rFonts w:ascii="仿宋_GB2312" w:hAnsi="仿宋_GB2312" w:cs="仿宋_GB2312" w:eastAsia="仿宋_GB2312"/>
        </w:rPr>
        <w:t>陕西盛世嘉和招标有限公司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西安市自然资源和规划局鄠邑分局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陕西盛世嘉和招标有限公司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西安市自然资源和规划局鄠邑分局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陕西盛世嘉和招标有限公司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详见竞争性磋商文件和合同文本。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陕西盛世嘉和招标有限公司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陕西盛世嘉和招标有限公司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陕西盛世嘉和招标有限公司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联系人：盛世嘉和</w:t>
      </w:r>
    </w:p>
    <w:p>
      <w:pPr>
        <w:pStyle w:val="null3"/>
      </w:pPr>
      <w:r>
        <w:rPr>
          <w:rFonts w:ascii="仿宋_GB2312" w:hAnsi="仿宋_GB2312" w:cs="仿宋_GB2312" w:eastAsia="仿宋_GB2312"/>
        </w:rPr>
        <w:t>联系电话：029-88601068</w:t>
      </w:r>
    </w:p>
    <w:p>
      <w:pPr>
        <w:pStyle w:val="null3"/>
      </w:pPr>
      <w:r>
        <w:rPr>
          <w:rFonts w:ascii="仿宋_GB2312" w:hAnsi="仿宋_GB2312" w:cs="仿宋_GB2312" w:eastAsia="仿宋_GB2312"/>
        </w:rPr>
        <w:t>地址：西安市高新区团结南路12号西安国际人才大厦A座15楼1503室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自然资源部关于印发《土地征收成片开发标准》的通知（自然资规〔2023〕7号）及陕西省自然资源厅关于印发《陕西省土地征收成片开发标准实施细则》的通知(陕自然资规〔2024〕297号)要求，“县级以上地方人民政府应当按照《土地管理法》第45条规定，依据当地国民经济和社会发展规划、国土空间规划，组织编制土地征收成片开发方案，纳入当地国民经济和社会发展年度计划，并报省级人民政府批准”，现西安市鄠邑区需要对剩余集体土地编制土地征收成片开发方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2026年土地征收成片开发方案</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标的名称：2026年土地征收成片开发方案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按照自然资源部关于印发《土地征收成片开发标准》的通知（自然资规〔2023〕7号）及陕西省自然资源厅关于印发《陕西省土地征收成片开发标准实施细则》的通知(陕自然资规〔2024〕297号)要求，“县级以上地方人民政府应当按照《土地管理法》第45条规定，依据当地国民经济和社会发展规划、国土空间规划，组织编制土地征收成片开发方案，纳入当地国民经济和社会发展年度计划，并报省级人民政府批准”，现西安市鄠邑区需要对剩余集体土地编制土地征收成片开发方案。</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1.根据法律法规及相关文件要求，结合鄠邑区国民经济和社会发展规划、国土空间总体规划及控制性详细规划，完成鄠邑区（自管区）土地征收成片开发方案的编制。</w:t>
            </w:r>
          </w:p>
          <w:p>
            <w:pPr>
              <w:pStyle w:val="null3"/>
            </w:pPr>
            <w:r>
              <w:rPr>
                <w:rFonts w:ascii="仿宋_GB2312" w:hAnsi="仿宋_GB2312" w:cs="仿宋_GB2312" w:eastAsia="仿宋_GB2312"/>
              </w:rPr>
              <w:t>2.成片开发方案成果内容主要包括：成片开发的位置、面积、范围和基础设施条件等基本情况；成片开发的必要性、主要用途和实现的功能；成片开发拟安排的建设项目、开发时序和年度实施计划；成片开发范围内基础设施、公共服务设施以及其他公益性用地比例；成片开发的经济、社会、生态效益评估等。</w:t>
            </w:r>
          </w:p>
          <w:p>
            <w:pPr>
              <w:pStyle w:val="null3"/>
            </w:pPr>
            <w:r>
              <w:rPr>
                <w:rFonts w:ascii="仿宋_GB2312" w:hAnsi="仿宋_GB2312" w:cs="仿宋_GB2312" w:eastAsia="仿宋_GB2312"/>
              </w:rPr>
              <w:t>3.协助甲方完成方案逐级上报审查，根据审查意见修改，直至取得省人民政府批复。</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能够完成鄠邑区2026年土地征收成片开发方案的编制工作，方案编制及上报需符合《中华人民共和国土地管理法》《中华人民共和国土地管理法实施条例》等法律法规和自然资源部《关于印发&lt;土地征收成片开发标准&gt;的通知》（自然资规〔2023〕7号）、陕西省自然资源厅《关于印发&lt;陕西省土地征收成片开发标准实施细则&gt;的通知》（陕自然资规〔2024〕297号）和西安市自然资源和规划局《关于进一步规范土地征收成片开发方案编制报批实施工作的通知》（市资源发〔2024〕101号）等文件对于土地征收成片开发方案的相关要求。</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人员配置：根据工作需求，乙方需配备一支经验丰富、具备相关专业背景及工作经验的专业技术团队，确保土地征收成片开发工作依法合规高效完成。</w:t>
            </w:r>
          </w:p>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（一）乙方应协助甲方分阶段准备申报材料，整理汇总审批材料、填报表单、制作文件，按流程递交申报材料，完成方案成果上报；</w:t>
            </w:r>
          </w:p>
          <w:p>
            <w:pPr>
              <w:pStyle w:val="null3"/>
            </w:pPr>
            <w:r>
              <w:rPr>
                <w:rFonts w:ascii="仿宋_GB2312" w:hAnsi="仿宋_GB2312" w:cs="仿宋_GB2312" w:eastAsia="仿宋_GB2312"/>
              </w:rPr>
              <w:t>（二）对审批过程进行跟踪，及时向甲方反馈办理进展情况，做好与管理部门及相关单位的沟通工作；</w:t>
            </w:r>
          </w:p>
          <w:p>
            <w:pPr>
              <w:pStyle w:val="null3"/>
            </w:pPr>
            <w:r>
              <w:rPr>
                <w:rFonts w:ascii="仿宋_GB2312" w:hAnsi="仿宋_GB2312" w:cs="仿宋_GB2312" w:eastAsia="仿宋_GB2312"/>
              </w:rPr>
              <w:t>（三）做好代理项目相关资料的编写、保管和移交工作；</w:t>
            </w:r>
          </w:p>
          <w:p>
            <w:pPr>
              <w:pStyle w:val="null3"/>
            </w:pPr>
            <w:r>
              <w:rPr>
                <w:rFonts w:ascii="仿宋_GB2312" w:hAnsi="仿宋_GB2312" w:cs="仿宋_GB2312" w:eastAsia="仿宋_GB2312"/>
              </w:rPr>
              <w:t>（四）按规定工作时限取得省政府关于土地征收成片开发方案的批复文件。</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自合同签订之日起至完成成片开发方案成果的上报、备案。</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合同签订后 ，达到付款条件起15日内，支付合同总金额的 40.00%；</w:t>
            </w:r>
          </w:p>
          <w:p>
            <w:pPr>
              <w:pStyle w:val="null3"/>
            </w:pPr>
            <w:r>
              <w:rPr>
                <w:rFonts w:ascii="仿宋_GB2312" w:hAnsi="仿宋_GB2312" w:cs="仿宋_GB2312" w:eastAsia="仿宋_GB2312"/>
              </w:rPr>
              <w:t>方案编制完成、上报市局并取得市局初审意见，达到付款条件起15日内，支付合同总金额的 40.00%；</w:t>
            </w:r>
          </w:p>
          <w:p>
            <w:pPr>
              <w:pStyle w:val="null3"/>
            </w:pPr>
            <w:r>
              <w:rPr>
                <w:rFonts w:ascii="仿宋_GB2312" w:hAnsi="仿宋_GB2312" w:cs="仿宋_GB2312" w:eastAsia="仿宋_GB2312"/>
              </w:rPr>
              <w:t>工作内容全部完成并向甲方提交备案成果后，达到付款条件起15日内，支付合同总金额的20.00%。</w:t>
            </w:r>
          </w:p>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（一）进度要求</w:t>
            </w:r>
          </w:p>
          <w:p>
            <w:pPr>
              <w:pStyle w:val="null3"/>
            </w:pPr>
            <w:r>
              <w:rPr>
                <w:rFonts w:ascii="仿宋_GB2312" w:hAnsi="仿宋_GB2312" w:cs="仿宋_GB2312" w:eastAsia="仿宋_GB2312"/>
              </w:rPr>
              <w:t>按甲方规定时间完成方案的基础资料收集、实地调研、数据分析、方案编制、数据库建设等工作。结合实际情况，将编制的方案上报至市自然资源和规划局进行审核，并按要求逐级上报至省自然资源厅审查，待省政府审批后，取得成片开发方案批复文件。在服务期内负责方案调整、修改，直至实施完毕。</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1.方案送审成果：文本、表格、图件、矢量数据库和附件。</w:t>
            </w:r>
          </w:p>
          <w:p>
            <w:pPr>
              <w:pStyle w:val="null3"/>
            </w:pPr>
            <w:r>
              <w:rPr>
                <w:rFonts w:ascii="仿宋_GB2312" w:hAnsi="仿宋_GB2312" w:cs="仿宋_GB2312" w:eastAsia="仿宋_GB2312"/>
              </w:rPr>
              <w:t>2.方案备案成果：专家评审意见表、省级批复文件。</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1.《自然资源部关于印发〈土地征收成片开发标准〉的通知》（自然资规〔2023〕7号）</w:t>
            </w:r>
          </w:p>
          <w:p>
            <w:pPr>
              <w:pStyle w:val="null3"/>
            </w:pPr>
            <w:r>
              <w:rPr>
                <w:rFonts w:ascii="仿宋_GB2312" w:hAnsi="仿宋_GB2312" w:cs="仿宋_GB2312" w:eastAsia="仿宋_GB2312"/>
              </w:rPr>
              <w:t>2.《陕西省自然资源厅关于印发〈陕西省土地征收成片开发标准实施细则〉的通知》（陕自然资规〔2024〕297号）</w:t>
            </w:r>
          </w:p>
          <w:p>
            <w:pPr>
              <w:pStyle w:val="null3"/>
            </w:pPr>
            <w:r>
              <w:rPr>
                <w:rFonts w:ascii="仿宋_GB2312" w:hAnsi="仿宋_GB2312" w:cs="仿宋_GB2312" w:eastAsia="仿宋_GB2312"/>
              </w:rPr>
              <w:t>3.《西安市自然资源和规划局关于进一步规范土地征收成片开发方案编制报批实施工作的通知》（市资源发〔2024〕101号）。</w:t>
            </w:r>
          </w:p>
          <w:p>
            <w:pPr>
              <w:pStyle w:val="null3"/>
            </w:pPr>
            <w:r>
              <w:rPr>
                <w:rFonts w:ascii="仿宋_GB2312" w:hAnsi="仿宋_GB2312" w:cs="仿宋_GB2312" w:eastAsia="仿宋_GB2312"/>
              </w:rPr>
              <w:t>七、违约责任</w:t>
            </w:r>
          </w:p>
          <w:p>
            <w:pPr>
              <w:pStyle w:val="null3"/>
            </w:pPr>
            <w:r>
              <w:rPr>
                <w:rFonts w:ascii="仿宋_GB2312" w:hAnsi="仿宋_GB2312" w:cs="仿宋_GB2312" w:eastAsia="仿宋_GB2312"/>
              </w:rPr>
              <w:t>1.本合同履行过程中，由于一方当事人违反本合同，给另一方当事人造成损失的，另一方当事人有权获得赔偿。</w:t>
            </w:r>
          </w:p>
          <w:p>
            <w:pPr>
              <w:pStyle w:val="null3"/>
            </w:pPr>
            <w:r>
              <w:rPr>
                <w:rFonts w:ascii="仿宋_GB2312" w:hAnsi="仿宋_GB2312" w:cs="仿宋_GB2312" w:eastAsia="仿宋_GB2312"/>
              </w:rPr>
              <w:t>2.甲方因未履行义务，造成工作延期及相关损失由甲方负责。</w:t>
            </w:r>
          </w:p>
          <w:p>
            <w:pPr>
              <w:pStyle w:val="null3"/>
            </w:pPr>
            <w:r>
              <w:rPr>
                <w:rFonts w:ascii="仿宋_GB2312" w:hAnsi="仿宋_GB2312" w:cs="仿宋_GB2312" w:eastAsia="仿宋_GB2312"/>
              </w:rPr>
              <w:t>3.乙方在规定的期限内未完成工作任务、未按规定的工作质量要求进行工作，应采取补救措施，返工或修改完善，直至达到本合同约定的质量要求。因此给甲方造成损失的，乙方应对直接损失负赔偿责任。具体以签订的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自合同签订之日起至完成成片开发方案成果的上报、备案。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依据相关工作要求，由采购人和成交供应商共同对项目进行验收填写验收单。其内容包括是否按照采购人要求进行服务、是否在规定时间内服务完毕。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进度款，方案编制完成、上报市局并取得市局初审意见，达到付款条件起15个工作日内，支付合同总金额的40.0%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进度款，工作内容全部完成并向甲方提交备案成果后，达到付款条件起15个工作日内，支付合同总金额的20.0%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根据《民法典》中的相关条款和竞争性磋商文件要求及甲乙双方签订的合同约定执行。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成交供应商应向代理机构提交纸质响应文件正本壹份、副本贰份、电子版壹份（U盘壹份，电子版文件需为上传至系统后签字盖章的PDF版文件）。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成立时间至提交响应文件截止时间不足一年的可提供成立后任意时段的资产负债表）；或其开标前六个月内基本存款账户开户银行出具的资信证明及基本存款账户开户许可证（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磋商的，须提供法定代表人身份证明及身份证复印件；法定代表人授权代表参加磋商的，须出具法定代表人授权书、授权代表身份证复印件及被授权人近三个月内任意一个月在本单位的社会保障资金缴纳证明。</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供应商须具有有效的土地规划乙级及以上资质。</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和“重大税收违法失信主体”的供应商；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同时满足以下条款： （1）货币单位符合竞争性磋商文件要求；（2）报价符合唯一性要求；（3）未超出采购预算或最高限价。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按照竞争性磋商文件格式编写。</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未存在其它不符合法律法规或磋商文件规定及要求的情形，无采购人不能接受的附加条件。</w:t>
            </w:r>
          </w:p>
        </w:tc>
        <w:tc>
          <w:tcPr>
            <w:tcW w:type="dxa" w:w="1661"/>
          </w:tcPr>
          <w:p>
            <w:pPr>
              <w:pStyle w:val="null3"/>
            </w:pPr>
            <w:r>
              <w:rPr>
                <w:rFonts w:ascii="仿宋_GB2312" w:hAnsi="仿宋_GB2312" w:cs="仿宋_GB2312" w:eastAsia="仿宋_GB2312"/>
              </w:rPr>
              <w:t>3.供应商认为有必要补充说明的事项.docx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评审内容：供应商对本项目进行解读和分析，内容包括①项目解读与分析；②工作目标；③工作内容。 评审标准：方案各部分内容全面详细、阐述条理清晰详尽、符合本项目采购需求，能保障本项目实施得9分；评审内容每缺一项扣3分，评审内容有缺陷(缺陷是指：内容粗略、条理不清晰、描述过于简单、与项目特点不匹配、出现常识性错误、存在不适用项目实际情况的情形等)，未完全响应评审标准的扣0.1-2.9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2.方案响应部分.docx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评审内容：供应商针对服务内容提供具体详细可行的实施服务方案，内容包括①方案总体思路；②资料收集方案；③资料编制方案；④报告送审方案；⑤成果文件质量保证措施及保密措施。 评审标准：方案各部分内容全面详细、阐述条理清晰详尽、符合本项目采购需求，能保障本项目实施得20分；评审内容每缺一项扣4分，评审内容有缺陷(缺陷是指：内容粗略、条理不清晰、描述过于简单、与项目特点不匹配、出现常识性错误、存在不适用项目实际情况的情形等)，未完全响应评审标准的扣0.1-3.9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评审内容：①对本项目质量把控实施面临的重点、难点进行分析；②对本项目质量把控实施重点、难点的应对措施。 评审标准：方案各部分内容全面详细、阐述条理清晰详尽、符合本项目采购需求，能保障本项目实施得6分；评审内容每缺一项扣3分，评审内容有缺陷(缺陷是指：内容粗略、条理不清晰、描述过于简单、与项目特点不匹配、出现常识性错误、存在不适用项目实际情况的情形等)，未完全响应评审标准的扣0.1-2.9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工作进度</w:t>
            </w:r>
          </w:p>
        </w:tc>
        <w:tc>
          <w:tcPr>
            <w:tcW w:type="dxa" w:w="2492"/>
          </w:tcPr>
          <w:p>
            <w:pPr>
              <w:pStyle w:val="null3"/>
            </w:pPr>
            <w:r>
              <w:rPr>
                <w:rFonts w:ascii="仿宋_GB2312" w:hAnsi="仿宋_GB2312" w:cs="仿宋_GB2312" w:eastAsia="仿宋_GB2312"/>
              </w:rPr>
              <w:t>评审内容：①工作进度计划安排；②工作进度计划保障措施。 评审标准：方案各部分内容全面详细、阐述条理清晰详尽、符合本项目采购需求，能保障本项目实施得6分；评审内容每缺一项扣3分，评审内容有缺陷(缺陷是指：内容粗略、条理不清晰、描述过于简单、与项目特点不匹配、出现常识性错误、存在不适用项目实际情况的情形等)，未完全响应评审标准的扣0.1-2.9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供应商针对本项目提供团队人员配备。 1.项目组成人员中（项目负责人除外）具有相关专业高级及以上技术职称的，每提供一个证书得 2分；具有相关专业中级职称的，每提供一个证书得 1分。 2.项目组成人员中（项目负责人除外）具有大专及以上学历的得1 分。 备注：每名专业人员最高得3分，此项满分15分。以供应商响应文件中所提供的人员证书复印件或扫描件为准。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项目负责人具有相关专业高级及以上技术职称，得4分。 注：评审时以提供近三个月的社保缴纳证明、人员身份证、毕业证、职称证等证明材料复印件加盖供应商公章为依据。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评审内容：供应商应为本项目更好实施提供相关建议及服务承诺，内容包括①合理化建议②服务承诺。 评审标准：方案各部分内容全面详细、阐述条理清晰详尽、符合本项目采购需求，能保障本项目实施得4分；评审内容每缺一项扣2分，评审内容有缺陷(缺陷是指：内容粗略、条理不清晰、描述过于简单、与项目特点不匹配、出现常识性错误、存在不适用项目实际情况的情形等)未完全响应评审标准的扣0.1-1.9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评审内容：供应商提供2022年6月1日至今（以合同签订日期为准）类似项目业绩。 响应文件中附加盖公章的完整的合同或协议复印件，否则不作为评审依据，每提供一份有效业绩得4分，最多得16分。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满足磋商文件要求的有效磋商报价的最小值为评审基准价，其价格分为满分。其他响应供应商的价格分统一按照下列公式计算：磋商报价得分=（评审基准价／磋商报价）×价格权值×100。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详见附件：2.方案响应部分.docx</w:t>
      </w:r>
    </w:p>
    <w:p>
      <w:pPr>
        <w:pStyle w:val="null3"/>
        <w:ind w:firstLine="960"/>
      </w:pPr>
      <w:r>
        <w:rPr>
          <w:rFonts w:ascii="仿宋_GB2312" w:hAnsi="仿宋_GB2312" w:cs="仿宋_GB2312" w:eastAsia="仿宋_GB2312"/>
        </w:rPr>
        <w:t>详见附件：3.供应商认为有必要补充说明的事项.docx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