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版本号：ZTZLZC-HY2026-061620260707001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合阳文庙基本陈列提升项目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ZTZLZC-HY2026-0616</w:t>
      </w:r>
      <w:r>
        <w:br/>
      </w:r>
      <w:r>
        <w:br/>
      </w:r>
      <w:r>
        <w:br/>
      </w:r>
    </w:p>
    <w:p>
      <w:pPr>
        <w:pStyle w:val="null3"/>
        <w:jc w:val="center"/>
        <w:outlineLvl w:val="2"/>
      </w:pPr>
      <w:r>
        <w:rPr>
          <w:rFonts w:ascii="仿宋_GB2312" w:hAnsi="仿宋_GB2312" w:cs="仿宋_GB2312" w:eastAsia="仿宋_GB2312"/>
          <w:sz w:val="28"/>
          <w:b/>
        </w:rPr>
        <w:t>合阳县文化和旅游局</w:t>
      </w:r>
    </w:p>
    <w:p>
      <w:pPr>
        <w:pStyle w:val="null3"/>
        <w:jc w:val="center"/>
        <w:outlineLvl w:val="2"/>
      </w:pPr>
      <w:r>
        <w:rPr>
          <w:rFonts w:ascii="仿宋_GB2312" w:hAnsi="仿宋_GB2312" w:cs="仿宋_GB2312" w:eastAsia="仿宋_GB2312"/>
          <w:sz w:val="28"/>
          <w:b/>
        </w:rPr>
        <w:t>陕西中天正略企业运营发展有限公司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陕西中天正略企业运营发展有限公司</w:t>
      </w:r>
      <w:r>
        <w:rPr>
          <w:rFonts w:ascii="仿宋_GB2312" w:hAnsi="仿宋_GB2312" w:cs="仿宋_GB2312" w:eastAsia="仿宋_GB2312"/>
        </w:rPr>
        <w:t>（以下简称“代理机构”）受</w:t>
      </w:r>
      <w:r>
        <w:rPr>
          <w:rFonts w:ascii="仿宋_GB2312" w:hAnsi="仿宋_GB2312" w:cs="仿宋_GB2312" w:eastAsia="仿宋_GB2312"/>
        </w:rPr>
        <w:t>合阳县文化和旅游局</w:t>
      </w:r>
      <w:r>
        <w:rPr>
          <w:rFonts w:ascii="仿宋_GB2312" w:hAnsi="仿宋_GB2312" w:cs="仿宋_GB2312" w:eastAsia="仿宋_GB2312"/>
        </w:rPr>
        <w:t>委托，拟对</w:t>
      </w:r>
      <w:r>
        <w:rPr>
          <w:rFonts w:ascii="仿宋_GB2312" w:hAnsi="仿宋_GB2312" w:cs="仿宋_GB2312" w:eastAsia="仿宋_GB2312"/>
        </w:rPr>
        <w:t>合阳文庙基本陈列提升项目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ZTZLZC-HY2026-0616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合阳文庙基本陈列提升项目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依托合阳文庙馆藏众多，文物兼顾历史文化信息，打造将文庙特色与历史文化相关联的一体化展馆。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采购包1（合阳文庙基本陈列提升项目）：属于专门面向中小企业采购。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1、营业执照：具有独立承担民事责任能力的法人、其他组织或自然人，并出具合法有效的营业执照或事业单位法人证书等国家规定的相关证明资料，自然人参与的提供其身份证明；</w:t>
      </w:r>
    </w:p>
    <w:p>
      <w:pPr>
        <w:pStyle w:val="null3"/>
      </w:pPr>
      <w:r>
        <w:rPr>
          <w:rFonts w:ascii="仿宋_GB2312" w:hAnsi="仿宋_GB2312" w:cs="仿宋_GB2312" w:eastAsia="仿宋_GB2312"/>
        </w:rPr>
        <w:t>2、授权书：供应商应授权合法的人员参加投标：法定代表人直接参加投标，须出具法定代表人身份证明；法定代表人授权代表参加投标，须出具法定代表人授权书；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3、特定资质：具有建设行政主管部门颁发的建筑工程施工总承包三级（含三级）以上资质或建筑装修装饰工程专业承包二级（含二级）以上资质、有效的安全生产许可证；</w:t>
      </w:r>
    </w:p>
    <w:p>
      <w:pPr>
        <w:pStyle w:val="null3"/>
      </w:pPr>
      <w:r>
        <w:rPr>
          <w:rFonts w:ascii="仿宋_GB2312" w:hAnsi="仿宋_GB2312" w:cs="仿宋_GB2312" w:eastAsia="仿宋_GB2312"/>
        </w:rPr>
        <w:t>4、拟派项目负责人：拟派项目负责人应具有建筑工程专业二级（含二级）以上注册建造师证书及安全考核合格B证，项目负责人无在建项目（提供证明材料或无在建项目承诺书）；</w:t>
      </w:r>
    </w:p>
    <w:p>
      <w:pPr>
        <w:pStyle w:val="null3"/>
      </w:pPr>
      <w:r>
        <w:rPr>
          <w:rFonts w:ascii="仿宋_GB2312" w:hAnsi="仿宋_GB2312" w:cs="仿宋_GB2312" w:eastAsia="仿宋_GB2312"/>
        </w:rPr>
        <w:t>5、企业信誉：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w:t>
      </w:r>
    </w:p>
    <w:p>
      <w:pPr>
        <w:pStyle w:val="null3"/>
      </w:pPr>
      <w:r>
        <w:rPr>
          <w:rFonts w:ascii="仿宋_GB2312" w:hAnsi="仿宋_GB2312" w:cs="仿宋_GB2312" w:eastAsia="仿宋_GB2312"/>
        </w:rPr>
        <w:t>6、财务状况报告：供应商提供2024年度或2025年度经审计的财务审计报告(至少包括资产负债表和利润表，成立时间至提交响应文件截止时间不足二年的可提供成立后任意时段的资产负债表)，或基本存款账户开户银行出具的资信证明。(事业单位可不提供)；</w:t>
      </w:r>
    </w:p>
    <w:p>
      <w:pPr>
        <w:pStyle w:val="null3"/>
      </w:pPr>
      <w:r>
        <w:rPr>
          <w:rFonts w:ascii="仿宋_GB2312" w:hAnsi="仿宋_GB2312" w:cs="仿宋_GB2312" w:eastAsia="仿宋_GB2312"/>
        </w:rPr>
        <w:t>7、税收缴纳证明：供应商提供投标截止时间前六个月内任意一个月的依法缴纳税收的完税证明（或缴纳凭证），依法免税的供应商应提供相关文件证明；</w:t>
      </w:r>
    </w:p>
    <w:p>
      <w:pPr>
        <w:pStyle w:val="null3"/>
      </w:pPr>
      <w:r>
        <w:rPr>
          <w:rFonts w:ascii="仿宋_GB2312" w:hAnsi="仿宋_GB2312" w:cs="仿宋_GB2312" w:eastAsia="仿宋_GB2312"/>
        </w:rPr>
        <w:t>8、社会保障资金缴纳证明：供应商提供投标截止时间前六个月内任意一个月的依法缴纳社会保险的证明（或缴费凭证），依法不需要缴纳社会保障资金的供应商应提供相关文件证明；</w:t>
      </w:r>
    </w:p>
    <w:p>
      <w:pPr>
        <w:pStyle w:val="null3"/>
      </w:pPr>
      <w:r>
        <w:rPr>
          <w:rFonts w:ascii="仿宋_GB2312" w:hAnsi="仿宋_GB2312" w:cs="仿宋_GB2312" w:eastAsia="仿宋_GB2312"/>
        </w:rPr>
        <w:t>9、书面声明：提供参加本次政府采购活动前三年内的经营活动中没有重大违法记录的书面声明；</w:t>
      </w:r>
    </w:p>
    <w:p>
      <w:pPr>
        <w:pStyle w:val="null3"/>
      </w:pPr>
      <w:r>
        <w:rPr>
          <w:rFonts w:ascii="仿宋_GB2312" w:hAnsi="仿宋_GB2312" w:cs="仿宋_GB2312" w:eastAsia="仿宋_GB2312"/>
        </w:rPr>
        <w:t>10、具有履行本合同所必须的设备和专业技术能力：提供具有履行本合同所必须的设备和专业技术能力的说明或承诺；</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11、控股、管理关系：单位负责人为同一人或者存在直接控股、管理关系的不同供应商，不得参加同一合同项下的政府采购活动（提供声明）。</w:t>
      </w:r>
    </w:p>
    <w:p>
      <w:pPr>
        <w:pStyle w:val="null3"/>
      </w:pPr>
      <w:r>
        <w:rPr>
          <w:rFonts w:ascii="仿宋_GB2312" w:hAnsi="仿宋_GB2312" w:cs="仿宋_GB2312" w:eastAsia="仿宋_GB2312"/>
        </w:rPr>
        <w:t>12、联合体要求：本项目不接受联合体投标（提供声明）。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合阳县文旅大厦9楼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13379444544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陕西中天正略企业运营发展有限公司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陕西省西安市雁塔区西安曲江新区翠华路500号佳和中心B座26层3号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翟聪培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029-89660303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代理服务费收费标准：参照发改价格[2011]534号文件及《国家发展改革委关于进一步放开建设项目专业服务价格的通知》（发改价格〔2015〕299号）文的规定标准收取。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合阳县文化和旅游局</w:t>
      </w:r>
      <w:r>
        <w:rPr>
          <w:rFonts w:ascii="仿宋_GB2312" w:hAnsi="仿宋_GB2312" w:cs="仿宋_GB2312" w:eastAsia="仿宋_GB2312"/>
        </w:rPr>
        <w:t>和</w:t>
      </w:r>
      <w:r>
        <w:rPr>
          <w:rFonts w:ascii="仿宋_GB2312" w:hAnsi="仿宋_GB2312" w:cs="仿宋_GB2312" w:eastAsia="仿宋_GB2312"/>
        </w:rPr>
        <w:t>陕西中天正略企业运营发展有限公司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陕西中天正略企业运营发展有限公司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陕西中天正略企业运营发展有限公司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达到国家相关规范、行业标准及采购人要求。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联系人：翟聪培</w:t>
      </w:r>
    </w:p>
    <w:p>
      <w:pPr>
        <w:pStyle w:val="null3"/>
      </w:pPr>
      <w:r>
        <w:rPr>
          <w:rFonts w:ascii="仿宋_GB2312" w:hAnsi="仿宋_GB2312" w:cs="仿宋_GB2312" w:eastAsia="仿宋_GB2312"/>
        </w:rPr>
        <w:t>联系电话：029-89660303</w:t>
      </w:r>
    </w:p>
    <w:p>
      <w:pPr>
        <w:pStyle w:val="null3"/>
      </w:pPr>
      <w:r>
        <w:rPr>
          <w:rFonts w:ascii="仿宋_GB2312" w:hAnsi="仿宋_GB2312" w:cs="仿宋_GB2312" w:eastAsia="仿宋_GB2312"/>
        </w:rPr>
        <w:t>地址：西安曲江新区翠华路500号佳和中心B座26层3号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合阳文庙基本陈列提升项目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标的名称：合阳文庙基本陈列提升项目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具体技术参数详见工程量清单。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工程质量：合格。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1、中标单位在中标结果公示发出后3日内，提交纸质投标文件正本壹份、副本壹份、电子版壹份。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审计报告(至少包括资产负债表和利润表，成立时间至提交响应文件截止时间不足二年的可提供成立后任意时段的资产负债表)，或基本存款账户开户银行出具的资信证明。(事业单位可不提供)；</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具有独立承担民事责任能力的法人、其他组织或自然人，并出具合法有效的营业执照或事业单位法人证书等国家规定的相关证明资料，自然人参与的提供其身份证明；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具有建设行政主管部门颁发的建筑工程施工总承包三级（含三级）以上资质或建筑装修装饰工程专业承包二级（含二级）以上资质、有效的安全生产许可证；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拟派项目负责人应具有建筑工程专业二级（含二级）以上注册建造师证书及安全考核合格B证，项目负责人无在建项目（提供证明材料或无在建项目承诺书）；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投标供应商，不得为中国政府采购网（www.ccgp.gov.cn）政府采购严重违法失信行为记录名单中被财政部门禁止参加政府采购活动的供应商（提供查询结果网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审计报告(至少包括资产负债表和利润表，成立时间至提交响应文件截止时间不足二年的可提供成立后任意时段的资产负债表)，或基本存款账户开户银行出具的资信证明。(事业单位可不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供应商提供投标截止时间前六个月内任意一个月的依法缴纳税收的完税证明（或缴纳凭证），依法免税的供应商应提供相关文件证明；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供应商提供投标截止时间前六个月内任意一个月的依法缴纳社会保险的证明（或缴费凭证），依法不需要缴纳社会保障资金的供应商应提供相关文件证明；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提供参加本次政府采购活动前三年内的经营活动中没有重大违法记录的书面声明；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具有履行本合同所必须的设备和专业技术能力</w:t>
            </w:r>
          </w:p>
        </w:tc>
        <w:tc>
          <w:tcPr>
            <w:tcW w:type="dxa" w:w="3322"/>
          </w:tcPr>
          <w:p>
            <w:pPr>
              <w:pStyle w:val="null3"/>
            </w:pPr>
            <w:r>
              <w:rPr>
                <w:rFonts w:ascii="仿宋_GB2312" w:hAnsi="仿宋_GB2312" w:cs="仿宋_GB2312" w:eastAsia="仿宋_GB2312"/>
              </w:rPr>
              <w:t>提供具有履行本合同所必须的设备和专业技术能力的说明或承诺；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竞争性磋商文件要求盖公章及要求法人或委托代理人盖章或签字的位置必须盖章或签字。</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技术、商务应答表.docx 标的清单 供应商拒绝政府采购领域商业贿赂承诺书.docx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自开标之日起不少于90日历天；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1、供应商针对本项目编制完善的施工方案，内容包含：①具体施工内容；②施工次序；③施工方法；④成品保护措施。 2、赋分标准4项内容均符合本项目采购需求且描述详细得满分；每缺一项内容，扣2.5分；每项内容每存在一处缺陷或瑕疵扣0.5分，10分扣完为止；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提供有效的质量管理体系、环境管理体系、职业健康安全管理体系认证证书，每提供1项管理体系证书得3分，最多得9分。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1、供应商针对本项目编制完善的人员配置方案，内容包含：①项目成员配置清单及人员架构；②项目组配备人员的资质证书及经验；③项目成员的主要职责及工作内容；④相应的协调措施。 注：以上人员需提供本人身份证、劳动合同或在职证明等相关证明资料复印件加盖公章。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1、供应商针对本项目编制完善的工程质量技术组织措施，内容包含：①质量目标管理体系；②确保质量的技术组织措施；③施工质量控制措施；④服务质量承诺。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项目进度计划及保障方案</w:t>
            </w:r>
          </w:p>
        </w:tc>
        <w:tc>
          <w:tcPr>
            <w:tcW w:type="dxa" w:w="2492"/>
          </w:tcPr>
          <w:p>
            <w:pPr>
              <w:pStyle w:val="null3"/>
            </w:pPr>
            <w:r>
              <w:rPr>
                <w:rFonts w:ascii="仿宋_GB2312" w:hAnsi="仿宋_GB2312" w:cs="仿宋_GB2312" w:eastAsia="仿宋_GB2312"/>
              </w:rPr>
              <w:t>1、供应商针对本项目编制完善的项目进度计划及保障方案，内容包含：①施工进度安排；②工期目标控制和保证措施；③材料供应措施； ④影响正常施工外在因素分析及应对措施等。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1、供应商针对本项目编制完善的文明施工及环境保护措施，内容包含：①安全文明施工目标及施工现场的临时管理措施；②文明施工保障措施；③环境保护管理体系；④环保控制措施：污染物及废弃物处理的排放、噪音控制、防尘及扬尘的控制措施。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1、供应商针对本项目编制完善的安全生产技术组织措施，内容包含：①安全管理制度；②安全施工措施； ③文物保护措施；④现场安全巡查与隐患闭环管理措施等。 2、赋分标准4项内容均符合本项目采购需求且描述详细得满分；每缺一项内容，扣2分；每项内容每存在一处缺陷或瑕疵扣0.5分，8分扣完为止；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难点、重点分析</w:t>
            </w:r>
          </w:p>
        </w:tc>
        <w:tc>
          <w:tcPr>
            <w:tcW w:type="dxa" w:w="2492"/>
          </w:tcPr>
          <w:p>
            <w:pPr>
              <w:pStyle w:val="null3"/>
            </w:pPr>
            <w:r>
              <w:rPr>
                <w:rFonts w:ascii="仿宋_GB2312" w:hAnsi="仿宋_GB2312" w:cs="仿宋_GB2312" w:eastAsia="仿宋_GB2312"/>
              </w:rPr>
              <w:t>1、供应商针对本项目实施难点、重点分析，内容包含：①重难点识别的准确性；②针对识别的重难点，制定具体、可操作的解决措施。 2、赋分标准2项内容均符合本项目采购需求且描述详细得满分；每缺一项内容，扣3分；每项内容每存在一处缺陷或瑕疵扣0.5分，6分扣完为止；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1、供应商针对本项目应急预案，内容包含：①预防与应急准备；②应对突发事件的处理措施。 2、赋分标准2项内容均符合本项目采购需求且描述详细得满分；每缺一项内容，扣2.5分；每项内容每存在一处缺陷或瑕疵扣0.5分，5分扣完为止；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在预算限额之内满足竞争性磋商文件要求且磋商价格最低的磋商报价为评标基准价，其价格分为30分。高于评标基准价的磋商供应商的价格分 按照下列公式计算： 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技术、商务应答表.docx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详见附件：技术、商务应答表.docx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