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版本号：JXRC-25101520260617001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离子抛光仪采购项目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JXRC-251015</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离子抛光仪采购项目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JXRC-251015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离子抛光仪采购项目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为提升学校全课程体系的教学实验平台水平，升级现代分析测试中心电镜制样实验室功能模块儿，进一步拓展现有扫描电镜、聚焦离子束系统的应用范围，拟采购一套离子抛光仪设备。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p>
      <w:pPr>
        <w:pStyle w:val="null3"/>
      </w:pPr>
      <w:r>
        <w:rPr>
          <w:rFonts w:ascii="仿宋_GB2312" w:hAnsi="仿宋_GB2312" w:cs="仿宋_GB2312" w:eastAsia="仿宋_GB2312"/>
        </w:rPr>
        <w:t>4、纳税证明：提供递交投标文件截止时间前一年内已缴存任意一个月的依法缴纳税收的相关凭据，凭据应有税务机关或代收机关的公章或业务专用章。依法免税或无须缴纳税收的供应商，应提供相应证明文件。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8、进口产品授权：所投产品为进口产品的，（1）厂家直投：提供制造厂家声明函（格式自拟）；（2）代理商：须提供所投进口产品的制造厂家授权书或总代理商授权书。（注：如提供总代理商授权书的须同时提供该总代理商具有有效授权权限的相关证明文件，证明文件需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开户银行：民生银行西安分行营业部(备注:转账时须附言“251015投标保证金”)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质保服务期满后，在扣除相关款项后（若有），剩余部分无息返还。如遇下列情况之一者，合同履约保证金不予退还，作为对采购人的赔偿：（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为提升学校全课程体系的教学实验平台水平，升级现代分析测试中心电镜制样实验室功能模块儿，进一步拓展现有扫描电镜、聚焦离子束系统的应用范围，拟采购一套离子抛光仪设备。</w:t>
      </w:r>
    </w:p>
    <w:p>
      <w:pPr>
        <w:pStyle w:val="null3"/>
        <w:ind w:firstLine="480"/>
        <w:jc w:val="center"/>
      </w:pPr>
      <w:r>
        <w:rPr>
          <w:rFonts w:ascii="仿宋_GB2312" w:hAnsi="仿宋_GB2312" w:cs="仿宋_GB2312" w:eastAsia="仿宋_GB2312"/>
          <w:sz w:val="24"/>
          <w:b/>
        </w:rPr>
        <w:t>采购清单</w:t>
      </w:r>
    </w:p>
    <w:tbl>
      <w:tblPr>
        <w:tblW w:w="0" w:type="auto"/>
        <w:tblBorders>
          <w:top w:val="single"/>
          <w:left w:val="single"/>
          <w:bottom w:val="single"/>
          <w:right w:val="single"/>
          <w:insideH w:val="single"/>
          <w:insideV w:val="single"/>
        </w:tblBorders>
      </w:tblPr>
      <w:tblGrid>
        <w:gridCol w:w="1137"/>
        <w:gridCol w:w="5119"/>
        <w:gridCol w:w="1706"/>
        <w:gridCol w:w="0"/>
      </w:tblGrid>
      <w:tr>
        <w:tc>
          <w:tcPr>
            <w:tcW w:type="dxa" w:w="11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序号</w:t>
            </w:r>
          </w:p>
        </w:tc>
        <w:tc>
          <w:tcPr>
            <w:tcW w:type="dxa" w:w="51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17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0"/>
            <w:tcBorders>
              <w:top w:val="none" w:color="000000" w:sz="4"/>
              <w:left w:val="none" w:color="000000" w:sz="4"/>
              <w:bottom w:val="single" w:color="000000" w:sz="4"/>
              <w:right w:val="none" w:color="000000" w:sz="4"/>
            </w:tcBorders>
          </w:tcPr>
          <w:p>
            <w:pPr>
              <w:pStyle w:val="null3"/>
              <w:spacing w:before="120" w:after="120"/>
              <w:jc w:val="both"/>
            </w:pPr>
            <w:r>
              <w:rPr>
                <w:rFonts w:ascii="仿宋_GB2312" w:hAnsi="仿宋_GB2312" w:cs="仿宋_GB2312" w:eastAsia="仿宋_GB2312"/>
                <w:sz w:val="24"/>
              </w:rPr>
              <w:t xml:space="preserve"> </w:t>
            </w:r>
          </w:p>
        </w:tc>
      </w:tr>
      <w:tr>
        <w:tc>
          <w:tcPr>
            <w:tcW w:type="dxa" w:w="7962"/>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离子抛光仪</w:t>
            </w:r>
          </w:p>
        </w:tc>
      </w:tr>
      <w:tr>
        <w:tc>
          <w:tcPr>
            <w:tcW w:type="dxa" w:w="1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1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离子抛光仪主机</w:t>
            </w:r>
          </w:p>
        </w:tc>
        <w:tc>
          <w:tcPr>
            <w:tcW w:type="dxa" w:w="17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c>
          <w:tcPr>
            <w:tcW w:type="dxa" w:w="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spacing w:before="120" w:after="120"/>
              <w:jc w:val="both"/>
            </w:pPr>
            <w:r>
              <w:rPr>
                <w:rFonts w:ascii="仿宋_GB2312" w:hAnsi="仿宋_GB2312" w:cs="仿宋_GB2312" w:eastAsia="仿宋_GB2312"/>
                <w:sz w:val="24"/>
              </w:rPr>
              <w:t xml:space="preserve"> </w:t>
            </w:r>
          </w:p>
        </w:tc>
      </w:tr>
      <w:tr>
        <w:tc>
          <w:tcPr>
            <w:tcW w:type="dxa" w:w="1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51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光学显微镜</w:t>
            </w:r>
          </w:p>
        </w:tc>
        <w:tc>
          <w:tcPr>
            <w:tcW w:type="dxa" w:w="17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c>
          <w:tcPr>
            <w:tcW w:type="dxa" w:w="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spacing w:before="120" w:after="120"/>
              <w:jc w:val="both"/>
            </w:pPr>
            <w:r>
              <w:rPr>
                <w:rFonts w:ascii="仿宋_GB2312" w:hAnsi="仿宋_GB2312" w:cs="仿宋_GB2312" w:eastAsia="仿宋_GB2312"/>
                <w:sz w:val="24"/>
              </w:rPr>
              <w:t xml:space="preserve"> </w:t>
            </w:r>
          </w:p>
        </w:tc>
      </w:tr>
      <w:tr>
        <w:tc>
          <w:tcPr>
            <w:tcW w:type="dxa" w:w="1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51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增程式液氮冷台</w:t>
            </w:r>
          </w:p>
        </w:tc>
        <w:tc>
          <w:tcPr>
            <w:tcW w:type="dxa" w:w="17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c>
          <w:tcPr>
            <w:tcW w:type="dxa" w:w="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spacing w:before="120" w:after="120"/>
              <w:jc w:val="both"/>
            </w:pPr>
            <w:r>
              <w:rPr>
                <w:rFonts w:ascii="仿宋_GB2312" w:hAnsi="仿宋_GB2312" w:cs="仿宋_GB2312" w:eastAsia="仿宋_GB2312"/>
                <w:sz w:val="24"/>
              </w:rPr>
              <w:t xml:space="preserve"> </w:t>
            </w:r>
          </w:p>
        </w:tc>
      </w:tr>
      <w:tr>
        <w:tc>
          <w:tcPr>
            <w:tcW w:type="dxa" w:w="1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51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配套样品挡板</w:t>
            </w:r>
          </w:p>
        </w:tc>
        <w:tc>
          <w:tcPr>
            <w:tcW w:type="dxa" w:w="17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个</w:t>
            </w:r>
          </w:p>
        </w:tc>
        <w:tc>
          <w:tcPr>
            <w:tcW w:type="dxa" w:w="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spacing w:before="120" w:after="120"/>
              <w:jc w:val="both"/>
            </w:pPr>
            <w:r>
              <w:rPr>
                <w:rFonts w:ascii="仿宋_GB2312" w:hAnsi="仿宋_GB2312" w:cs="仿宋_GB2312" w:eastAsia="仿宋_GB2312"/>
                <w:sz w:val="24"/>
              </w:rPr>
              <w:t xml:space="preserve"> </w:t>
            </w:r>
          </w:p>
        </w:tc>
      </w:tr>
      <w:tr>
        <w:tc>
          <w:tcPr>
            <w:tcW w:type="dxa" w:w="1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c>
          <w:tcPr>
            <w:tcW w:type="dxa" w:w="51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横截面精密装样器</w:t>
            </w:r>
          </w:p>
        </w:tc>
        <w:tc>
          <w:tcPr>
            <w:tcW w:type="dxa" w:w="17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c>
          <w:tcPr>
            <w:tcW w:type="dxa" w:w="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spacing w:before="120" w:after="120"/>
              <w:jc w:val="both"/>
            </w:pPr>
            <w:r>
              <w:rPr>
                <w:rFonts w:ascii="仿宋_GB2312" w:hAnsi="仿宋_GB2312" w:cs="仿宋_GB2312" w:eastAsia="仿宋_GB2312"/>
                <w:sz w:val="24"/>
              </w:rPr>
              <w:t xml:space="preserve"> </w:t>
            </w:r>
          </w:p>
        </w:tc>
      </w:tr>
      <w:tr>
        <w:tc>
          <w:tcPr>
            <w:tcW w:type="dxa" w:w="1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c>
          <w:tcPr>
            <w:tcW w:type="dxa" w:w="51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平面研磨夹具</w:t>
            </w:r>
          </w:p>
        </w:tc>
        <w:tc>
          <w:tcPr>
            <w:tcW w:type="dxa" w:w="17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根</w:t>
            </w:r>
          </w:p>
        </w:tc>
        <w:tc>
          <w:tcPr>
            <w:tcW w:type="dxa" w:w="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spacing w:before="120" w:after="120"/>
              <w:jc w:val="both"/>
            </w:pPr>
            <w:r>
              <w:rPr>
                <w:rFonts w:ascii="仿宋_GB2312" w:hAnsi="仿宋_GB2312" w:cs="仿宋_GB2312" w:eastAsia="仿宋_GB2312"/>
                <w:sz w:val="24"/>
              </w:rPr>
              <w:t xml:space="preserve"> </w:t>
            </w:r>
          </w:p>
        </w:tc>
      </w:tr>
      <w:tr>
        <w:tc>
          <w:tcPr>
            <w:tcW w:type="dxa" w:w="1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w:t>
            </w:r>
          </w:p>
        </w:tc>
        <w:tc>
          <w:tcPr>
            <w:tcW w:type="dxa" w:w="51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横截面切割夹具</w:t>
            </w:r>
          </w:p>
        </w:tc>
        <w:tc>
          <w:tcPr>
            <w:tcW w:type="dxa" w:w="17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套</w:t>
            </w:r>
          </w:p>
        </w:tc>
        <w:tc>
          <w:tcPr>
            <w:tcW w:type="dxa" w:w="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spacing w:before="120" w:after="120"/>
              <w:jc w:val="both"/>
            </w:pPr>
            <w:r>
              <w:rPr>
                <w:rFonts w:ascii="仿宋_GB2312" w:hAnsi="仿宋_GB2312" w:cs="仿宋_GB2312" w:eastAsia="仿宋_GB2312"/>
                <w:sz w:val="24"/>
              </w:rPr>
              <w:t xml:space="preserve"> </w:t>
            </w:r>
          </w:p>
        </w:tc>
      </w:tr>
      <w:tr>
        <w:tc>
          <w:tcPr>
            <w:tcW w:type="dxa" w:w="1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w:t>
            </w:r>
          </w:p>
        </w:tc>
        <w:tc>
          <w:tcPr>
            <w:tcW w:type="dxa" w:w="51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真空系统：隔膜泵×1，分子泵×1，真空计</w:t>
            </w:r>
          </w:p>
        </w:tc>
        <w:tc>
          <w:tcPr>
            <w:tcW w:type="dxa" w:w="17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c>
          <w:tcPr>
            <w:tcW w:type="dxa" w:w="0"/>
            <w:tcBorders>
              <w:top w:val="none" w:color="000000" w:sz="4"/>
              <w:left w:val="none" w:color="000000" w:sz="4"/>
              <w:bottom w:val="single" w:color="000000" w:sz="4"/>
              <w:right w:val="none" w:color="000000" w:sz="4"/>
            </w:tcBorders>
          </w:tcPr>
          <w:p>
            <w:pPr>
              <w:pStyle w:val="null3"/>
              <w:spacing w:before="120" w:after="120"/>
              <w:jc w:val="both"/>
            </w:pPr>
            <w:r>
              <w:rPr>
                <w:rFonts w:ascii="仿宋_GB2312" w:hAnsi="仿宋_GB2312" w:cs="仿宋_GB2312" w:eastAsia="仿宋_GB2312"/>
                <w:sz w:val="24"/>
              </w:rPr>
              <w:t xml:space="preserve"> </w:t>
            </w:r>
          </w:p>
        </w:tc>
      </w:tr>
      <w:tr>
        <w:tc>
          <w:tcPr>
            <w:tcW w:type="dxa" w:w="7962"/>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其他附属设备及前处理设备</w:t>
            </w:r>
          </w:p>
        </w:tc>
      </w:tr>
      <w:tr>
        <w:tc>
          <w:tcPr>
            <w:tcW w:type="dxa" w:w="1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w:t>
            </w:r>
          </w:p>
        </w:tc>
        <w:tc>
          <w:tcPr>
            <w:tcW w:type="dxa" w:w="51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精密切割机</w:t>
            </w:r>
          </w:p>
        </w:tc>
        <w:tc>
          <w:tcPr>
            <w:tcW w:type="dxa" w:w="17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c>
          <w:tcPr>
            <w:tcW w:type="dxa" w:w="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spacing w:before="120" w:after="120"/>
              <w:jc w:val="both"/>
            </w:pPr>
            <w:r>
              <w:rPr>
                <w:rFonts w:ascii="仿宋_GB2312" w:hAnsi="仿宋_GB2312" w:cs="仿宋_GB2312" w:eastAsia="仿宋_GB2312"/>
                <w:sz w:val="24"/>
              </w:rPr>
              <w:t xml:space="preserve"> </w:t>
            </w:r>
          </w:p>
        </w:tc>
      </w:tr>
      <w:tr>
        <w:tc>
          <w:tcPr>
            <w:tcW w:type="dxa" w:w="1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51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自动热镶嵌机</w:t>
            </w:r>
          </w:p>
        </w:tc>
        <w:tc>
          <w:tcPr>
            <w:tcW w:type="dxa" w:w="17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c>
          <w:tcPr>
            <w:tcW w:type="dxa" w:w="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spacing w:before="120" w:after="120"/>
              <w:jc w:val="both"/>
            </w:pPr>
            <w:r>
              <w:rPr>
                <w:rFonts w:ascii="仿宋_GB2312" w:hAnsi="仿宋_GB2312" w:cs="仿宋_GB2312" w:eastAsia="仿宋_GB2312"/>
                <w:sz w:val="24"/>
              </w:rPr>
              <w:t xml:space="preserve"> </w:t>
            </w:r>
          </w:p>
        </w:tc>
      </w:tr>
      <w:tr>
        <w:tc>
          <w:tcPr>
            <w:tcW w:type="dxa" w:w="1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11</w:t>
            </w:r>
          </w:p>
        </w:tc>
        <w:tc>
          <w:tcPr>
            <w:tcW w:type="dxa" w:w="51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机械精密研磨抛光机</w:t>
            </w:r>
          </w:p>
        </w:tc>
        <w:tc>
          <w:tcPr>
            <w:tcW w:type="dxa" w:w="17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c>
          <w:tcPr>
            <w:tcW w:type="dxa" w:w="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spacing w:before="120" w:after="120"/>
              <w:jc w:val="both"/>
            </w:pPr>
            <w:r>
              <w:rPr>
                <w:rFonts w:ascii="仿宋_GB2312" w:hAnsi="仿宋_GB2312" w:cs="仿宋_GB2312" w:eastAsia="仿宋_GB2312"/>
                <w:sz w:val="24"/>
              </w:rPr>
              <w:t xml:space="preserve"> </w:t>
            </w:r>
          </w:p>
        </w:tc>
      </w:tr>
      <w:tr>
        <w:tc>
          <w:tcPr>
            <w:tcW w:type="dxa" w:w="113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511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精密凹坑仪</w:t>
            </w:r>
          </w:p>
        </w:tc>
        <w:tc>
          <w:tcPr>
            <w:tcW w:type="dxa" w:w="17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c>
          <w:tcPr>
            <w:tcW w:type="dxa" w:w="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spacing w:before="120" w:after="120"/>
              <w:jc w:val="both"/>
            </w:pPr>
            <w:r>
              <w:rPr>
                <w:rFonts w:ascii="仿宋_GB2312" w:hAnsi="仿宋_GB2312" w:cs="仿宋_GB2312" w:eastAsia="仿宋_GB2312"/>
                <w:sz w:val="24"/>
              </w:rPr>
              <w:t xml:space="preserve"> </w:t>
            </w: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离子抛光仪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标的名称：离子抛光仪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一、仪器用途及基本要求： 可加工材料包括金属、矿石、陶瓷、玻璃等各种固体材料及其复合膜层等。可对岩石、混凝土等疏松多孔材料、防水防腐涂层等的表截面进行刻蚀而不影响其原有结构。对于离子束易损伤样品或软质样品，通过冷冻控温等功能可实现良好加工效果。适宜于SEM观察及EDS、WDS、或者EBSD分析样品制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二、工作条件 1. 电力供应：220～240VAC，50Hz；</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2. 工作温度：15℃～25℃；</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3. 工作湿度：&lt; 60%</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三、技术要求 1.离子枪： ★1.1 离子枪类型：两把或两把以上全电磁线圈聚焦氩离子枪,无永磁体；</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▲1.2离子枪加速电压：低能量≤100eV，高能量≥10KeV，连续可调，步进≤0.1kV；</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★1.3</w:t>
            </w:r>
            <w:r>
              <w:rPr>
                <w:rFonts w:ascii="仿宋_GB2312" w:hAnsi="仿宋_GB2312" w:cs="仿宋_GB2312" w:eastAsia="仿宋_GB2312"/>
                <w:sz w:val="24"/>
                <w:color w:val="000000"/>
              </w:rPr>
              <w:t>离子电流密度：≥10mA/cm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，连续可调，精度≤0.1μA；</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1.4离子枪控制：电源及离子枪为独立控制，可选择任一或两个及以上离子枪工作；</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★1.5离子束光束直径：可调，最小直径≤300μm，最大直径≥5000μm；；</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color w:val="000000"/>
              </w:rPr>
              <w:t xml:space="preserve">1.6 </w:t>
            </w:r>
            <w:r>
              <w:rPr>
                <w:rFonts w:ascii="仿宋_GB2312" w:hAnsi="仿宋_GB2312" w:cs="仿宋_GB2312" w:eastAsia="仿宋_GB2312"/>
                <w:sz w:val="24"/>
                <w:color w:val="000000"/>
              </w:rPr>
              <w:t>真空系统：两级泵（无油机械泵＋分子泵），工作压力＜1 x 10</w:t>
            </w:r>
            <w:r>
              <w:rPr>
                <w:rFonts w:ascii="仿宋_GB2312" w:hAnsi="仿宋_GB2312" w:cs="仿宋_GB2312" w:eastAsia="仿宋_GB2312"/>
                <w:sz w:val="24"/>
                <w:color w:val="000000"/>
                <w:vertAlign w:val="superscript"/>
              </w:rPr>
              <w:t>-4</w:t>
            </w:r>
            <w:r>
              <w:rPr>
                <w:rFonts w:ascii="仿宋_GB2312" w:hAnsi="仿宋_GB2312" w:cs="仿宋_GB2312" w:eastAsia="仿宋_GB2312"/>
                <w:sz w:val="24"/>
                <w:color w:val="000000"/>
              </w:rPr>
              <w:t>Pa</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▲1.7 最大离子束切割速率：≥500µm/小时（Si）；</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1.8 离子束对中：无需对中校正。</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可加工样品尺寸：</w:t>
            </w:r>
          </w:p>
          <w:p>
            <w:pPr>
              <w:pStyle w:val="null3"/>
            </w:pPr>
            <w:r>
              <w:rPr>
                <w:rFonts w:ascii="仿宋_GB2312" w:hAnsi="仿宋_GB2312" w:cs="仿宋_GB2312" w:eastAsia="仿宋_GB2312"/>
                <w:sz w:val="24"/>
                <w:color w:val="000000"/>
              </w:rPr>
              <w:t xml:space="preserve">2.1 </w:t>
            </w:r>
            <w:r>
              <w:rPr>
                <w:rFonts w:ascii="仿宋_GB2312" w:hAnsi="仿宋_GB2312" w:cs="仿宋_GB2312" w:eastAsia="仿宋_GB2312"/>
                <w:sz w:val="24"/>
                <w:color w:val="000000"/>
              </w:rPr>
              <w:t>离子束切割：≥20mm×10mm×7mm，单次有效加工面积≥10mm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 xml:space="preserve">▲2.2 </w:t>
            </w:r>
            <w:r>
              <w:rPr>
                <w:rFonts w:ascii="仿宋_GB2312" w:hAnsi="仿宋_GB2312" w:cs="仿宋_GB2312" w:eastAsia="仿宋_GB2312"/>
                <w:sz w:val="24"/>
                <w:color w:val="000000"/>
              </w:rPr>
              <w:t>离子束抛光：≥Φ32mm×25mm，有效加工面积≥550mm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3. 试样台</w:t>
            </w:r>
          </w:p>
          <w:p>
            <w:pPr>
              <w:pStyle w:val="null3"/>
            </w:pPr>
            <w:r>
              <w:rPr>
                <w:rFonts w:ascii="仿宋_GB2312" w:hAnsi="仿宋_GB2312" w:cs="仿宋_GB2312" w:eastAsia="仿宋_GB2312"/>
                <w:sz w:val="24"/>
              </w:rPr>
              <w:t>▲3.1 冷冻离子束切割样品台：液氮制冷，室温到-170℃，控温精度≤±1℃，一次加注液氮连续冷却时长不小于15小时；</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3.2 样品台运动功能：可360°旋转，转速≥10转/分钟；</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▲3.3具备磁性编码器提供绝对定位精度，具备样品厚度测量功能，实现不同厚度样品自动匹配最佳抛光位置；</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4.离子束与被加工面夹角：≥15°，可调节，调节步进：≤1°；</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5. 观察系统：光学显微镜，光学放大倍数≥40；</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6. 操作控制：一体化触摸屏控制，操作软件及相应软件功能免费升级；</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 样品处理终止：自动终止（时间控制）；</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8. 前处理设备： 8.1 精密切割机：可对金属、电子元件、陶瓷材料、晶体、硬质合金、岩样、矿样、混凝土、有机材料、生物材料（齿、骨）等材料进行精密的无变形切割；</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8.1.1主轴转速：有效值不小于3500rpm 无极调速；</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8.1.2 X 轴滑板行程：≥80mm；</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8.1.3 Y 轴滑板行程：≥105mm；</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8.1.4 X/Y 轴驱动电机：高精步进电机，精度≤0.01mm；</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8.1.5夹具最大开度（台钳）：不小于55mm；</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8.1.6主机控制方式：触摸屏+PLC 编程控制；</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8.1.7锯片尺寸：外径：Ø200mm 内径：Ø25.4mm 或Ø32mm，厚度不大于1.2mm；</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8.1.8进刀速度：最小值不大于0.01 mm/min，最大不小于40mm/min，调节步长：≤0.01mm。</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8.2自动热镶嵌机： 8.2.1 热压操作：自动电动液压；</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8.2.2 镶嵌模具尺寸：公制，30mm；</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8.2.3 压力：最大压力≥50～200bar；</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8.2.4加热温度：≥250℃；</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8.2.5模腔高度：≥140mm，有效高度不小于85mm，可同时镶嵌2个试样；</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8.2.6保压时间：不少于99分钟。</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8.3机械精密研磨抛光机： 8.3.1 研抛盘直径：磨抛盘数量≥1个，直径≥Φ230mm；</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8.3.2砂纸直径：≥Φ230mm；</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8.3.3试样夹持数量：≥4个；</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8.3.4磨头转速：无级调速20～120r/min；</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8.3.5转速：无级调速50～1000r/min和四档速度250, 500, 750, 1000r/min快速选择；</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8.3.6加压方式：单点气动加压；</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8.3.7加压压力：0～60N。</w:t>
            </w:r>
          </w:p>
        </w:tc>
      </w:tr>
      <w:tr>
        <w:tc>
          <w:tcPr>
            <w:tcW w:type="dxa" w:w="2769"/>
          </w:tcPr>
          <w:p>
            <w:pPr>
              <w:pStyle w:val="null3"/>
            </w:pPr>
            <w:r>
              <w:rPr>
                <w:rFonts w:ascii="仿宋_GB2312" w:hAnsi="仿宋_GB2312" w:cs="仿宋_GB2312" w:eastAsia="仿宋_GB2312"/>
              </w:rPr>
              <w:t>44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8.4 精密凹坑仪 ▲8.4.1控制精度：≤1μm，且凹坑速率能够控制，研磨速度调节精度≤0.1μm/min；</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8.4.2可独立控制研磨轮和样品台的旋转，满足不同硬度材料的凹坑； 8.4.3样品厚度连续可读，精度≤1μm； 8.4.4 配光学显微镜，倍率≥40倍； 8.4.5. 自动控制及手动调节两种终止方式。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进口设备合同签订后90日历天内完成交付、安装及调试；国产设备合同签订后30日历天内完成交付、安装及调试。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西安理工大学金花校区学科1号楼现代分析测试中心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由采购人通过指定的进口业务代理公司向中标供应商开出全额信用证(100%信用证，进口业务代理服务费由中标供应商承担)，待设备到货、安装调试、并经学校组织验收合格后，信用证100%凭学校出具的正式验收报告解付。最终结算时，中标供应商应通过采购人指定的进口业务代理公司向采购人开具符合采购人要求的合同总价款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购置合同》（包括合同的配置清单、技术规格资料、技术协议、补充协议等）、装运单据（包括航空、铁路、公路、轮船、邮寄和快递等运单）和装箱清单、报关单据、商检证书等； 提供仪器设备的安装手册、操作手册、工作软件说明书、维修保养手册等技术文件中、英文各1份，及产品合格证、质量保证书和产品软件等全套资料。 （2）验收流程 ①到货初检（采购人、中标人共同参与）： 检查外包装完整性、防伪标识、运输损伤情况； 核对货物型号、数量、规格是否与合同一致； 检查随机文件（合格证、说明书、保修卡等）。 ②安装调试验收 按照合同的配置清单、技术规格资料、技术协议、补充协议等进行安装调试； 调试记录完整。 ③性能测试验收（关键指标实测） 连续运行120小时无故障； 关键参数与投标文件承诺值对比无变化。 ④最终验收 设备安装调试完毕、正常运行3个月后。签署《验收报告》，产品保修期自验收合格之日起算，由中标人提供产品保修文件。 （3）中标人安装调试完毕，双方按合同文本及附件进行配件清点及功能认证。 （4）供应商应提供相关设备在安装调试、校验、初始运转中涉及费用（包括试剂、耗材、配件、服务等）应包括在报价中。</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仪器验收合格之日起至少壹年。供应商提供仪器的现场安装调试并达到技术指标要求的技术性能，满足甲方使用要求，并同时在现场对用户进行操作培训。质保期内出现任何非人为故意损坏的质量问题，由乙方包换或包退，并承担调换或退货的全部费用。 2、仪器安装运行能正常使用，质保维护及时；售后服务响应时间（质保期内）：即时响应（包括电话响应）；电话响应无法解决24小时内到达现场。修复时间12小时内解决；如在24小时内无法修复，则提供部件冗余服务或采取应急措施，提供相同产品或不低于故障产品规格档次的备用产品供采购人使用，以确保货物的正常使用。 3、中标人终身维修，在保修期外只收配件成本费。 4、制造商为用户提供仪器的基本原理、操作、日常维护及基础分析仪器理论课程，并为用户提供2人次制造商培训中心的上机培训，要求培训后能够熟练使用仪器。同时具备协助客户项目开发、仪器试用等功能。</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一、专用工具、备品备件、安装调试及配套工程等要求 （1）专用工具及备件 专用工具：提供价值不低于设备总值0.5%的专用维修工具包，应包含但不限于：1. 常规拆装工具如扳手、螺丝刀等，适配多种设备接口，2. 针对设备特定部件设计的专用维护维修套件（如有则应配备），3. 润滑油、真空脂、镜头纸、清洁剂或专用清洗剂等维护必需品，4. 防静电手套、护目镜等安全防护装备； 备品备件：导电胶带2卷；无尘布2包；镊子2把；凹坑用研磨轮 2个；金刚石锯片1 片；碳化硅锯片2 片；刚玉锯片2 片；镶嵌料1袋；设备所需各类型密封圈各10个。 （2）安装调试要求 调试周期：连续120小时无故障运行测试； 人员培训：提供相关操作人员培训资料。 （3）配套工程 基础施工：包含安装设备所需叉车及各种工具（需提前2日做好准备）。 （4）质量保证 质量追溯：提供原材料来源证明及质量检验报告； 货物要求：以采购人的要求为准，为采购人提供全新的货物（包括零部件）。 （5）售后服务 响应时限：在保修期期间和保修期外，供应商接到用户电话24个工作小时内做出响应，需要到现场解决的，需要在1-3天内到达用户现场，保证提供及时优质的售后服务； 定期维护：每季度提供至少1次预防性维护服务。 二、付款方式（因系统编制受限，付款方式招标文件中有不一致的以此处为准） 进口产品付款条件：合同生效后，由采购人通过指定的进口业务代理公司向中标供应商开出全额信用证(100%信用证，进口业务代理服务费由中标供应商承担)，待设备到货、安装调试、并经学校组织验收合格后，信用证100%凭学校出具的正式验收报告解付。最终结算时，中标供应商应通过采购人指定的进口业务代理公司向采购人开具符合采购人要求的合同总价款发票，达到付款条件起30日内，支付合同总金额的100.00%。 国产产品付款方式：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三、产品保修期内，修理、更换、退货要求 （1）质量标准：中标人的产品质量应当符合国家行业规定的标准，并无任何瑕疵；中标人应按配置清单要求提供原装产品，除人为因素损坏外，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技术保障：中标人提供的设备及配套产品，必须是合同规定厂家制造的、合格、全新、未曾使用的产品，产品内部无损坏，外表无磨损，内部包装无破损。必须等同于投标指标，并能按国家标准供应、检测、调试，确保产品技术指标满足使用要求。中标人须保证所提供的货物经正确安装、正常运转和保养，在其使用寿命期内须具有符合质量要求和产品说明书的性能。 四、技术资料及培训要求 1.供应商应提供仪器安装调试后，在现场对用户进行操作培训，培训内容包括仪器的基本原理、操作及一般仪器维护保养知识。 2.供应商需为用户提供仪器的基本原理、操作、日常维护及基础分析仪器理论课程，并为用户提供上机培训。 五、进口产品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六、本项目已通过进口产品论证，投标文件中接受外文资料，但应对应翻译成中文并附在相关外文资料后面。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进口产品授权</w:t>
            </w:r>
          </w:p>
        </w:tc>
        <w:tc>
          <w:tcPr>
            <w:tcW w:type="dxa" w:w="3322"/>
          </w:tcPr>
          <w:p>
            <w:pPr>
              <w:pStyle w:val="null3"/>
            </w:pPr>
            <w:r>
              <w:rPr>
                <w:rFonts w:ascii="仿宋_GB2312" w:hAnsi="仿宋_GB2312" w:cs="仿宋_GB2312" w:eastAsia="仿宋_GB2312"/>
              </w:rPr>
              <w:t>所投产品为进口产品的，（1）厂家直投：提供制造厂家声明函（格式自拟）；（2）代理商：须提供所投进口产品的制造厂家授权书或总代理商授权书。（注：如提供总代理商授权书的须同时提供该总代理商具有有效授权权限的相关证明文件，证明文件需能显示产品制造厂家对所投产品授权链条的完整性。）国产产品不需要提供。</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投标保证金缴纳凭证 投标函 其他材料 投标文件封面 投标人基本信息 企业关联关系声明函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投标产品的技术指标满足或高于招标文件要求的，得满分30分。 带“★”标识（共3项）的参数需求为实质性要求，必须响应并满足参数需求。 1、带“▲”号技术指标满分14分，（共7项）有一项不满足扣2分； 2、非“▲”和非“★”号技术参数满分16分，每有一项负偏离扣0.46分。 注：对标“▲”和“★”号技术参数供应商必须提供相关技术参数佐证材料（包括但不限于国家认可的检测机构出具的检测报告、制造商检验报告、产品彩页、官网功能截图等）予以证明其技术参数的响应性。未提供或评审委员会认定所提供材料无法有效证明的将视为不满足本参数要求。 2、对非“▲”非“★”号的技术参数投标人在投标文件中应尽可能多地提供技术支持资料予以证明其技术指标响应性，并在技术响应偏离表中标注对应页码及位置。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投标人针对本项目提供完整的项目实施方案。内容包含：①供货运输方案；②具有健全的产品安装、调试、试运行及验收方案；③应急预案。 二、评审标准 1、完整性：方案须全面，对评审内容中的各项要求有详细描述； 2、可实施性：切合本项目实际情况，实施步骤清晰、合理； 3、针对性：方案能够紧扣本项目所采购设备种类等实际情况，内容科学合理。 三、赋分依据（满分9分） 上述3项评审内容全部满足评审标准得9分；每有一个评审内容缺项扣3分，扣完为止；每有一项评审内容存在缺陷，扣（0-3）分。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包括①配备专业应用工程师对接使用人，随时提供样品测试/方法开发支持、定制制样方案指导；②质保期后，每年免费提供一次设备关键指标（离子束电流密度、真空度、切割速率等）的测试验证并出具报告； 提供承诺书（格式自拟），每提供一条得1分，满分2分，未提供不得分。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 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设备选型方案思路清晰、科学合理、可行性强、完全满足采购人需求得2分； 设备选型方案合理完善、可行性较强、基本满足采购人需求得1分； 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设备故障及维修服务到场响应时限及措施、备品备件供应计划等方面；②提供售后服务承诺且符合实际需求；③培训方案。 二、评审标准 1、完整性：方案须全面，对评审内容中的各项要求有详细描述； 2、可实施性：切合本项目实际情况，实施步骤清晰、合理； 3、针对性：方案能够紧扣项目实际情况，内容科学合理。 三、赋分依据（满分9分） 上述3项评审内容全部满足评审标准得9分；每有一个评审内容缺项扣3分，扣完为止；每有一项评审内容存在缺陷，扣（0-3）分。 说明：1、缺陷是指内容没有结合项目实际需求、虽有内容但不完善、内容表述前后不一致、套用其他项目方案或与项目需求不匹配及其他不利于项目实施的等任意一种情形。 2、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质保期满足招标文件要求（1年）的基础上，每增加一年得1分（产品验收合格后开始计算），最高得2分。提供承诺，无承诺不得分。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同类产品自2023年5月1日至文件递交截止时间前(以合同签订时间为准)的项目业绩(投标供应商或制造厂商业绩均可)，需提供完整且清晰有效的合同复印件及对应货款发票并加盖公章，每提供一份完整资料得1分，最多得6分。合同中无法体现签订时间、产品品牌、型号等相关信息的视为无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详见附件：投标人资格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