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版本号：HYDZB202603720260910002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代王街办北郭村基础设施建设项目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HYDZB2026037</w:t>
      </w:r>
      <w:r>
        <w:br/>
      </w:r>
      <w:r>
        <w:br/>
      </w:r>
      <w:r>
        <w:br/>
      </w:r>
    </w:p>
    <w:p>
      <w:pPr>
        <w:pStyle w:val="null3"/>
        <w:jc w:val="center"/>
        <w:outlineLvl w:val="2"/>
      </w:pPr>
      <w:r>
        <w:rPr>
          <w:rFonts w:ascii="仿宋_GB2312" w:hAnsi="仿宋_GB2312" w:cs="仿宋_GB2312" w:eastAsia="仿宋_GB2312"/>
          <w:sz w:val="28"/>
          <w:b/>
        </w:rPr>
        <w:t>西安市临潼区代王街道办事处</w:t>
      </w:r>
    </w:p>
    <w:p>
      <w:pPr>
        <w:pStyle w:val="null3"/>
        <w:jc w:val="center"/>
        <w:outlineLvl w:val="2"/>
      </w:pPr>
      <w:r>
        <w:rPr>
          <w:rFonts w:ascii="仿宋_GB2312" w:hAnsi="仿宋_GB2312" w:cs="仿宋_GB2312" w:eastAsia="仿宋_GB2312"/>
          <w:sz w:val="28"/>
          <w:b/>
        </w:rPr>
        <w:t>陕西恒益鼎工程项目管理有限公司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陕西恒益鼎工程项目管理有限公司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西安市临潼区代王街道办事处</w:t>
      </w:r>
      <w:r>
        <w:rPr>
          <w:rFonts w:ascii="仿宋_GB2312" w:hAnsi="仿宋_GB2312" w:cs="仿宋_GB2312" w:eastAsia="仿宋_GB2312"/>
        </w:rPr>
        <w:t>委托，拟对</w:t>
      </w:r>
      <w:r>
        <w:rPr>
          <w:rFonts w:ascii="仿宋_GB2312" w:hAnsi="仿宋_GB2312" w:cs="仿宋_GB2312" w:eastAsia="仿宋_GB2312"/>
        </w:rPr>
        <w:t>代王街办北郭村基础设施建设项目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HYDZB2026037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代王街办北郭村基础设施建设项目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代王街办北郭村基础设施建设项目，新修水泥混凝土路面3305.98平方米，新砌筑挡墙170米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采购包1（代王街办北郭村基础设施建设项目）：属于专门面向中小企业采购。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1、营业执照：供应商应是合法注册的法人或其他组织,并出具合法有效的营业执照；</w:t>
      </w:r>
    </w:p>
    <w:p>
      <w:pPr>
        <w:pStyle w:val="null3"/>
      </w:pPr>
      <w:r>
        <w:rPr>
          <w:rFonts w:ascii="仿宋_GB2312" w:hAnsi="仿宋_GB2312" w:cs="仿宋_GB2312" w:eastAsia="仿宋_GB2312"/>
        </w:rPr>
        <w:t>2、法人代表证明书或法人授权委托书：法人代表证明书或法人授权委托书，后附法人及被委托人身份证（法定代表人直接参加开标的只需提供法定代表人身份证）；</w:t>
      </w:r>
    </w:p>
    <w:p>
      <w:pPr>
        <w:pStyle w:val="null3"/>
      </w:pPr>
      <w:r>
        <w:rPr>
          <w:rFonts w:ascii="仿宋_GB2312" w:hAnsi="仿宋_GB2312" w:cs="仿宋_GB2312" w:eastAsia="仿宋_GB2312"/>
        </w:rPr>
        <w:t>3、供应商资质：供应商须具备市政公用工程施工总承包三级及以上资质，且具有有效的安全生产许可证；</w:t>
      </w:r>
    </w:p>
    <w:p>
      <w:pPr>
        <w:pStyle w:val="null3"/>
      </w:pPr>
      <w:r>
        <w:rPr>
          <w:rFonts w:ascii="仿宋_GB2312" w:hAnsi="仿宋_GB2312" w:cs="仿宋_GB2312" w:eastAsia="仿宋_GB2312"/>
        </w:rPr>
        <w:t>4、拟派项目经理：拟派项目经理须具备市政公用工程二级及以上注册建造师证书和有效的安全生产考核合格B证，在本单位注册，且未担任其他在建工程的项目经理；</w:t>
      </w:r>
    </w:p>
    <w:p>
      <w:pPr>
        <w:pStyle w:val="null3"/>
      </w:pPr>
      <w:r>
        <w:rPr>
          <w:rFonts w:ascii="仿宋_GB2312" w:hAnsi="仿宋_GB2312" w:cs="仿宋_GB2312" w:eastAsia="仿宋_GB2312"/>
        </w:rPr>
        <w:t>5、基本资格条件承诺函：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如不提供《基本资格条件承诺函》的供应商需提交以下资格证明文件: ①财务状况报告：提供具有财务审计资质单位出具的2025年度的财务审计报告（成立时间不到一年的可提供成立后任意时段的资产负债表）或响应文件递截止时间前六个月内其基本账户银行出具的资信证明（附基本账户证明）或政府采购信用担保机构出具的磋商担保函；②税收缴纳证明：提供投标截止日前6个月内已缴纳的至少一个月的纳税证明或完税证明，依法免税的单位应提供相关证明材料；③、社会保障资金缴纳证明：提供投标截止日前6个月内已缴存的至少一个月的社会保障资金缴存单据或社保机构开具的社会保险参保缴费情况证明，依法不需要缴纳社会保障资金的单位应提供相关证明材料；④提供具有履行本合同所必需的设备和专业技术能力的说明及承诺；⑤参加政府采购活动前3年内经营活动中无重大违法记录声明；⑥ 供应商未被“信用中国”网站(www.sr&amp;mtchin8.gov.&amp;)列入失信被执行人和重大税收违法失信主体，未被中国政府采购网(www.cc.gov.sn)列入政府采购严重违法失信行为记录名单；</w:t>
      </w:r>
    </w:p>
    <w:p>
      <w:pPr>
        <w:pStyle w:val="null3"/>
      </w:pPr>
      <w:r>
        <w:rPr>
          <w:rFonts w:ascii="仿宋_GB2312" w:hAnsi="仿宋_GB2312" w:cs="仿宋_GB2312" w:eastAsia="仿宋_GB2312"/>
        </w:rPr>
        <w:t>6、控股、管理关系：单位负责人为同一人或者存在直接控股、管理关系的不同供应商，不得参加同一合同项下的投标活动；</w:t>
      </w:r>
    </w:p>
    <w:p>
      <w:pPr>
        <w:pStyle w:val="null3"/>
      </w:pPr>
      <w:r>
        <w:rPr>
          <w:rFonts w:ascii="仿宋_GB2312" w:hAnsi="仿宋_GB2312" w:cs="仿宋_GB2312" w:eastAsia="仿宋_GB2312"/>
        </w:rPr>
        <w:t>7、非联合体投标：本项目不接受联合体投标。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西安市临潼区代王街道办事处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临潼区代王街道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张富平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83931236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陕西恒益鼎工程项目管理有限公司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陕西省西安市临潼区陕西省西安市临潼区东三岔昌龄巷北排1号4F</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邓钰春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02983942263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文件收费标准计取，由成交人在领取成交通知书前向代理机构一次性支付。</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西安市临潼区代王街道办事处</w:t>
      </w:r>
      <w:r>
        <w:rPr>
          <w:rFonts w:ascii="仿宋_GB2312" w:hAnsi="仿宋_GB2312" w:cs="仿宋_GB2312" w:eastAsia="仿宋_GB2312"/>
        </w:rPr>
        <w:t>和</w:t>
      </w:r>
      <w:r>
        <w:rPr>
          <w:rFonts w:ascii="仿宋_GB2312" w:hAnsi="仿宋_GB2312" w:cs="仿宋_GB2312" w:eastAsia="仿宋_GB2312"/>
        </w:rPr>
        <w:t>陕西恒益鼎工程项目管理有限公司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西安市临潼区代王街道办事处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陕西恒益鼎工程项目管理有限公司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西安市临潼区代王街道办事处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陕西恒益鼎工程项目管理有限公司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甲方对本合同履行期间产生的成果（包括乙方交付的全部成果以及本合同履行过程中产生的技术文件）拥有全部权利，包括知识产权、所有权及相应利益。乙方保证甲方在使用合同服务时，不承担任何涉及知识产权法律诉讼的责任。</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达到国家现行施工质量验收规范“合格”标准。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联系人：万工</w:t>
      </w:r>
    </w:p>
    <w:p>
      <w:pPr>
        <w:pStyle w:val="null3"/>
      </w:pPr>
      <w:r>
        <w:rPr>
          <w:rFonts w:ascii="仿宋_GB2312" w:hAnsi="仿宋_GB2312" w:cs="仿宋_GB2312" w:eastAsia="仿宋_GB2312"/>
        </w:rPr>
        <w:t>联系电话：02983942263</w:t>
      </w:r>
    </w:p>
    <w:p>
      <w:pPr>
        <w:pStyle w:val="null3"/>
      </w:pPr>
      <w:r>
        <w:rPr>
          <w:rFonts w:ascii="仿宋_GB2312" w:hAnsi="仿宋_GB2312" w:cs="仿宋_GB2312" w:eastAsia="仿宋_GB2312"/>
        </w:rPr>
        <w:t>地址：西安市临潼区秦陵南路20号</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760,000.00</w:t>
      </w:r>
    </w:p>
    <w:p>
      <w:pPr>
        <w:pStyle w:val="null3"/>
      </w:pPr>
      <w:r>
        <w:rPr>
          <w:rFonts w:ascii="仿宋_GB2312" w:hAnsi="仿宋_GB2312" w:cs="仿宋_GB2312" w:eastAsia="仿宋_GB2312"/>
        </w:rPr>
        <w:t>采购包最高限价（元）: 760,000.00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代王街办北郭村基础设施建设项目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760,000.00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标的名称：代王街办北郭村基础设施建设项目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color w:val="000000"/>
              </w:rPr>
              <w:t>一</w:t>
            </w:r>
            <w:r>
              <w:rPr>
                <w:rFonts w:ascii="仿宋_GB2312" w:hAnsi="仿宋_GB2312" w:cs="仿宋_GB2312" w:eastAsia="仿宋_GB2312"/>
                <w:sz w:val="24"/>
                <w:b/>
                <w:color w:val="000000"/>
              </w:rPr>
              <w:t>、工程内容和施工地点、计划工期、质量标准</w:t>
            </w:r>
          </w:p>
          <w:p>
            <w:pPr>
              <w:pStyle w:val="null3"/>
              <w:ind w:firstLine="480"/>
              <w:jc w:val="both"/>
            </w:pPr>
            <w:r>
              <w:rPr>
                <w:rFonts w:ascii="仿宋_GB2312" w:hAnsi="仿宋_GB2312" w:cs="仿宋_GB2312" w:eastAsia="仿宋_GB2312"/>
                <w:sz w:val="24"/>
                <w:color w:val="000000"/>
              </w:rPr>
              <w:t>（一）工程内容：</w:t>
            </w:r>
            <w:r>
              <w:rPr>
                <w:rFonts w:ascii="仿宋_GB2312" w:hAnsi="仿宋_GB2312" w:cs="仿宋_GB2312" w:eastAsia="仿宋_GB2312"/>
                <w:sz w:val="24"/>
                <w:color w:val="000000"/>
              </w:rPr>
              <w:t>新修水泥混凝土路面</w:t>
            </w:r>
            <w:r>
              <w:rPr>
                <w:rFonts w:ascii="仿宋_GB2312" w:hAnsi="仿宋_GB2312" w:cs="仿宋_GB2312" w:eastAsia="仿宋_GB2312"/>
                <w:sz w:val="24"/>
                <w:color w:val="000000"/>
              </w:rPr>
              <w:t>3305.98平方米，新砌筑挡墙170米</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（二）工程地点：代王街办北郭村</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（三）计划工期</w:t>
            </w:r>
            <w:r>
              <w:rPr>
                <w:rFonts w:ascii="仿宋_GB2312" w:hAnsi="仿宋_GB2312" w:cs="仿宋_GB2312" w:eastAsia="仿宋_GB2312"/>
                <w:sz w:val="24"/>
                <w:color w:val="000000"/>
              </w:rPr>
              <w:t>：</w:t>
            </w:r>
            <w:r>
              <w:rPr>
                <w:rFonts w:ascii="仿宋_GB2312" w:hAnsi="仿宋_GB2312" w:cs="仿宋_GB2312" w:eastAsia="仿宋_GB2312"/>
                <w:sz w:val="24"/>
                <w:color w:val="000000"/>
              </w:rPr>
              <w:t>30天。</w:t>
            </w:r>
          </w:p>
          <w:p>
            <w:pPr>
              <w:pStyle w:val="null3"/>
              <w:ind w:firstLine="480"/>
              <w:jc w:val="left"/>
            </w:pPr>
            <w:r>
              <w:rPr>
                <w:rFonts w:ascii="仿宋_GB2312" w:hAnsi="仿宋_GB2312" w:cs="仿宋_GB2312" w:eastAsia="仿宋_GB2312"/>
                <w:sz w:val="24"/>
                <w:color w:val="000000"/>
              </w:rPr>
              <w:t>（四）质量标准：达到国家现行施工质量验收规范</w:t>
            </w:r>
            <w:r>
              <w:rPr>
                <w:rFonts w:ascii="仿宋_GB2312" w:hAnsi="仿宋_GB2312" w:cs="仿宋_GB2312" w:eastAsia="仿宋_GB2312"/>
                <w:sz w:val="24"/>
                <w:color w:val="000000"/>
              </w:rPr>
              <w:t>“合格”标</w:t>
            </w:r>
            <w:r>
              <w:rPr>
                <w:rFonts w:ascii="仿宋_GB2312" w:hAnsi="仿宋_GB2312" w:cs="仿宋_GB2312" w:eastAsia="仿宋_GB2312"/>
                <w:sz w:val="24"/>
                <w:color w:val="000000"/>
              </w:rPr>
              <w:t>准。</w:t>
            </w:r>
          </w:p>
          <w:p>
            <w:pPr>
              <w:pStyle w:val="null3"/>
              <w:jc w:val="left"/>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工程量</w:t>
            </w:r>
            <w:r>
              <w:rPr>
                <w:rFonts w:ascii="仿宋_GB2312" w:hAnsi="仿宋_GB2312" w:cs="仿宋_GB2312" w:eastAsia="仿宋_GB2312"/>
                <w:sz w:val="24"/>
                <w:b/>
                <w:color w:val="000000"/>
              </w:rPr>
              <w:t>清单和计价依据</w:t>
            </w:r>
          </w:p>
          <w:p>
            <w:pPr>
              <w:pStyle w:val="null3"/>
              <w:ind w:firstLine="480"/>
              <w:jc w:val="left"/>
            </w:pPr>
            <w:r>
              <w:rPr>
                <w:rFonts w:ascii="仿宋_GB2312" w:hAnsi="仿宋_GB2312" w:cs="仿宋_GB2312" w:eastAsia="仿宋_GB2312"/>
                <w:sz w:val="24"/>
                <w:color w:val="000000"/>
              </w:rPr>
              <w:t>详见工程量清单。</w:t>
            </w:r>
          </w:p>
          <w:p>
            <w:pPr>
              <w:pStyle w:val="null3"/>
              <w:jc w:val="left"/>
            </w:pPr>
            <w:r>
              <w:rPr>
                <w:rFonts w:ascii="仿宋_GB2312" w:hAnsi="仿宋_GB2312" w:cs="仿宋_GB2312" w:eastAsia="仿宋_GB2312"/>
                <w:sz w:val="24"/>
                <w:color w:val="000000"/>
              </w:rPr>
              <w:t>三</w:t>
            </w:r>
            <w:r>
              <w:rPr>
                <w:rFonts w:ascii="仿宋_GB2312" w:hAnsi="仿宋_GB2312" w:cs="仿宋_GB2312" w:eastAsia="仿宋_GB2312"/>
                <w:sz w:val="24"/>
                <w:b/>
                <w:color w:val="000000"/>
              </w:rPr>
              <w:t>、款项结算</w:t>
            </w:r>
          </w:p>
          <w:p>
            <w:pPr>
              <w:pStyle w:val="null3"/>
              <w:ind w:firstLine="480"/>
              <w:jc w:val="both"/>
            </w:pPr>
            <w:r>
              <w:rPr>
                <w:rFonts w:ascii="仿宋_GB2312" w:hAnsi="仿宋_GB2312" w:cs="仿宋_GB2312" w:eastAsia="仿宋_GB2312"/>
                <w:sz w:val="24"/>
                <w:color w:val="000000"/>
              </w:rPr>
              <w:t>合同签订后，</w:t>
            </w:r>
            <w:r>
              <w:rPr>
                <w:rFonts w:ascii="仿宋_GB2312" w:hAnsi="仿宋_GB2312" w:cs="仿宋_GB2312" w:eastAsia="仿宋_GB2312"/>
                <w:sz w:val="24"/>
                <w:color w:val="000000"/>
              </w:rPr>
              <w:t>预付款支付为合同价的</w:t>
            </w:r>
            <w:r>
              <w:rPr>
                <w:rFonts w:ascii="仿宋_GB2312" w:hAnsi="仿宋_GB2312" w:cs="仿宋_GB2312" w:eastAsia="仿宋_GB2312"/>
                <w:sz w:val="24"/>
                <w:color w:val="000000"/>
              </w:rPr>
              <w:t>30%，期间由发包方组织，相关主管部门确认可按照进度支付，项目竣工验收合格且保洁、清场支付至97%，其余3%作为保修金；质保期满无质量问题，发包人无息退还保修金</w:t>
            </w:r>
            <w:r>
              <w:rPr>
                <w:rFonts w:ascii="仿宋_GB2312" w:hAnsi="仿宋_GB2312" w:cs="仿宋_GB2312" w:eastAsia="仿宋_GB2312"/>
                <w:sz w:val="24"/>
                <w:color w:val="000000"/>
              </w:rPr>
              <w:t>。</w:t>
            </w:r>
            <w:r>
              <w:rPr>
                <w:rFonts w:ascii="仿宋_GB2312" w:hAnsi="仿宋_GB2312" w:cs="仿宋_GB2312" w:eastAsia="仿宋_GB2312"/>
                <w:sz w:val="24"/>
                <w:color w:val="000000"/>
              </w:rPr>
              <w:t>实际支付价款以最终审计为准。</w:t>
            </w:r>
          </w:p>
          <w:p>
            <w:pPr>
              <w:pStyle w:val="null3"/>
              <w:ind w:firstLine="480"/>
              <w:jc w:val="left"/>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(1)达到国家及行业现行建设工程施工质量验收规范；(2)符合《建设工程安全生产管理条例》及建筑施工、安全生产相关管理规定；(3)工程验收标准:双方约定，在符合采购文件中本工程项目施工要求的前提下，以采购人和用地单位现场验收合格为准；(4)供应商作为验收的责任主体，负责牵头组织本项目验收的全部工作，承担验收相关全部费用(包括但不限于检测费、专家评审费、资料编制费、现场整改费等)，确保本项目顺利通过主管部门的验收，取得合格的验收意见书或备案凭证等。采购人负责配合供应商开展验收工作，提供必要的相关资料，协助协调现场验收相关事宜，验收过程中，供应商需严格遵守西安市验收相关规定，配合验收部门及采购人的检查工作； 2、本项目交付竣工验收工程，须达到国家及行业建设工程施工合格质量标准，具备完整的工程技术资料、工程量清单资料、设备材料合格证明、系统调试记录及经签署的工程保修书，并满足国家规定的其他竣工条件。本工程经竣工验收合格后方可正式交付投入使用;未组织验收或验收不合格的，严禁交付使用、不得投入使用。 3、验收结果合格的，采购人应向成交供应商出具履约验收报告，成交供应商凭验收报告办理相关手续。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 供应商需要在线提交所有通过电子化交易平台实施的政府采购项目的响应文件，同时，线下递交纸质版响应文件，正本壹份、副本贰份，电子文件（U盘）壹份，随正本密封。若线上电子响应文件与纸质版响应文件不一致以电子响应文件为准;若正本和副本不一致，以正本为准。 线下递交时间同线上响应文件递交截止时间;线下递交文件地点:陕西省西安市临潼区秦陵南路20号。 2.本项目所属行业是建筑业，投标人填写中小企业声明函的所属行业须填写建筑业， 根据工信部联企业[2011]300 号文件建筑业的性质判定标准为：营业收入 80000 万元以下或资产 总额 80000 万元以下的为中小微型企业。其中，营业收入 6000 万元及以上，且资产总额 5000 万元及以上的为中型企业；营业收入 300 万元及以上，且资产总额 300 万元及以上的为小型企 业；营业收入 300 万元以下或资产总额 300 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 xml:space="preserve">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供应商应是合法注册的法人或其他组织,并出具合法有效的营业执照；</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法人代表证明书或法人授权委托书</w:t>
            </w:r>
          </w:p>
        </w:tc>
        <w:tc>
          <w:tcPr>
            <w:tcW w:type="dxa" w:w="3322"/>
          </w:tcPr>
          <w:p>
            <w:pPr>
              <w:pStyle w:val="null3"/>
            </w:pPr>
            <w:r>
              <w:rPr>
                <w:rFonts w:ascii="仿宋_GB2312" w:hAnsi="仿宋_GB2312" w:cs="仿宋_GB2312" w:eastAsia="仿宋_GB2312"/>
              </w:rPr>
              <w:t>法人代表证明书或法人授权委托书，后附法人及被委托人身份证（法定代表人直接参加开标的只需提供法定代表人身份证）；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供应商须具备市政公用工程施工总承包三级及以上资质，且具有有效的安全生产许可证；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拟派项目经理须具备市政公用工程二级及以上注册建造师证书和有效的安全生产考核合格B证，在本单位注册，且未担任其他在建工程的项目经理；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如不提供《基本资格条件承诺函》的供应商需提交以下资格证明文件: ①财务状况报告：提供具有财务审计资质单位出具的2025年度的财务审计报告（成立时间不到一年的可提供成立后任意时段的资产负债表）或响应文件递截止时间前六个月内其基本账户银行出具的资信证明（附基本账户证明）或政府采购信用担保机构出具的磋商担保函；②税收缴纳证明：提供投标截止日前6个月内已缴纳的至少一个月的纳税证明或完税证明，依法免税的单位应提供相关证明材料；③、社会保障资金缴纳证明：提供投标截止日前6个月内已缴存的至少一个月的社会保障资金缴存单据或社保机构开具的社会保险参保缴费情况证明，依法不需要缴纳社会保障资金的单位应提供相关证明材料；④提供具有履行本合同所必需的设备和专业技术能力的说明及承诺；⑤参加政府采购活动前3年内经营活动中无重大违法记录声明；⑥ 供应商未被“信用中国”网站(www.sr&amp;mtchin8.gov.&amp;)列入失信被执行人和重大税收违法失信主体，未被中国政府采购网(www.cc.gov.sn)列入政府采购严重违法失信行为记录名单；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单位负责人为同一人或者存在直接控股、管理关系的不同供应商，不得参加同一合同项下的投标活动；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供应商名称与营业执照⼀致；</w:t>
            </w:r>
          </w:p>
        </w:tc>
        <w:tc>
          <w:tcPr>
            <w:tcW w:type="dxa" w:w="1661"/>
          </w:tcPr>
          <w:p>
            <w:pPr>
              <w:pStyle w:val="null3"/>
            </w:pPr>
            <w:r>
              <w:rPr>
                <w:rFonts w:ascii="仿宋_GB2312" w:hAnsi="仿宋_GB2312" w:cs="仿宋_GB2312" w:eastAsia="仿宋_GB2312"/>
              </w:rPr>
              <w:t>投标方案.docx 已标价工程量清单 中小企业声明函 技术服务合同条款及其他商务要求应答表 强制优先采购产品承诺函 响应文件封面 供应商应提交的相关资格证明材料.docx 项目管理机构组成表 残疾人福利性单位声明函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签字、盖章符合磋商文件要求，且无遗漏。</w:t>
            </w:r>
          </w:p>
        </w:tc>
        <w:tc>
          <w:tcPr>
            <w:tcW w:type="dxa" w:w="1661"/>
          </w:tcPr>
          <w:p>
            <w:pPr>
              <w:pStyle w:val="null3"/>
            </w:pPr>
            <w:r>
              <w:rPr>
                <w:rFonts w:ascii="仿宋_GB2312" w:hAnsi="仿宋_GB2312" w:cs="仿宋_GB2312" w:eastAsia="仿宋_GB2312"/>
              </w:rPr>
              <w:t>投标方案.docx 已标价工程量清单 中小企业声明函 技术服务合同条款及其他商务要求应答表 强制优先采购产品承诺函 响应文件封面 供应商应提交的相关资格证明材料.docx 项目管理机构组成表 残疾人福利性单位声明函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投标文件有效期达到招标文件的要求；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投标报价是否唯⼀，是否超过招标⽂件中规定的采购预算或最⾼限价</w:t>
            </w:r>
          </w:p>
        </w:tc>
        <w:tc>
          <w:tcPr>
            <w:tcW w:type="dxa" w:w="1661"/>
          </w:tcPr>
          <w:p>
            <w:pPr>
              <w:pStyle w:val="null3"/>
            </w:pPr>
            <w:r>
              <w:rPr>
                <w:rFonts w:ascii="仿宋_GB2312" w:hAnsi="仿宋_GB2312" w:cs="仿宋_GB2312" w:eastAsia="仿宋_GB2312"/>
              </w:rPr>
              <w:t>响应文件封面 已标价工程量清单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满足磋商文件的要求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满足磋商文件的要求</w:t>
            </w:r>
          </w:p>
        </w:tc>
        <w:tc>
          <w:tcPr>
            <w:tcW w:type="dxa" w:w="1661"/>
          </w:tcPr>
          <w:p>
            <w:pPr>
              <w:pStyle w:val="null3"/>
            </w:pPr>
            <w:r>
              <w:rPr>
                <w:rFonts w:ascii="仿宋_GB2312" w:hAnsi="仿宋_GB2312" w:cs="仿宋_GB2312" w:eastAsia="仿宋_GB2312"/>
              </w:rPr>
              <w:t>投标方案.docx 已标价工程量清单 中小企业声明函 技术服务合同条款及其他商务要求应答表 强制优先采购产品承诺函 响应文件封面 供应商应提交的相关资格证明材料.docx 项目管理机构组成表 残疾人福利性单位声明函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施工方案内容至少包括：①部署、施工方法；②重点难点工程分析及解决措施；③采用新技术、新工艺对提高工程质量、缩短工期、降低造价的可行性措施；④影响正常施工外在因素分析及对应预案等。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上述4项评审内容全部满足评审标准得8分，每有一个评审内容缺项扣2分，每有一项评审内容存在缺陷，扣0.5-1.5分，扣完为止。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一、评审内容：内容至少包括①工程质量保障方案；②工程质量控制体系；③材料和构配件的质量控制等；④施工检测及工序交验方案等；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上述4项评审内容全部满足评审标准得8分，每有一个评审内容缺项扣2分，每有一项评审内容存在缺陷，扣0.5-1.5分，扣完为止。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一、评审内容：内容至少包括①安全生产管理制度；②配置安全组织机构；③安全隐患排查、整改制度；④应急救援方案等。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上述4项评审内容全部满足评审标准得8分，每有一个评审内容缺项扣2分，每有一项评审内容存在缺陷，扣0.5-1.5分，扣完为止。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一、评审内容：内容至少包括①施工总平面布置；②施工进度安排、施工进度表或施工网络图； ③工期目标控制和保证措施；④材料供应措施及成品、半成品保护监管措施等。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上述4项评审内容全部满足评审标准得8分，每有一个评审内容缺项扣2分，每有一项评审内容存在缺陷，扣0.5-1.5分，扣完为止。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确保文明施工及环境保护组织措施</w:t>
            </w:r>
          </w:p>
        </w:tc>
        <w:tc>
          <w:tcPr>
            <w:tcW w:type="dxa" w:w="2492"/>
          </w:tcPr>
          <w:p>
            <w:pPr>
              <w:pStyle w:val="null3"/>
            </w:pPr>
            <w:r>
              <w:rPr>
                <w:rFonts w:ascii="仿宋_GB2312" w:hAnsi="仿宋_GB2312" w:cs="仿宋_GB2312" w:eastAsia="仿宋_GB2312"/>
              </w:rPr>
              <w:t>一、评审内容：内容至少包括①文明施工及环境保护管理制度；②防尘降噪、节能减排、治污减霾措施。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上述2项评审内容全部满足评审标准得4分，每有一个评审内容缺项扣2分，每有一项评审内容存在缺陷，扣0.5-1.5分，扣完为止。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一、评审内容：内容至少包括①施工机械配置计划、施工材料投入计划；②施工机械、材料的监督和检查等 。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上述2项评审内容全部满足评审标准得4分，每有一个评审内容缺项扣2分，每有一项评审内容存在缺陷，扣0.5-1.5分，扣完为止。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1、拟派项目经理承接过类似业绩的，每提供1份符合要求的业绩得2分，最多得4分。 注：企业业绩和拟派项目经理业绩可重复使用。 评审依据：以加盖申请人公章（或电子签章）的中标通知书或施工合同扫描件为准。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项目部组织及主要管理人员</w:t>
            </w:r>
          </w:p>
        </w:tc>
        <w:tc>
          <w:tcPr>
            <w:tcW w:type="dxa" w:w="2492"/>
          </w:tcPr>
          <w:p>
            <w:pPr>
              <w:pStyle w:val="null3"/>
            </w:pPr>
            <w:r>
              <w:rPr>
                <w:rFonts w:ascii="仿宋_GB2312" w:hAnsi="仿宋_GB2312" w:cs="仿宋_GB2312" w:eastAsia="仿宋_GB2312"/>
              </w:rPr>
              <w:t>1、项目管理机构图、制度及相应的协调措施等内容完整、可实施、且有针对性，得5 分；内容完整、可实施，得3分；方案基本完整，得1分，未提供不得分。 2、拟派人员数量和各专业搭配齐全，组织架构中（不含项目经理）至少包含技术负责人、施工员、安全员、质量员、资料员、材料员共6人，满足以上要求得6分，每缺少任何一类人员扣1分。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供应商2023年1月1日至今类似项目业绩，每提供1份得3分，最高得15分。 业绩证明（以合同或中标通知书为准，须在投标文件中附合同或中标通知书的扫描件加盖单位公章，原件备查）弄虚作假者，取消其中标资格。</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格分统一采用低价优先法计算，即满足磋商文件要求且投标价格最低的报价为评标基准价，其价格分为满分。其他供应商的价格分统一按照下列公式计算： 投标报价得分=(评标基准价／投标报价)×报价分值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详见附件：强制优先采购产品承诺函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