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版本号：HC-FZB-2026-02120260508001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档案托管服务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HC-FZB-2026-021</w:t>
      </w:r>
      <w:r>
        <w:br/>
      </w:r>
      <w:r>
        <w:br/>
      </w:r>
      <w:r>
        <w:br/>
      </w:r>
    </w:p>
    <w:p>
      <w:pPr>
        <w:pStyle w:val="null3"/>
        <w:jc w:val="center"/>
        <w:outlineLvl w:val="2"/>
      </w:pPr>
      <w:r>
        <w:rPr>
          <w:rFonts w:ascii="仿宋_GB2312" w:hAnsi="仿宋_GB2312" w:cs="仿宋_GB2312" w:eastAsia="仿宋_GB2312"/>
          <w:sz w:val="28"/>
          <w:b/>
        </w:rPr>
        <w:t>西安市未央区人民法院[158]</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档案托管服务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HC-FZB-2026-021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档案托管服务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西安市未央区人民法院档案托管服务,详情见采购文件。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采购包1（档案托管服务）：属于专门面向中小企业采购。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3、社保缴纳证明：提供首次磋商响应文件递交截止时间前6个月内任意一个月的缴纳证明。依法不需要交纳社会保障资金的供应商应提供相关文件证明</w:t>
      </w:r>
    </w:p>
    <w:p>
      <w:pPr>
        <w:pStyle w:val="null3"/>
      </w:pPr>
      <w:r>
        <w:rPr>
          <w:rFonts w:ascii="仿宋_GB2312" w:hAnsi="仿宋_GB2312" w:cs="仿宋_GB2312" w:eastAsia="仿宋_GB2312"/>
        </w:rPr>
        <w:t>4、税收缴纳证明：提供首次磋商响应文件递交截止时间前6个月内任意一个月的纳税证明或完税证明（除个人所得税外的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张向宁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15309262087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成交供应商在领取《成交通知书》前，须向采购代理机构一次性支付招标代理服务费。 户名：华春建设工程项目管理有限责任公司 开户行：中国银行西安南二环支行 账号：102807336850 备注：项目名称+代理服务费（可简写） 请成交供应商按照要求将服务费汇入以上指定账户，如因自身原因发生错误，产生的不利后果均由供应商自行承担。汇款备注：项目名称+代理服务费（可简写）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西安市未央区人民法院[158]</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符合服务合同及国家行业等相应的标准、规范。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联系人：张向宁</w:t>
      </w:r>
    </w:p>
    <w:p>
      <w:pPr>
        <w:pStyle w:val="null3"/>
      </w:pPr>
      <w:r>
        <w:rPr>
          <w:rFonts w:ascii="仿宋_GB2312" w:hAnsi="仿宋_GB2312" w:cs="仿宋_GB2312" w:eastAsia="仿宋_GB2312"/>
        </w:rPr>
        <w:t>联系电话：15309262087</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计划将西安市未央区人民法院2021年及以前档案共计12289箱进行托管寄存，另新增2022年的诉讼档案约2000箱进行托管寄存，需将上述档案迁移并托管至具备相关资质、条件完备的第三方专业档案库房中。档案箱规格：不小于43*33*25立方厘米。免费实体配送借阅服务每年不少于100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937,300.00</w:t>
      </w:r>
    </w:p>
    <w:p>
      <w:pPr>
        <w:pStyle w:val="null3"/>
      </w:pPr>
      <w:r>
        <w:rPr>
          <w:rFonts w:ascii="仿宋_GB2312" w:hAnsi="仿宋_GB2312" w:cs="仿宋_GB2312" w:eastAsia="仿宋_GB2312"/>
        </w:rPr>
        <w:t>采购包最高限价（元）: 937,300.00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档案托管服务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937,300.00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w:t>
            </w:r>
            <w:r>
              <w:rPr>
                <w:rFonts w:ascii="仿宋_GB2312" w:hAnsi="仿宋_GB2312" w:cs="仿宋_GB2312" w:eastAsia="仿宋_GB2312"/>
                <w:sz w:val="24"/>
                <w:b/>
              </w:rPr>
              <w:t>概况</w:t>
            </w:r>
          </w:p>
          <w:p>
            <w:pPr>
              <w:pStyle w:val="null3"/>
              <w:ind w:firstLine="484"/>
              <w:jc w:val="both"/>
            </w:pPr>
            <w:r>
              <w:rPr>
                <w:rFonts w:ascii="仿宋_GB2312" w:hAnsi="仿宋_GB2312" w:cs="仿宋_GB2312" w:eastAsia="仿宋_GB2312"/>
                <w:sz w:val="24"/>
              </w:rPr>
              <w:t>本次采购计划将西安市未央区人民法</w:t>
            </w:r>
            <w:r>
              <w:rPr>
                <w:rFonts w:ascii="仿宋_GB2312" w:hAnsi="仿宋_GB2312" w:cs="仿宋_GB2312" w:eastAsia="仿宋_GB2312"/>
                <w:sz w:val="24"/>
              </w:rPr>
              <w:t>院</w:t>
            </w:r>
            <w:r>
              <w:rPr>
                <w:rFonts w:ascii="仿宋_GB2312" w:hAnsi="仿宋_GB2312" w:cs="仿宋_GB2312" w:eastAsia="仿宋_GB2312"/>
                <w:sz w:val="24"/>
              </w:rPr>
              <w:t>202</w:t>
            </w:r>
            <w:r>
              <w:rPr>
                <w:rFonts w:ascii="仿宋_GB2312" w:hAnsi="仿宋_GB2312" w:cs="仿宋_GB2312" w:eastAsia="仿宋_GB2312"/>
                <w:sz w:val="24"/>
              </w:rPr>
              <w:t>1</w:t>
            </w:r>
            <w:r>
              <w:rPr>
                <w:rFonts w:ascii="仿宋_GB2312" w:hAnsi="仿宋_GB2312" w:cs="仿宋_GB2312" w:eastAsia="仿宋_GB2312"/>
                <w:sz w:val="24"/>
              </w:rPr>
              <w:t>年及以</w:t>
            </w:r>
            <w:r>
              <w:rPr>
                <w:rFonts w:ascii="仿宋_GB2312" w:hAnsi="仿宋_GB2312" w:cs="仿宋_GB2312" w:eastAsia="仿宋_GB2312"/>
                <w:sz w:val="24"/>
              </w:rPr>
              <w:t>前档案共计</w:t>
            </w:r>
            <w:r>
              <w:rPr>
                <w:rFonts w:ascii="仿宋_GB2312" w:hAnsi="仿宋_GB2312" w:cs="仿宋_GB2312" w:eastAsia="仿宋_GB2312"/>
                <w:sz w:val="24"/>
              </w:rPr>
              <w:t>12289箱进行托管寄存，</w:t>
            </w:r>
            <w:r>
              <w:rPr>
                <w:rFonts w:ascii="仿宋_GB2312" w:hAnsi="仿宋_GB2312" w:cs="仿宋_GB2312" w:eastAsia="仿宋_GB2312"/>
                <w:sz w:val="24"/>
              </w:rPr>
              <w:t>另</w:t>
            </w:r>
            <w:r>
              <w:rPr>
                <w:rFonts w:ascii="仿宋_GB2312" w:hAnsi="仿宋_GB2312" w:cs="仿宋_GB2312" w:eastAsia="仿宋_GB2312"/>
                <w:sz w:val="24"/>
              </w:rPr>
              <w:t>新增</w:t>
            </w:r>
            <w:r>
              <w:rPr>
                <w:rFonts w:ascii="仿宋_GB2312" w:hAnsi="仿宋_GB2312" w:cs="仿宋_GB2312" w:eastAsia="仿宋_GB2312"/>
                <w:sz w:val="24"/>
              </w:rPr>
              <w:t>2022年的</w:t>
            </w:r>
            <w:r>
              <w:rPr>
                <w:rFonts w:ascii="仿宋_GB2312" w:hAnsi="仿宋_GB2312" w:cs="仿宋_GB2312" w:eastAsia="仿宋_GB2312"/>
                <w:sz w:val="24"/>
              </w:rPr>
              <w:t>诉讼档案约</w:t>
            </w:r>
            <w:r>
              <w:rPr>
                <w:rFonts w:ascii="仿宋_GB2312" w:hAnsi="仿宋_GB2312" w:cs="仿宋_GB2312" w:eastAsia="仿宋_GB2312"/>
                <w:sz w:val="24"/>
              </w:rPr>
              <w:t>20</w:t>
            </w:r>
            <w:r>
              <w:rPr>
                <w:rFonts w:ascii="仿宋_GB2312" w:hAnsi="仿宋_GB2312" w:cs="仿宋_GB2312" w:eastAsia="仿宋_GB2312"/>
                <w:sz w:val="24"/>
              </w:rPr>
              <w:t>00箱进行托管寄存</w:t>
            </w:r>
            <w:r>
              <w:rPr>
                <w:rFonts w:ascii="仿宋_GB2312" w:hAnsi="仿宋_GB2312" w:cs="仿宋_GB2312" w:eastAsia="仿宋_GB2312"/>
                <w:sz w:val="24"/>
              </w:rPr>
              <w:t>，</w:t>
            </w:r>
            <w:r>
              <w:rPr>
                <w:rFonts w:ascii="仿宋_GB2312" w:hAnsi="仿宋_GB2312" w:cs="仿宋_GB2312" w:eastAsia="仿宋_GB2312"/>
                <w:sz w:val="24"/>
              </w:rPr>
              <w:t>其中档案保存费报价不得超过</w:t>
            </w:r>
            <w:r>
              <w:rPr>
                <w:rFonts w:ascii="仿宋_GB2312" w:hAnsi="仿宋_GB2312" w:cs="仿宋_GB2312" w:eastAsia="仿宋_GB2312"/>
                <w:sz w:val="24"/>
              </w:rPr>
              <w:t>5元/月/箱，新增档案迁移费报价不得超过40元/箱</w:t>
            </w:r>
            <w:r>
              <w:rPr>
                <w:rFonts w:ascii="仿宋_GB2312" w:hAnsi="仿宋_GB2312" w:cs="仿宋_GB2312" w:eastAsia="仿宋_GB2312"/>
                <w:sz w:val="24"/>
              </w:rPr>
              <w:t>。档案箱规格：不小于</w:t>
            </w:r>
            <w:r>
              <w:rPr>
                <w:rFonts w:ascii="仿宋_GB2312" w:hAnsi="仿宋_GB2312" w:cs="仿宋_GB2312" w:eastAsia="仿宋_GB2312"/>
                <w:sz w:val="24"/>
              </w:rPr>
              <w:t>43*33*25立方厘米。免费实体配送借阅服务每年不少于100次。</w:t>
            </w:r>
          </w:p>
          <w:p>
            <w:pPr>
              <w:pStyle w:val="null3"/>
              <w:jc w:val="both"/>
            </w:pPr>
            <w:r>
              <w:rPr>
                <w:rFonts w:ascii="仿宋_GB2312" w:hAnsi="仿宋_GB2312" w:cs="仿宋_GB2312" w:eastAsia="仿宋_GB2312"/>
                <w:sz w:val="24"/>
                <w:b/>
              </w:rPr>
              <w:t>二、档案寄存要求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执行标准文件</w:t>
            </w:r>
          </w:p>
          <w:p>
            <w:pPr>
              <w:pStyle w:val="null3"/>
              <w:ind w:firstLine="480"/>
              <w:jc w:val="left"/>
            </w:pPr>
            <w:r>
              <w:rPr>
                <w:rFonts w:ascii="仿宋_GB2312" w:hAnsi="仿宋_GB2312" w:cs="仿宋_GB2312" w:eastAsia="仿宋_GB2312"/>
                <w:sz w:val="24"/>
              </w:rPr>
              <w:t>参照执行的标准文件（包含但不限于）：</w:t>
            </w:r>
          </w:p>
          <w:p>
            <w:pPr>
              <w:pStyle w:val="null3"/>
              <w:ind w:firstLine="480"/>
              <w:jc w:val="left"/>
            </w:pPr>
            <w:r>
              <w:rPr>
                <w:rFonts w:ascii="仿宋_GB2312" w:hAnsi="仿宋_GB2312" w:cs="仿宋_GB2312" w:eastAsia="仿宋_GB2312"/>
                <w:sz w:val="24"/>
              </w:rPr>
              <w:t>《档案馆温湿度管理暂行规定》</w:t>
            </w:r>
          </w:p>
          <w:p>
            <w:pPr>
              <w:pStyle w:val="null3"/>
              <w:ind w:firstLine="480"/>
              <w:jc w:val="left"/>
            </w:pPr>
            <w:r>
              <w:rPr>
                <w:rFonts w:ascii="仿宋_GB2312" w:hAnsi="仿宋_GB2312" w:cs="仿宋_GB2312" w:eastAsia="仿宋_GB2312"/>
                <w:sz w:val="24"/>
              </w:rPr>
              <w:t>《档案虫霉防治一般规则》</w:t>
            </w:r>
          </w:p>
          <w:p>
            <w:pPr>
              <w:pStyle w:val="null3"/>
              <w:ind w:firstLine="480"/>
              <w:jc w:val="left"/>
            </w:pPr>
            <w:r>
              <w:rPr>
                <w:rFonts w:ascii="仿宋_GB2312" w:hAnsi="仿宋_GB2312" w:cs="仿宋_GB2312" w:eastAsia="仿宋_GB2312"/>
                <w:sz w:val="24"/>
              </w:rPr>
              <w:t>《中华人民共和国消防法》</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库房环境要求（库房整年需要完成的要求）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密闭：库房的门窗采取相应措施，在门窗框上嵌橡皮条、绒布条等填塞物；玻璃四周嵌油灰、双层窗；安装防光窗帘。</w:t>
            </w:r>
          </w:p>
          <w:p>
            <w:pPr>
              <w:pStyle w:val="null3"/>
              <w:ind w:firstLine="480"/>
              <w:jc w:val="left"/>
            </w:pPr>
            <w:r>
              <w:rPr>
                <w:rFonts w:ascii="仿宋_GB2312" w:hAnsi="仿宋_GB2312" w:cs="仿宋_GB2312" w:eastAsia="仿宋_GB2312"/>
                <w:sz w:val="24"/>
              </w:rPr>
              <w:t>通风：根据室外相对湿度变化规律适时地进行通风。</w:t>
            </w:r>
          </w:p>
          <w:p>
            <w:pPr>
              <w:pStyle w:val="null3"/>
              <w:ind w:firstLine="480"/>
              <w:jc w:val="left"/>
            </w:pPr>
            <w:r>
              <w:rPr>
                <w:rFonts w:ascii="仿宋_GB2312" w:hAnsi="仿宋_GB2312" w:cs="仿宋_GB2312" w:eastAsia="仿宋_GB2312"/>
                <w:sz w:val="24"/>
              </w:rPr>
              <w:t>控温：安装风扇和空调，调节库房内温度平衡，方便且安全有效。使档案库温度保持在</w:t>
            </w:r>
            <w:r>
              <w:rPr>
                <w:rFonts w:ascii="仿宋_GB2312" w:hAnsi="仿宋_GB2312" w:cs="仿宋_GB2312" w:eastAsia="仿宋_GB2312"/>
                <w:sz w:val="24"/>
              </w:rPr>
              <w:t>14—24℃之间。</w:t>
            </w:r>
          </w:p>
          <w:p>
            <w:pPr>
              <w:pStyle w:val="null3"/>
              <w:ind w:firstLine="480"/>
              <w:jc w:val="left"/>
            </w:pPr>
            <w:r>
              <w:rPr>
                <w:rFonts w:ascii="仿宋_GB2312" w:hAnsi="仿宋_GB2312" w:cs="仿宋_GB2312" w:eastAsia="仿宋_GB2312"/>
                <w:sz w:val="24"/>
              </w:rPr>
              <w:t>除湿：鉴于档案的特点，供应商需提供相应的除湿工作。</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虫（鼠）霉的防护</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每周进行一次库房内、库房外的清洁卫生。库房门口安装防鼠板，库房内不准堆放任何杂物。</w:t>
            </w:r>
          </w:p>
          <w:p>
            <w:pPr>
              <w:pStyle w:val="null3"/>
              <w:ind w:firstLine="480"/>
              <w:jc w:val="left"/>
            </w:pPr>
            <w:r>
              <w:rPr>
                <w:rFonts w:ascii="仿宋_GB2312" w:hAnsi="仿宋_GB2312" w:cs="仿宋_GB2312" w:eastAsia="仿宋_GB2312"/>
                <w:sz w:val="24"/>
              </w:rPr>
              <w:t>必须</w:t>
            </w:r>
            <w:r>
              <w:rPr>
                <w:rFonts w:ascii="仿宋_GB2312" w:hAnsi="仿宋_GB2312" w:cs="仿宋_GB2312" w:eastAsia="仿宋_GB2312"/>
                <w:sz w:val="24"/>
              </w:rPr>
              <w:t>对库存档案进行</w:t>
            </w:r>
            <w:r>
              <w:rPr>
                <w:rFonts w:ascii="仿宋_GB2312" w:hAnsi="仿宋_GB2312" w:cs="仿宋_GB2312" w:eastAsia="仿宋_GB2312"/>
                <w:sz w:val="24"/>
              </w:rPr>
              <w:t>定期</w:t>
            </w:r>
            <w:r>
              <w:rPr>
                <w:rFonts w:ascii="仿宋_GB2312" w:hAnsi="仿宋_GB2312" w:cs="仿宋_GB2312" w:eastAsia="仿宋_GB2312"/>
                <w:sz w:val="24"/>
              </w:rPr>
              <w:t>清查，确认</w:t>
            </w:r>
            <w:r>
              <w:rPr>
                <w:rFonts w:ascii="仿宋_GB2312" w:hAnsi="仿宋_GB2312" w:cs="仿宋_GB2312" w:eastAsia="仿宋_GB2312"/>
                <w:sz w:val="24"/>
              </w:rPr>
              <w:t>档案有无</w:t>
            </w:r>
            <w:r>
              <w:rPr>
                <w:rFonts w:ascii="仿宋_GB2312" w:hAnsi="仿宋_GB2312" w:cs="仿宋_GB2312" w:eastAsia="仿宋_GB2312"/>
                <w:sz w:val="24"/>
              </w:rPr>
              <w:t>发生虫（鼠）霉</w:t>
            </w:r>
            <w:r>
              <w:rPr>
                <w:rFonts w:ascii="仿宋_GB2312" w:hAnsi="仿宋_GB2312" w:cs="仿宋_GB2312" w:eastAsia="仿宋_GB2312"/>
                <w:sz w:val="24"/>
              </w:rPr>
              <w:t>情况。</w:t>
            </w:r>
            <w:r>
              <w:rPr>
                <w:rFonts w:ascii="仿宋_GB2312" w:hAnsi="仿宋_GB2312" w:cs="仿宋_GB2312" w:eastAsia="仿宋_GB2312"/>
                <w:sz w:val="24"/>
              </w:rPr>
              <w:t>对于那些已确认有虫害的档案，</w:t>
            </w:r>
            <w:r>
              <w:rPr>
                <w:rFonts w:ascii="仿宋_GB2312" w:hAnsi="仿宋_GB2312" w:cs="仿宋_GB2312" w:eastAsia="仿宋_GB2312"/>
                <w:sz w:val="24"/>
              </w:rPr>
              <w:t>应及时确认</w:t>
            </w:r>
            <w:r>
              <w:rPr>
                <w:rFonts w:ascii="仿宋_GB2312" w:hAnsi="仿宋_GB2312" w:cs="仿宋_GB2312" w:eastAsia="仿宋_GB2312"/>
                <w:sz w:val="24"/>
              </w:rPr>
              <w:t>虫害的种类、程度及分布，采取有效杀虫措施</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立即</w:t>
            </w:r>
            <w:r>
              <w:rPr>
                <w:rFonts w:ascii="仿宋_GB2312" w:hAnsi="仿宋_GB2312" w:cs="仿宋_GB2312" w:eastAsia="仿宋_GB2312"/>
                <w:sz w:val="24"/>
              </w:rPr>
              <w:t>对档案</w:t>
            </w:r>
            <w:r>
              <w:rPr>
                <w:rFonts w:ascii="仿宋_GB2312" w:hAnsi="仿宋_GB2312" w:cs="仿宋_GB2312" w:eastAsia="仿宋_GB2312"/>
                <w:sz w:val="24"/>
              </w:rPr>
              <w:t>加以隔离处理，防止虫害大面积扩散。</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防水</w:t>
            </w:r>
            <w:r>
              <w:rPr>
                <w:rFonts w:ascii="仿宋_GB2312" w:hAnsi="仿宋_GB2312" w:cs="仿宋_GB2312" w:eastAsia="仿宋_GB2312"/>
                <w:sz w:val="24"/>
              </w:rPr>
              <w:t>(潮)</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档案库房顶设计合理通畅的渠道和管路走水，应实施双层卷材的渗水防漏</w:t>
            </w:r>
            <w:r>
              <w:rPr>
                <w:rFonts w:ascii="仿宋_GB2312" w:hAnsi="仿宋_GB2312" w:cs="仿宋_GB2312" w:eastAsia="仿宋_GB2312"/>
                <w:sz w:val="24"/>
              </w:rPr>
              <w:t>技术措施</w:t>
            </w:r>
            <w:r>
              <w:rPr>
                <w:rFonts w:ascii="仿宋_GB2312" w:hAnsi="仿宋_GB2312" w:cs="仿宋_GB2312" w:eastAsia="仿宋_GB2312"/>
                <w:sz w:val="24"/>
              </w:rPr>
              <w:t>，每年春季进行检查和养护。</w:t>
            </w:r>
          </w:p>
          <w:p>
            <w:pPr>
              <w:pStyle w:val="null3"/>
              <w:ind w:firstLine="480"/>
              <w:jc w:val="left"/>
            </w:pPr>
            <w:r>
              <w:rPr>
                <w:rFonts w:ascii="仿宋_GB2312" w:hAnsi="仿宋_GB2312" w:cs="仿宋_GB2312" w:eastAsia="仿宋_GB2312"/>
                <w:sz w:val="24"/>
              </w:rPr>
              <w:t>为防止潮气由墙体渗入档案库，</w:t>
            </w:r>
            <w:r>
              <w:rPr>
                <w:rFonts w:ascii="仿宋_GB2312" w:hAnsi="仿宋_GB2312" w:cs="仿宋_GB2312" w:eastAsia="仿宋_GB2312"/>
                <w:sz w:val="24"/>
              </w:rPr>
              <w:t>对</w:t>
            </w:r>
            <w:r>
              <w:rPr>
                <w:rFonts w:ascii="仿宋_GB2312" w:hAnsi="仿宋_GB2312" w:cs="仿宋_GB2312" w:eastAsia="仿宋_GB2312"/>
                <w:sz w:val="24"/>
              </w:rPr>
              <w:t>外墙定期</w:t>
            </w:r>
            <w:r>
              <w:rPr>
                <w:rFonts w:ascii="仿宋_GB2312" w:hAnsi="仿宋_GB2312" w:cs="仿宋_GB2312" w:eastAsia="仿宋_GB2312"/>
                <w:sz w:val="24"/>
              </w:rPr>
              <w:t>做</w:t>
            </w:r>
            <w:r>
              <w:rPr>
                <w:rFonts w:ascii="仿宋_GB2312" w:hAnsi="仿宋_GB2312" w:cs="仿宋_GB2312" w:eastAsia="仿宋_GB2312"/>
                <w:sz w:val="24"/>
              </w:rPr>
              <w:t>防水涂料的防潮层刮涂处理。</w:t>
            </w:r>
          </w:p>
          <w:p>
            <w:pPr>
              <w:pStyle w:val="null3"/>
              <w:ind w:firstLine="480"/>
              <w:jc w:val="left"/>
            </w:pPr>
            <w:r>
              <w:rPr>
                <w:rFonts w:ascii="仿宋_GB2312" w:hAnsi="仿宋_GB2312" w:cs="仿宋_GB2312" w:eastAsia="仿宋_GB2312"/>
                <w:sz w:val="24"/>
              </w:rPr>
              <w:t>5.防尘</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档案盒装入档案专用档案箱，使档案得到双层防尘保护。</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防火</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专业货架内无电源、热源，具有防火功能；</w:t>
            </w:r>
          </w:p>
          <w:p>
            <w:pPr>
              <w:pStyle w:val="null3"/>
              <w:ind w:firstLine="480"/>
              <w:jc w:val="left"/>
            </w:pPr>
            <w:r>
              <w:rPr>
                <w:rFonts w:ascii="仿宋_GB2312" w:hAnsi="仿宋_GB2312" w:cs="仿宋_GB2312" w:eastAsia="仿宋_GB2312"/>
                <w:sz w:val="24"/>
              </w:rPr>
              <w:t>库房电线全部经过走线钢管，无电线在外。并且安装电线漏电断电装置，最大的防止因电线、电路引起的起火隐患；</w:t>
            </w:r>
          </w:p>
          <w:p>
            <w:pPr>
              <w:pStyle w:val="null3"/>
              <w:ind w:firstLine="480"/>
              <w:jc w:val="left"/>
            </w:pPr>
            <w:r>
              <w:rPr>
                <w:rFonts w:ascii="仿宋_GB2312" w:hAnsi="仿宋_GB2312" w:cs="仿宋_GB2312" w:eastAsia="仿宋_GB2312"/>
                <w:sz w:val="24"/>
              </w:rPr>
              <w:t>库房明令禁止烟火；</w:t>
            </w:r>
          </w:p>
          <w:p>
            <w:pPr>
              <w:pStyle w:val="null3"/>
              <w:ind w:firstLine="480"/>
              <w:jc w:val="left"/>
            </w:pPr>
            <w:r>
              <w:rPr>
                <w:rFonts w:ascii="仿宋_GB2312" w:hAnsi="仿宋_GB2312" w:cs="仿宋_GB2312" w:eastAsia="仿宋_GB2312"/>
                <w:sz w:val="24"/>
              </w:rPr>
              <w:t>定期组织防火检查，及时消除火灾隐患；</w:t>
            </w:r>
          </w:p>
          <w:p>
            <w:pPr>
              <w:pStyle w:val="null3"/>
              <w:ind w:firstLine="480"/>
              <w:jc w:val="left"/>
            </w:pPr>
            <w:r>
              <w:rPr>
                <w:rFonts w:ascii="仿宋_GB2312" w:hAnsi="仿宋_GB2312" w:cs="仿宋_GB2312" w:eastAsia="仿宋_GB2312"/>
                <w:sz w:val="24"/>
              </w:rPr>
              <w:t>按照国家有关规定配置消防设施和器材、设置消防安全标志，并定期组织检验、维修，确保消防设施和器材完好、有效；</w:t>
            </w:r>
          </w:p>
          <w:p>
            <w:pPr>
              <w:pStyle w:val="null3"/>
              <w:ind w:firstLine="480"/>
              <w:jc w:val="left"/>
            </w:pPr>
            <w:r>
              <w:rPr>
                <w:rFonts w:ascii="仿宋_GB2312" w:hAnsi="仿宋_GB2312" w:cs="仿宋_GB2312" w:eastAsia="仿宋_GB2312"/>
                <w:sz w:val="24"/>
              </w:rPr>
              <w:t>保障疏散通道、安全出口畅通，并设置符合国家规定的消防安全疏散标志；</w:t>
            </w:r>
          </w:p>
          <w:p>
            <w:pPr>
              <w:pStyle w:val="null3"/>
              <w:ind w:firstLine="480"/>
              <w:jc w:val="left"/>
            </w:pPr>
            <w:r>
              <w:rPr>
                <w:rFonts w:ascii="仿宋_GB2312" w:hAnsi="仿宋_GB2312" w:cs="仿宋_GB2312" w:eastAsia="仿宋_GB2312"/>
                <w:sz w:val="24"/>
              </w:rPr>
              <w:t>各种电气设备应定期检查，如发现电线绝缘有破坏、漏电和其它故障应立即修理；</w:t>
            </w:r>
          </w:p>
          <w:p>
            <w:pPr>
              <w:pStyle w:val="null3"/>
              <w:ind w:firstLine="480"/>
              <w:jc w:val="left"/>
            </w:pPr>
            <w:r>
              <w:rPr>
                <w:rFonts w:ascii="仿宋_GB2312" w:hAnsi="仿宋_GB2312" w:cs="仿宋_GB2312" w:eastAsia="仿宋_GB2312"/>
                <w:sz w:val="24"/>
              </w:rPr>
              <w:t>严禁在库房内放置易燃、易爆或其他危险物质</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防盗</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装有防盗门，窗户为双窗并加装防盗网。</w:t>
            </w:r>
          </w:p>
          <w:p>
            <w:pPr>
              <w:pStyle w:val="null3"/>
              <w:ind w:firstLine="480"/>
              <w:jc w:val="left"/>
            </w:pPr>
            <w:r>
              <w:rPr>
                <w:rFonts w:ascii="仿宋_GB2312" w:hAnsi="仿宋_GB2312" w:cs="仿宋_GB2312" w:eastAsia="仿宋_GB2312"/>
                <w:sz w:val="24"/>
              </w:rPr>
              <w:t>防光</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减少阳光危害</w:t>
            </w:r>
            <w:r>
              <w:rPr>
                <w:rFonts w:ascii="仿宋_GB2312" w:hAnsi="仿宋_GB2312" w:cs="仿宋_GB2312" w:eastAsia="仿宋_GB2312"/>
                <w:sz w:val="24"/>
              </w:rPr>
              <w:t>：</w:t>
            </w:r>
            <w:r>
              <w:rPr>
                <w:rFonts w:ascii="仿宋_GB2312" w:hAnsi="仿宋_GB2312" w:cs="仿宋_GB2312" w:eastAsia="仿宋_GB2312"/>
                <w:sz w:val="24"/>
              </w:rPr>
              <w:t>档案库房设置的窗户少、基本不见自然光</w:t>
            </w:r>
            <w:r>
              <w:rPr>
                <w:rFonts w:ascii="仿宋_GB2312" w:hAnsi="仿宋_GB2312" w:cs="仿宋_GB2312" w:eastAsia="仿宋_GB2312"/>
                <w:sz w:val="24"/>
              </w:rPr>
              <w:t>,双层加装防光窗帘；</w:t>
            </w:r>
          </w:p>
          <w:p>
            <w:pPr>
              <w:pStyle w:val="null3"/>
              <w:ind w:firstLine="480"/>
              <w:jc w:val="left"/>
            </w:pPr>
            <w:r>
              <w:rPr>
                <w:rFonts w:ascii="仿宋_GB2312" w:hAnsi="仿宋_GB2312" w:cs="仿宋_GB2312" w:eastAsia="仿宋_GB2312"/>
                <w:sz w:val="24"/>
              </w:rPr>
              <w:t>档案盒和档案保管箱双层防光；</w:t>
            </w:r>
          </w:p>
          <w:p>
            <w:pPr>
              <w:pStyle w:val="null3"/>
              <w:ind w:firstLine="480"/>
              <w:jc w:val="left"/>
            </w:pPr>
            <w:r>
              <w:rPr>
                <w:rFonts w:ascii="仿宋_GB2312" w:hAnsi="仿宋_GB2312" w:cs="仿宋_GB2312" w:eastAsia="仿宋_GB2312"/>
                <w:sz w:val="24"/>
              </w:rPr>
              <w:t>选择合适的照明光源：库内照明光源选用防爆白炽灯；</w:t>
            </w:r>
          </w:p>
          <w:p>
            <w:pPr>
              <w:pStyle w:val="null3"/>
              <w:ind w:firstLine="480"/>
              <w:jc w:val="left"/>
            </w:pPr>
            <w:r>
              <w:rPr>
                <w:rFonts w:ascii="仿宋_GB2312" w:hAnsi="仿宋_GB2312" w:cs="仿宋_GB2312" w:eastAsia="仿宋_GB2312"/>
                <w:sz w:val="24"/>
              </w:rPr>
              <w:t>合理确定库房照度标准：档案库房照度确定保持在能够看清的水平，定为</w:t>
            </w:r>
            <w:r>
              <w:rPr>
                <w:rFonts w:ascii="仿宋_GB2312" w:hAnsi="仿宋_GB2312" w:cs="仿宋_GB2312" w:eastAsia="仿宋_GB2312"/>
                <w:sz w:val="24"/>
              </w:rPr>
              <w:t>50勒（克司）左右。</w:t>
            </w:r>
          </w:p>
          <w:p>
            <w:pPr>
              <w:pStyle w:val="null3"/>
              <w:ind w:firstLine="480"/>
              <w:jc w:val="left"/>
            </w:pPr>
            <w:r>
              <w:rPr>
                <w:rFonts w:ascii="仿宋_GB2312" w:hAnsi="仿宋_GB2312" w:cs="仿宋_GB2312" w:eastAsia="仿宋_GB2312"/>
                <w:sz w:val="24"/>
              </w:rPr>
              <w:t>9.人员要求</w:t>
            </w:r>
          </w:p>
          <w:p>
            <w:pPr>
              <w:pStyle w:val="null3"/>
            </w:pPr>
            <w:r>
              <w:rPr>
                <w:rFonts w:ascii="仿宋_GB2312" w:hAnsi="仿宋_GB2312" w:cs="仿宋_GB2312" w:eastAsia="仿宋_GB2312"/>
                <w:sz w:val="24"/>
              </w:rPr>
              <w:t>为保障档案迁移工作以及后续</w:t>
            </w:r>
            <w:r>
              <w:rPr>
                <w:rFonts w:ascii="仿宋_GB2312" w:hAnsi="仿宋_GB2312" w:cs="仿宋_GB2312" w:eastAsia="仿宋_GB2312"/>
                <w:sz w:val="24"/>
              </w:rPr>
              <w:t>实体配送借阅服务服务</w:t>
            </w:r>
            <w:r>
              <w:rPr>
                <w:rFonts w:ascii="仿宋_GB2312" w:hAnsi="仿宋_GB2312" w:cs="仿宋_GB2312" w:eastAsia="仿宋_GB2312"/>
                <w:sz w:val="24"/>
              </w:rPr>
              <w:t>顺利完成</w:t>
            </w:r>
            <w:r>
              <w:rPr>
                <w:rFonts w:ascii="仿宋_GB2312" w:hAnsi="仿宋_GB2312" w:cs="仿宋_GB2312" w:eastAsia="仿宋_GB2312"/>
                <w:sz w:val="24"/>
              </w:rPr>
              <w:t>，</w:t>
            </w:r>
            <w:r>
              <w:rPr>
                <w:rFonts w:ascii="仿宋_GB2312" w:hAnsi="仿宋_GB2312" w:cs="仿宋_GB2312" w:eastAsia="仿宋_GB2312"/>
                <w:sz w:val="24"/>
              </w:rPr>
              <w:t>服务方需安排一名工作人员长期驻扎在采购方的档案室协助工作。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项目完成并由甲方验收合格后，甲方收到增值税发票后，据实结算，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合同签订后，甲方收到增值税发票后，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项目完成并由甲方验收合格后，甲方收到增值税发票后，据实结算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的服务，采购人有权终止合同和对供应商的违约行为进行追究。（3）乙方不能按期完成工作任务，乙方须按甲方已支付金额的双倍金额，返还于甲方，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提供首次磋商响应文件递交截止时间前6个月内任意一个月的缴纳证明。依法不需要交纳社会保障资金的供应商应提供相关文件证明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除个人所得税外的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商务响应.docx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商务响应.docx 磋商响应方案.docx 标的清单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商务响应.docx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商务响应.docx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具备质量体系认证、环境管理体系认证、信息安全管理体系认证、信息技术服务管理体系认证每提供一项得0.5分，本项最高得2分。 注：以上相关认证需提供复印件加盖公章。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库房面积</w:t>
            </w:r>
          </w:p>
        </w:tc>
        <w:tc>
          <w:tcPr>
            <w:tcW w:type="dxa" w:w="2492"/>
          </w:tcPr>
          <w:p>
            <w:pPr>
              <w:pStyle w:val="null3"/>
            </w:pPr>
            <w:r>
              <w:rPr>
                <w:rFonts w:ascii="仿宋_GB2312" w:hAnsi="仿宋_GB2312" w:cs="仿宋_GB2312" w:eastAsia="仿宋_GB2312"/>
              </w:rPr>
              <w:t>档案托管库房面积在≥3000平方米得3分；2999-2000平方米得2分；1999-1000平方米得1分；＜999平方米或未明确面积的，得0分。 注：需提供租房合同或自有证明文件复印件加盖公章。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参与本项目的项目经理具备高级及以上档案管理职称证书，得2分。 注：需提供相关证书及递交截止时间前6个月内任意一个月的社保证明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参与本项目的服务人员(除项目经理)具有档案管理岗位业务知识培训合格证书或保密证书，每提供1个得2分，最多得4分。 注：需提供相关证书及递交截止时间前6个月内任意一个月的社保证明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人员配备3</w:t>
            </w:r>
          </w:p>
        </w:tc>
        <w:tc>
          <w:tcPr>
            <w:tcW w:type="dxa" w:w="2492"/>
          </w:tcPr>
          <w:p>
            <w:pPr>
              <w:pStyle w:val="null3"/>
            </w:pPr>
            <w:r>
              <w:rPr>
                <w:rFonts w:ascii="仿宋_GB2312" w:hAnsi="仿宋_GB2312" w:cs="仿宋_GB2312" w:eastAsia="仿宋_GB2312"/>
              </w:rPr>
              <w:t>参与本项目的服务人员(除项目经理)具有档案初级及以上职称，每提供1个得1分，满分3分。 注：需提供相关证书及递交截止时间前6个月内任意一个月的社保证明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提供近三年来（2023年1月1日至今）档案托管成功案例类似业绩，每提供一份得1分，满分3分； 注：需提供合同复印件加盖公章附在响应文件内。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供应商具有国家保密局颁发的“国家秘密载体印制资质证书”甲级得3分，乙级得2分。 注：以上相关认证需提供复印件加盖公章。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针对本项目的档案库房符合国家规定的档案管理要求，按照档案管理规范采取防护设备和管理措施维护档案的完整安全性进行综合评审： 1.防护设备专业、齐全，管理措施科学、合理，可操作性强，计6分； 2.防护设备基本齐全，管理措施基本合理，可操作性较强，计4分； 3.防护设备部分满足要求，管理措施较合理，计2分； 4.防护设备不齐全，管理措施混乱，不具备可操作性，计1分；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供应商档案寄存管理服务内容，档案在保管、运输过程的保密承诺方案： 1.方案详细具体，科学、可行，考虑充分的计6分； 2.方案完整，科学，可行，考虑较充分计4分； 3.方案合理，可行性欠缺的计2分； 4.方案不全，不便于操作的计1分，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档案库房按照档案年度、档案类别、保管期限、涉密级别，能独立分隔、独立保管，按其独立分隔、独立保管条件供应商提供详细方案： 1.方案详细具体，科学、可行，考虑充分的计4分； 2.方案完整，科学，可行，考虑较充分计3分； 3.方案合理，可行性欠缺的计2分； 4.方案不全，不便于操作的计1分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档案托管方对当前未整理的业务档案进行整理、编目、装箱等服务提出合理的解决方案； 1.方案详细具体，科学、可行，考虑充分的计6分； 2.方案完整，科学，可行，考虑较充分计4分； 3.方案合理，可行性欠缺的计2分； 4.方案不全，不便于操作的计1分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防护设施方案</w:t>
            </w:r>
          </w:p>
        </w:tc>
        <w:tc>
          <w:tcPr>
            <w:tcW w:type="dxa" w:w="2492"/>
          </w:tcPr>
          <w:p>
            <w:pPr>
              <w:pStyle w:val="null3"/>
            </w:pPr>
            <w:r>
              <w:rPr>
                <w:rFonts w:ascii="仿宋_GB2312" w:hAnsi="仿宋_GB2312" w:cs="仿宋_GB2312" w:eastAsia="仿宋_GB2312"/>
              </w:rPr>
              <w:t>根据供应商针对本项目档案库防护措施，包含： （1）档案库温湿度管理、（2）防水（3）防虫（4）防霉（5）防尘（6）防火（7）防盗（8）防光（9）防有害气体（10）避雷（11）用电设施等措施 缺少1项评审内容扣2分；每项内容描述简略、不详细，每处扣0.5分，扣完为止。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档案信息管理系统</w:t>
            </w:r>
          </w:p>
        </w:tc>
        <w:tc>
          <w:tcPr>
            <w:tcW w:type="dxa" w:w="2492"/>
          </w:tcPr>
          <w:p>
            <w:pPr>
              <w:pStyle w:val="null3"/>
            </w:pPr>
            <w:r>
              <w:rPr>
                <w:rFonts w:ascii="仿宋_GB2312" w:hAnsi="仿宋_GB2312" w:cs="仿宋_GB2312" w:eastAsia="仿宋_GB2312"/>
              </w:rPr>
              <w:t>供应商应具备托管档案信息管理系统，能将所有托管档案相关信息录入系统，方便快速查询，科学管理并具备库房内智能设备状态，如温湿度、设备运行状态、漏水报警、门禁报警、密集架状态、监控摄像头等，可设置自动釆集任务保留历史数据；支持档案信息统计和库房信息统计，可通过常见的图表形式实现数据深化分析等功能。 1.系统完善、功能丰富、科学、高效、完全满足业务要求计8分； 2.系统较完善、功能齐全，能够满足业务要求计6分， 3.系统基本功能齐全，基本满足业务要求计4分 4.系统功能欠缺计2分； 5.没有托管档案信息系统不得分。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供应商提供的售后服务方案详细、具体、科学合理。 1.服务及承诺切实可行，方案合理可行，考虑充分的计6分； 2.服务方案完整，合理，考虑较充分计4分 3.方案不全，不便于操作的计1分；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供应商根据采购人档案借阅配送时效性进行响应。 1.提供具体可行的售后服务方案，方案合理可行，考虑充分的计6分； 2.售后服务方案完整，合理，考虑较充分计4分 3.方案不全，不便于操作的计1分；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在配送、存储、清查等环节应急补救措施服务，具有明确的应急方案。 1.方案详细具体，合理可行，考虑充分的计6分； 2.方案完整，合理，考虑较充分计4分 3.方案不全，不便于操作的计1分；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