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版本号：DXZB-2026-072620260731001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64排螺旋CT球管采购项目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DXZB-2026-0726</w:t>
      </w:r>
      <w:r>
        <w:br/>
      </w:r>
      <w:r>
        <w:br/>
      </w:r>
      <w:r>
        <w:br/>
      </w:r>
    </w:p>
    <w:p>
      <w:pPr>
        <w:pStyle w:val="null3"/>
        <w:jc w:val="center"/>
        <w:outlineLvl w:val="2"/>
      </w:pPr>
      <w:r>
        <w:rPr>
          <w:rFonts w:ascii="仿宋_GB2312" w:hAnsi="仿宋_GB2312" w:cs="仿宋_GB2312" w:eastAsia="仿宋_GB2312"/>
          <w:sz w:val="28"/>
          <w:b/>
        </w:rPr>
        <w:t>西安市鄠邑区人民医院</w:t>
      </w:r>
    </w:p>
    <w:p>
      <w:pPr>
        <w:pStyle w:val="null3"/>
        <w:jc w:val="center"/>
        <w:outlineLvl w:val="2"/>
      </w:pPr>
      <w:r>
        <w:rPr>
          <w:rFonts w:ascii="仿宋_GB2312" w:hAnsi="仿宋_GB2312" w:cs="仿宋_GB2312" w:eastAsia="仿宋_GB2312"/>
          <w:sz w:val="28"/>
          <w:b/>
        </w:rPr>
        <w:t>陕西德信招标有限公司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陕西德信招标有限公司</w:t>
      </w:r>
      <w:r>
        <w:rPr>
          <w:rFonts w:ascii="仿宋_GB2312" w:hAnsi="仿宋_GB2312" w:cs="仿宋_GB2312" w:eastAsia="仿宋_GB2312"/>
        </w:rPr>
        <w:t>（以下简称“代理机构”）受</w:t>
      </w:r>
      <w:r>
        <w:rPr>
          <w:rFonts w:ascii="仿宋_GB2312" w:hAnsi="仿宋_GB2312" w:cs="仿宋_GB2312" w:eastAsia="仿宋_GB2312"/>
        </w:rPr>
        <w:t>西安市鄠邑区人民医院</w:t>
      </w:r>
      <w:r>
        <w:rPr>
          <w:rFonts w:ascii="仿宋_GB2312" w:hAnsi="仿宋_GB2312" w:cs="仿宋_GB2312" w:eastAsia="仿宋_GB2312"/>
        </w:rPr>
        <w:t>委托，拟对</w:t>
      </w:r>
      <w:r>
        <w:rPr>
          <w:rFonts w:ascii="仿宋_GB2312" w:hAnsi="仿宋_GB2312" w:cs="仿宋_GB2312" w:eastAsia="仿宋_GB2312"/>
        </w:rPr>
        <w:t>64排螺旋CT球管采购项目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DXZB-2026-0726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64排螺旋CT球管采购项目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我院拟采购CT球管⼀个，预算金额为45万元。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采购包1（西安市鄠邑区人民医院64排螺旋CT球管采购项目）：属于专门面向中小企业采购。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1、主体资格证明文件：具有独立承担民事责任能力的法人或非法人组织或自然人，提供合法有效的统一社会信用代码的营业执照等证明文件；</w:t>
      </w:r>
    </w:p>
    <w:p>
      <w:pPr>
        <w:pStyle w:val="null3"/>
      </w:pPr>
      <w:r>
        <w:rPr>
          <w:rFonts w:ascii="仿宋_GB2312" w:hAnsi="仿宋_GB2312" w:cs="仿宋_GB2312" w:eastAsia="仿宋_GB2312"/>
        </w:rPr>
        <w:t>2、法定代表人授权委托书或证明书：提供法定代表人授权委托书及被授权人身份证（投标人为法定代表人时，须提交法定代表人证明书）；</w:t>
      </w:r>
    </w:p>
    <w:p>
      <w:pPr>
        <w:pStyle w:val="null3"/>
      </w:pPr>
      <w:r>
        <w:rPr>
          <w:rFonts w:ascii="仿宋_GB2312" w:hAnsi="仿宋_GB2312" w:cs="仿宋_GB2312" w:eastAsia="仿宋_GB2312"/>
        </w:rPr>
        <w:t>3、特定资格要求：投标人为生产厂家的须提供医疗器械生产许可证；投标人为代理商的根据所投产品类别还需提供第二类医疗器械备案凭证或第三类医疗器械经营许可证；</w:t>
      </w:r>
    </w:p>
    <w:p>
      <w:pPr>
        <w:pStyle w:val="null3"/>
      </w:pPr>
      <w:r>
        <w:rPr>
          <w:rFonts w:ascii="仿宋_GB2312" w:hAnsi="仿宋_GB2312" w:cs="仿宋_GB2312" w:eastAsia="仿宋_GB2312"/>
        </w:rPr>
        <w:t>4、财务状况：提供经会计师事务所审计的2025年完整的财务审计报告（且出具的审计报告应当经过注册会计师行业统一监管平台备案赋码）或开标前六个月内银行出具的资信证明；（成立时间至提交响应文件截止时间不足三个月的可不提供）；</w:t>
      </w:r>
    </w:p>
    <w:p>
      <w:pPr>
        <w:pStyle w:val="null3"/>
      </w:pPr>
      <w:r>
        <w:rPr>
          <w:rFonts w:ascii="仿宋_GB2312" w:hAnsi="仿宋_GB2312" w:cs="仿宋_GB2312" w:eastAsia="仿宋_GB2312"/>
        </w:rPr>
        <w:t>5、社保缴纳证明：提供投标截止日前半年内任意一个月的社会保障资金缴存单据或社保机构开具的社会保险参保缴费情况证明，单据或证明上应有社保机构或代收机构的公章或业务专用章；（成立时间至提交响应文件截止时间不足三个月的可不提供）；</w:t>
      </w:r>
    </w:p>
    <w:p>
      <w:pPr>
        <w:pStyle w:val="null3"/>
      </w:pPr>
      <w:r>
        <w:rPr>
          <w:rFonts w:ascii="仿宋_GB2312" w:hAnsi="仿宋_GB2312" w:cs="仿宋_GB2312" w:eastAsia="仿宋_GB2312"/>
        </w:rPr>
        <w:t>6、纳税或完税证明：提供投标截止日前半年内任意一个月的纳税证明或完税证明，单据应有代收机构或税务机关的公章或业务专用章；依法免税的单位应提供相关证明材料；（成立时间至提交响应文件截止时间不足三个月的可不提供）；</w:t>
      </w:r>
    </w:p>
    <w:p>
      <w:pPr>
        <w:pStyle w:val="null3"/>
      </w:pPr>
      <w:r>
        <w:rPr>
          <w:rFonts w:ascii="仿宋_GB2312" w:hAnsi="仿宋_GB2312" w:cs="仿宋_GB2312" w:eastAsia="仿宋_GB2312"/>
        </w:rPr>
        <w:t>7、声明1：具有履行合同所必需的设备和专业技术能力的书面声明；</w:t>
      </w:r>
    </w:p>
    <w:p>
      <w:pPr>
        <w:pStyle w:val="null3"/>
      </w:pPr>
      <w:r>
        <w:rPr>
          <w:rFonts w:ascii="仿宋_GB2312" w:hAnsi="仿宋_GB2312" w:cs="仿宋_GB2312" w:eastAsia="仿宋_GB2312"/>
        </w:rPr>
        <w:t>8、声明2：提供参加政府采购活动前三年内，在经营活动中没有重大违法记录书面声明；</w:t>
      </w:r>
    </w:p>
    <w:p>
      <w:pPr>
        <w:pStyle w:val="null3"/>
      </w:pPr>
      <w:r>
        <w:rPr>
          <w:rFonts w:ascii="仿宋_GB2312" w:hAnsi="仿宋_GB2312" w:cs="仿宋_GB2312" w:eastAsia="仿宋_GB2312"/>
        </w:rPr>
        <w:t>9、信用中国查询情况：未被列入失信被执行人、重大税收违法失信主体、政府采购严重违法失信行为记录名单；以“信用中国”网站（www.creditchina.gov.cn）或中国政府采购网（www.ccgp.gov.cn）查询结果为准；</w:t>
      </w:r>
    </w:p>
    <w:p>
      <w:pPr>
        <w:pStyle w:val="null3"/>
      </w:pPr>
      <w:r>
        <w:rPr>
          <w:rFonts w:ascii="仿宋_GB2312" w:hAnsi="仿宋_GB2312" w:cs="仿宋_GB2312" w:eastAsia="仿宋_GB2312"/>
        </w:rPr>
        <w:t>10、非联合体投标：本项目不接受联合体投标。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西安市鄠邑区人民医院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陕西省西安市鄠邑区甘亭镇渼陂西路5号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029-84812533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陕西省西安市雁塔区南二环东段凯森盛世B座四层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赵恬钰、周菊、李敏、王清玺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029-82694900转8014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招标代理服务费参照国家计委关于印发《招标代理服务收费管理暂行办法》的通知（计价格〔2002〕1980号）、《国家发展和改革委员会办公厅关于招标代理服务收费有关问题的通知》（发改办价格〔2003〕857号）规定向中标（成交）供应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西安市鄠邑区人民医院</w:t>
      </w:r>
      <w:r>
        <w:rPr>
          <w:rFonts w:ascii="仿宋_GB2312" w:hAnsi="仿宋_GB2312" w:cs="仿宋_GB2312" w:eastAsia="仿宋_GB2312"/>
        </w:rPr>
        <w:t>和</w:t>
      </w:r>
      <w:r>
        <w:rPr>
          <w:rFonts w:ascii="仿宋_GB2312" w:hAnsi="仿宋_GB2312" w:cs="仿宋_GB2312" w:eastAsia="仿宋_GB2312"/>
        </w:rPr>
        <w:t>陕西德信招标有限公司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西安市鄠邑区人民医院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西安市鄠邑区人民医院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按照甲乙双方合同约定执行。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按照国家及行业标准执行。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联系人：赵恬钰</w:t>
      </w:r>
    </w:p>
    <w:p>
      <w:pPr>
        <w:pStyle w:val="null3"/>
      </w:pPr>
      <w:r>
        <w:rPr>
          <w:rFonts w:ascii="仿宋_GB2312" w:hAnsi="仿宋_GB2312" w:cs="仿宋_GB2312" w:eastAsia="仿宋_GB2312"/>
        </w:rPr>
        <w:t>联系电话：029-82694900转8014</w:t>
      </w:r>
    </w:p>
    <w:p>
      <w:pPr>
        <w:pStyle w:val="null3"/>
      </w:pPr>
      <w:r>
        <w:rPr>
          <w:rFonts w:ascii="仿宋_GB2312" w:hAnsi="仿宋_GB2312" w:cs="仿宋_GB2312" w:eastAsia="仿宋_GB2312"/>
        </w:rPr>
        <w:t>地址：陕西省西安市雁塔区南二环东段凯森盛世一号B座四层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我院拟采购CT球管一个，预算金额为45万元。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球管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标的名称：球管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4"/>
                    </w:rPr>
                    <w:t>1.</w:t>
                  </w:r>
                  <w:r>
                    <w:rPr>
                      <w:rFonts w:ascii="仿宋_GB2312" w:hAnsi="仿宋_GB2312" w:cs="仿宋_GB2312" w:eastAsia="仿宋_GB2312"/>
                      <w:sz w:val="24"/>
                    </w:rPr>
                    <w:t>标称管电压</w:t>
                  </w:r>
                  <w:r>
                    <w:rPr>
                      <w:rFonts w:ascii="仿宋_GB2312" w:hAnsi="仿宋_GB2312" w:cs="仿宋_GB2312" w:eastAsia="仿宋_GB2312"/>
                      <w:sz w:val="24"/>
                    </w:rPr>
                    <w:t>≥140KV</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靶盘直径</w:t>
                  </w:r>
                  <w:r>
                    <w:rPr>
                      <w:rFonts w:ascii="仿宋_GB2312" w:hAnsi="仿宋_GB2312" w:cs="仿宋_GB2312" w:eastAsia="仿宋_GB2312"/>
                      <w:sz w:val="24"/>
                    </w:rPr>
                    <w:t>≥200mm</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阳极热</w:t>
                  </w:r>
                  <w:r>
                    <w:rPr>
                      <w:rFonts w:ascii="仿宋_GB2312" w:hAnsi="仿宋_GB2312" w:cs="仿宋_GB2312" w:eastAsia="仿宋_GB2312"/>
                      <w:sz w:val="24"/>
                    </w:rPr>
                    <w:t>容量</w:t>
                  </w:r>
                  <w:r>
                    <w:rPr>
                      <w:rFonts w:ascii="仿宋_GB2312" w:hAnsi="仿宋_GB2312" w:cs="仿宋_GB2312" w:eastAsia="仿宋_GB2312"/>
                      <w:sz w:val="24"/>
                    </w:rPr>
                    <w:t>≥6.3MHU</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4"/>
                    </w:rPr>
                    <w:t>4.</w:t>
                  </w:r>
                  <w:r>
                    <w:rPr>
                      <w:rFonts w:ascii="仿宋_GB2312" w:hAnsi="仿宋_GB2312" w:cs="仿宋_GB2312" w:eastAsia="仿宋_GB2312"/>
                      <w:sz w:val="24"/>
                    </w:rPr>
                    <w:t>扫描</w:t>
                  </w:r>
                  <w:r>
                    <w:rPr>
                      <w:rFonts w:ascii="仿宋_GB2312" w:hAnsi="仿宋_GB2312" w:cs="仿宋_GB2312" w:eastAsia="仿宋_GB2312"/>
                      <w:sz w:val="24"/>
                    </w:rPr>
                    <w:t>功率</w:t>
                  </w:r>
                  <w:r>
                    <w:rPr>
                      <w:rFonts w:ascii="仿宋_GB2312" w:hAnsi="仿宋_GB2312" w:cs="仿宋_GB2312" w:eastAsia="仿宋_GB2312"/>
                      <w:sz w:val="24"/>
                    </w:rPr>
                    <w:t>指数</w:t>
                  </w:r>
                  <w:r>
                    <w:rPr>
                      <w:rFonts w:ascii="仿宋_GB2312" w:hAnsi="仿宋_GB2312" w:cs="仿宋_GB2312" w:eastAsia="仿宋_GB2312"/>
                      <w:sz w:val="24"/>
                    </w:rPr>
                    <w:t>:≥</w:t>
                  </w:r>
                  <w:r>
                    <w:rPr>
                      <w:rFonts w:ascii="仿宋_GB2312" w:hAnsi="仿宋_GB2312" w:cs="仿宋_GB2312" w:eastAsia="仿宋_GB2312"/>
                      <w:sz w:val="24"/>
                    </w:rPr>
                    <w:t>60.5</w:t>
                  </w:r>
                  <w:r>
                    <w:rPr>
                      <w:rFonts w:ascii="仿宋_GB2312" w:hAnsi="仿宋_GB2312" w:cs="仿宋_GB2312" w:eastAsia="仿宋_GB2312"/>
                      <w:sz w:val="24"/>
                    </w:rPr>
                    <w:t>KW</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4"/>
                    </w:rPr>
                    <w:t>5.</w:t>
                  </w:r>
                  <w:r>
                    <w:rPr>
                      <w:rFonts w:ascii="仿宋_GB2312" w:hAnsi="仿宋_GB2312" w:cs="仿宋_GB2312" w:eastAsia="仿宋_GB2312"/>
                      <w:sz w:val="24"/>
                    </w:rPr>
                    <w:t>阳极靶角</w:t>
                  </w:r>
                  <w:r>
                    <w:rPr>
                      <w:rFonts w:ascii="仿宋_GB2312" w:hAnsi="仿宋_GB2312" w:cs="仿宋_GB2312" w:eastAsia="仿宋_GB2312"/>
                      <w:sz w:val="24"/>
                    </w:rPr>
                    <w:t>(°):7.0°</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4"/>
                    </w:rPr>
                    <w:t>6.</w:t>
                  </w:r>
                  <w:r>
                    <w:rPr>
                      <w:rFonts w:ascii="仿宋_GB2312" w:hAnsi="仿宋_GB2312" w:cs="仿宋_GB2312" w:eastAsia="仿宋_GB2312"/>
                      <w:sz w:val="24"/>
                    </w:rPr>
                    <w:t>焦点数量</w:t>
                  </w:r>
                  <w:r>
                    <w:rPr>
                      <w:rFonts w:ascii="仿宋_GB2312" w:hAnsi="仿宋_GB2312" w:cs="仿宋_GB2312" w:eastAsia="仿宋_GB2312"/>
                      <w:sz w:val="24"/>
                    </w:rPr>
                    <w:t>≥2个</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4"/>
                    </w:rPr>
                    <w:t>7.</w:t>
                  </w:r>
                  <w:r>
                    <w:rPr>
                      <w:rFonts w:ascii="仿宋_GB2312" w:hAnsi="仿宋_GB2312" w:cs="仿宋_GB2312" w:eastAsia="仿宋_GB2312"/>
                      <w:sz w:val="24"/>
                    </w:rPr>
                    <w:t>小焦点</w:t>
                  </w:r>
                  <w:r>
                    <w:rPr>
                      <w:rFonts w:ascii="仿宋_GB2312" w:hAnsi="仿宋_GB2312" w:cs="仿宋_GB2312" w:eastAsia="仿宋_GB2312"/>
                      <w:sz w:val="24"/>
                    </w:rPr>
                    <w:t>功率</w:t>
                  </w:r>
                  <w:r>
                    <w:rPr>
                      <w:rFonts w:ascii="仿宋_GB2312" w:hAnsi="仿宋_GB2312" w:cs="仿宋_GB2312" w:eastAsia="仿宋_GB2312"/>
                      <w:sz w:val="24"/>
                    </w:rPr>
                    <w:t>≥24KW</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大焦点</w:t>
                  </w:r>
                  <w:r>
                    <w:rPr>
                      <w:rFonts w:ascii="仿宋_GB2312" w:hAnsi="仿宋_GB2312" w:cs="仿宋_GB2312" w:eastAsia="仿宋_GB2312"/>
                      <w:sz w:val="24"/>
                    </w:rPr>
                    <w:t>功率</w:t>
                  </w:r>
                  <w:r>
                    <w:rPr>
                      <w:rFonts w:ascii="仿宋_GB2312" w:hAnsi="仿宋_GB2312" w:cs="仿宋_GB2312" w:eastAsia="仿宋_GB2312"/>
                      <w:sz w:val="24"/>
                    </w:rPr>
                    <w:t>≥53KW</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4"/>
                    </w:rPr>
                    <w:t>9.</w:t>
                  </w:r>
                  <w:r>
                    <w:rPr>
                      <w:rFonts w:ascii="仿宋_GB2312" w:hAnsi="仿宋_GB2312" w:cs="仿宋_GB2312" w:eastAsia="仿宋_GB2312"/>
                      <w:sz w:val="24"/>
                    </w:rPr>
                    <w:t>小焦点</w:t>
                  </w:r>
                  <w:r>
                    <w:rPr>
                      <w:rFonts w:ascii="仿宋_GB2312" w:hAnsi="仿宋_GB2312" w:cs="仿宋_GB2312" w:eastAsia="仿宋_GB2312"/>
                      <w:sz w:val="24"/>
                    </w:rPr>
                    <w:t>≤0.9x0.7mm</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4"/>
                    </w:rPr>
                    <w:t>10.</w:t>
                  </w:r>
                  <w:r>
                    <w:rPr>
                      <w:rFonts w:ascii="仿宋_GB2312" w:hAnsi="仿宋_GB2312" w:cs="仿宋_GB2312" w:eastAsia="仿宋_GB2312"/>
                      <w:sz w:val="24"/>
                    </w:rPr>
                    <w:t>大焦点</w:t>
                  </w:r>
                  <w:r>
                    <w:rPr>
                      <w:rFonts w:ascii="仿宋_GB2312" w:hAnsi="仿宋_GB2312" w:cs="仿宋_GB2312" w:eastAsia="仿宋_GB2312"/>
                      <w:sz w:val="24"/>
                    </w:rPr>
                    <w:t>≥0.9x0.9mm</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4"/>
                    </w:rPr>
                    <w:t>11.</w:t>
                  </w:r>
                  <w:r>
                    <w:rPr>
                      <w:rFonts w:ascii="仿宋_GB2312" w:hAnsi="仿宋_GB2312" w:cs="仿宋_GB2312" w:eastAsia="仿宋_GB2312"/>
                      <w:sz w:val="24"/>
                    </w:rPr>
                    <w:t>固有滤过</w:t>
                  </w:r>
                  <w:r>
                    <w:rPr>
                      <w:rFonts w:ascii="仿宋_GB2312" w:hAnsi="仿宋_GB2312" w:cs="仿宋_GB2312" w:eastAsia="仿宋_GB2312"/>
                      <w:sz w:val="24"/>
                    </w:rPr>
                    <w:t>≤0.32 mm AI@75kV</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4"/>
                    </w:rPr>
                    <w:t>12.</w:t>
                  </w:r>
                  <w:r>
                    <w:rPr>
                      <w:rFonts w:ascii="仿宋_GB2312" w:hAnsi="仿宋_GB2312" w:cs="仿宋_GB2312" w:eastAsia="仿宋_GB2312"/>
                      <w:sz w:val="24"/>
                    </w:rPr>
                    <w:t>标称连续输入功率</w:t>
                  </w:r>
                  <w:r>
                    <w:rPr>
                      <w:rFonts w:ascii="仿宋_GB2312" w:hAnsi="仿宋_GB2312" w:cs="仿宋_GB2312" w:eastAsia="仿宋_GB2312"/>
                      <w:sz w:val="24"/>
                    </w:rPr>
                    <w:t>≥3.7KW</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旋转阳极转速</w:t>
                  </w:r>
                  <w:r>
                    <w:rPr>
                      <w:rFonts w:ascii="仿宋_GB2312" w:hAnsi="仿宋_GB2312" w:cs="仿宋_GB2312" w:eastAsia="仿宋_GB2312"/>
                      <w:sz w:val="24"/>
                    </w:rPr>
                    <w:t>≥8000RPM</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4"/>
                    </w:rPr>
                    <w:t>14.</w:t>
                  </w:r>
                  <w:r>
                    <w:rPr>
                      <w:rFonts w:ascii="仿宋_GB2312" w:hAnsi="仿宋_GB2312" w:cs="仿宋_GB2312" w:eastAsia="仿宋_GB2312"/>
                      <w:sz w:val="24"/>
                    </w:rPr>
                    <w:t>辐射泄漏</w:t>
                  </w:r>
                  <w:r>
                    <w:rPr>
                      <w:rFonts w:ascii="仿宋_GB2312" w:hAnsi="仿宋_GB2312" w:cs="仿宋_GB2312" w:eastAsia="仿宋_GB2312"/>
                      <w:sz w:val="24"/>
                    </w:rPr>
                    <w:t>≥25mA</w:t>
                  </w:r>
                  <w:r>
                    <w:rPr>
                      <w:rFonts w:ascii="仿宋_GB2312" w:hAnsi="仿宋_GB2312" w:cs="仿宋_GB2312" w:eastAsia="仿宋_GB2312"/>
                      <w:sz w:val="24"/>
                    </w:rPr>
                    <w:t>，</w:t>
                  </w:r>
                  <w:r>
                    <w:rPr>
                      <w:rFonts w:ascii="仿宋_GB2312" w:hAnsi="仿宋_GB2312" w:cs="仿宋_GB2312" w:eastAsia="仿宋_GB2312"/>
                      <w:sz w:val="24"/>
                    </w:rPr>
                    <w:t>140kV</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4"/>
                    </w:rPr>
                    <w:t>15.</w:t>
                  </w:r>
                  <w:r>
                    <w:rPr>
                      <w:rFonts w:ascii="仿宋_GB2312" w:hAnsi="仿宋_GB2312" w:cs="仿宋_GB2312" w:eastAsia="仿宋_GB2312"/>
                      <w:sz w:val="24"/>
                    </w:rPr>
                    <w:t>提供投标型号球管的原版技术白皮书</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4"/>
                    </w:rPr>
                    <w:t>16.</w:t>
                  </w:r>
                  <w:r>
                    <w:rPr>
                      <w:rFonts w:ascii="仿宋_GB2312" w:hAnsi="仿宋_GB2312" w:cs="仿宋_GB2312" w:eastAsia="仿宋_GB2312"/>
                      <w:sz w:val="24"/>
                    </w:rPr>
                    <w:t>提供球管原厂制造商授权书或该球管从制造商到投标人的合法协议</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提供所投球管能与</w:t>
                  </w:r>
                  <w:r>
                    <w:rPr>
                      <w:rFonts w:ascii="仿宋_GB2312" w:hAnsi="仿宋_GB2312" w:cs="仿宋_GB2312" w:eastAsia="仿宋_GB2312"/>
                      <w:sz w:val="24"/>
                    </w:rPr>
                    <w:t>原有设备（</w:t>
                  </w:r>
                  <w:r>
                    <w:rPr>
                      <w:rFonts w:ascii="仿宋_GB2312" w:hAnsi="仿宋_GB2312" w:cs="仿宋_GB2312" w:eastAsia="仿宋_GB2312"/>
                      <w:sz w:val="24"/>
                    </w:rPr>
                    <w:t>GE Optima</w:t>
                  </w:r>
                  <w:r>
                    <w:rPr>
                      <w:rFonts w:ascii="仿宋_GB2312" w:hAnsi="仿宋_GB2312" w:cs="仿宋_GB2312" w:eastAsia="仿宋_GB2312"/>
                      <w:sz w:val="24"/>
                    </w:rPr>
                    <w:t>型号</w:t>
                  </w:r>
                  <w:r>
                    <w:rPr>
                      <w:rFonts w:ascii="仿宋_GB2312" w:hAnsi="仿宋_GB2312" w:cs="仿宋_GB2312" w:eastAsia="仿宋_GB2312"/>
                      <w:sz w:val="24"/>
                    </w:rPr>
                    <w:t>）完全匹配兼容证明资料。</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自合同签订之日起5个日历日完成全部项目内容，并交付采购人验收合格。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进度款，采购人验收合格正常使用，达到付款条件起5个工作日内，支付合同总金额的30.0%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进度款，满六个月，达到付款条件起5个工作日内，支付合同总金额的40.0%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进度款，满一年，达到付款条件起5个工作日内，支付合同总金额的30.0%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按照采购人及国家行业标准执行。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安装之日起，球管曝光30万秒次(低于30万秒次全赔)或12个月计算，按优先到达原则为准。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甲乙双方合同内约定。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具有独立承担民事责任能力的法人或非法人组织或自然人，提供合法有效的统一社会信用代码的营业执照等证明文件；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法定代表人授权委托书或证明书</w:t>
            </w:r>
          </w:p>
        </w:tc>
        <w:tc>
          <w:tcPr>
            <w:tcW w:type="dxa" w:w="3322"/>
          </w:tcPr>
          <w:p>
            <w:pPr>
              <w:pStyle w:val="null3"/>
            </w:pPr>
            <w:r>
              <w:rPr>
                <w:rFonts w:ascii="仿宋_GB2312" w:hAnsi="仿宋_GB2312" w:cs="仿宋_GB2312" w:eastAsia="仿宋_GB2312"/>
              </w:rPr>
              <w:t>提供法定代表人授权委托书及被授权人身份证（投标人为法定代表人时，须提交法定代表人证明书）；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投标人为生产厂家的须提供医疗器械生产许可证；投标人为代理商的根据所投产品类别还需提供第二类医疗器械备案凭证或第三类医疗器械经营许可证；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经会计师事务所审计的2025年完整的财务审计报告（且出具的审计报告应当经过注册会计师行业统一监管平台备案赋码）或开标前六个月内银行出具的资信证明；（成立时间至提交响应文件截止时间不足三个月的可不提供）；</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日前半年内任意一个月的社会保障资金缴存单据或社保机构开具的社会保险参保缴费情况证明，单据或证明上应有社保机构或代收机构的公章或业务专用章；（成立时间至提交响应文件截止时间不足三个月的可不提供）；</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纳税或完税证明</w:t>
            </w:r>
          </w:p>
        </w:tc>
        <w:tc>
          <w:tcPr>
            <w:tcW w:type="dxa" w:w="3322"/>
          </w:tcPr>
          <w:p>
            <w:pPr>
              <w:pStyle w:val="null3"/>
            </w:pPr>
            <w:r>
              <w:rPr>
                <w:rFonts w:ascii="仿宋_GB2312" w:hAnsi="仿宋_GB2312" w:cs="仿宋_GB2312" w:eastAsia="仿宋_GB2312"/>
              </w:rPr>
              <w:t>提供投标截止日前半年内任意一个月的纳税证明或完税证明，单据应有代收机构或税务机关的公章或业务专用章；依法免税的单位应提供相关证明材料；（成立时间至提交响应文件截止时间不足三个月的可不提供）；</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声明1</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声明2</w:t>
            </w:r>
          </w:p>
        </w:tc>
        <w:tc>
          <w:tcPr>
            <w:tcW w:type="dxa" w:w="3322"/>
          </w:tcPr>
          <w:p>
            <w:pPr>
              <w:pStyle w:val="null3"/>
            </w:pPr>
            <w:r>
              <w:rPr>
                <w:rFonts w:ascii="仿宋_GB2312" w:hAnsi="仿宋_GB2312" w:cs="仿宋_GB2312" w:eastAsia="仿宋_GB2312"/>
              </w:rPr>
              <w:t>提供参加政府采购活动前三年内，在经营活动中没有重大违法记录书面声明；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信用中国查询情况</w:t>
            </w:r>
          </w:p>
        </w:tc>
        <w:tc>
          <w:tcPr>
            <w:tcW w:type="dxa" w:w="3322"/>
          </w:tcPr>
          <w:p>
            <w:pPr>
              <w:pStyle w:val="null3"/>
            </w:pPr>
            <w:r>
              <w:rPr>
                <w:rFonts w:ascii="仿宋_GB2312" w:hAnsi="仿宋_GB2312" w:cs="仿宋_GB2312" w:eastAsia="仿宋_GB2312"/>
              </w:rPr>
              <w:t>未被列入失信被执行人、重大税收违法失信主体、政府采购严重违法失信行为记录名单；以“信用中国”网站（www.creditchina.gov.cn）或中国政府采购网（www.ccgp.gov.cn）查询结果为准；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项目业绩表.docx 中小企业声明函 商务应答表 资格证明文件.docx 投标人应提交的相关资格证明材料 投标函 残疾人福利性单位声明函 标的清单 关于符合本国产品标准的声明函 投标文件封面 产品技术参数表.docx 监狱企业的证明文件 投标方案及其他.docx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投标产品技术指标及功能评审内容</w:t>
            </w:r>
          </w:p>
        </w:tc>
        <w:tc>
          <w:tcPr>
            <w:tcW w:type="dxa" w:w="2492"/>
          </w:tcPr>
          <w:p>
            <w:pPr>
              <w:pStyle w:val="null3"/>
            </w:pPr>
            <w:r>
              <w:rPr>
                <w:rFonts w:ascii="仿宋_GB2312" w:hAnsi="仿宋_GB2312" w:cs="仿宋_GB2312" w:eastAsia="仿宋_GB2312"/>
              </w:rPr>
              <w:t>依据各投标人响应的投标产品参数要求等情况进行评审：满足全部参数要求的计37分；标注“▲”项为重要参数，一项“▲”负偏离扣3分，其他每一项负偏离扣2分，扣完为止。 备注：提供佐证材料（包括但不限于产品技术说明书、国家认可的第三方检测报告、产品官方网站截图等相关证明材料；文件中相关复印材料应当清晰可辨，如材料模糊将视为该项材料无效。）予以证明参数的技术响应性，并标注在投标文件中的具体页码，若不提供材料或提供虚假参数及材料应标的，按负偏离处理。</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投标所投产品来源渠道的证明材料（不限于授权书、销售协议等）得4分；未提供相关资料证明文件得0分。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提供完整可⾏有针对性的实施⽅案，包含：①供货⽅案；②安装调试⽅案；③技术⽀持⽅案；④质量保证措施；⑤验收⽅案。 每项内容完整可⾏且有针对性得2分，缺漏项不得分，满分10分；每项内容中每有⼀处有缺陷扣0.5分，扣完为⽌。</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提供完整可⾏有针对性的售后服务⽅案，包含：①售后服务范围及保障措施；②应急保障⽅案；③培训⽅案；④故障处理及补救措施；⑤售后服务及培训人员配置。 每项内容完整可⾏且有针对性得2分，缺漏项不得分，满分10分；每项内容中每有⼀处有缺陷扣0.5分，扣完为⽌。</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投标方案及其他.docx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提供所投产品2023年7月1日至今同类项目的完整合同，每提供1个得3分，最高得9分。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价格分采用低价优先法计算，即满足招标文件要求且投标报价最低的为评标基准价，其价格分为满分。其他供应商的价格分统一按照下列公式计算:投标报价得分=(评标基准价/投标报价)x价格权值x100。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详见附件：投标方案及其他.docx</w:t>
      </w:r>
    </w:p>
    <w:p>
      <w:pPr>
        <w:pStyle w:val="null3"/>
        <w:ind w:firstLine="960"/>
      </w:pPr>
      <w:r>
        <w:rPr>
          <w:rFonts w:ascii="仿宋_GB2312" w:hAnsi="仿宋_GB2312" w:cs="仿宋_GB2312" w:eastAsia="仿宋_GB2312"/>
        </w:rPr>
        <w:t>详见附件：项目业绩表.docx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详见附件：医疗设备买卖合同.docx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