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C3560">
      <w:pPr>
        <w:spacing w:line="360" w:lineRule="auto"/>
        <w:ind w:right="-1" w:firstLine="643" w:firstLineChars="200"/>
        <w:jc w:val="center"/>
        <w:outlineLvl w:val="9"/>
        <w:rPr>
          <w:rFonts w:hint="eastAsia" w:ascii="宋体" w:hAnsi="宋体" w:eastAsia="宋体" w:cs="宋体"/>
          <w:b/>
          <w:bCs/>
          <w:sz w:val="32"/>
          <w:szCs w:val="21"/>
          <w:highlight w:val="none"/>
        </w:rPr>
      </w:pPr>
      <w:r>
        <w:rPr>
          <w:rFonts w:hint="eastAsia" w:ascii="宋体" w:hAnsi="宋体" w:eastAsia="宋体" w:cs="宋体"/>
          <w:b/>
          <w:bCs/>
          <w:sz w:val="32"/>
          <w:szCs w:val="21"/>
          <w:highlight w:val="none"/>
        </w:rPr>
        <w:t>医疗设备买卖合同</w:t>
      </w:r>
    </w:p>
    <w:p w14:paraId="6362058E">
      <w:pPr>
        <w:spacing w:line="480" w:lineRule="auto"/>
        <w:ind w:right="-1"/>
        <w:outlineLvl w:val="9"/>
        <w:rPr>
          <w:rFonts w:hint="default" w:ascii="宋体" w:hAnsi="宋体" w:eastAsia="宋体"/>
          <w:b/>
          <w:sz w:val="24"/>
          <w:szCs w:val="24"/>
          <w:highlight w:val="none"/>
          <w:u w:val="single"/>
          <w:lang w:val="en-US" w:eastAsia="zh-CN"/>
        </w:rPr>
      </w:pPr>
      <w:r>
        <w:rPr>
          <w:rFonts w:hint="eastAsia" w:ascii="宋体" w:hAnsi="宋体"/>
          <w:b/>
          <w:sz w:val="24"/>
          <w:szCs w:val="24"/>
          <w:highlight w:val="none"/>
        </w:rPr>
        <w:t>合 同 编 号</w:t>
      </w:r>
      <w:r>
        <w:rPr>
          <w:rFonts w:hint="eastAsia" w:ascii="宋体" w:hAnsi="宋体"/>
          <w:b/>
          <w:sz w:val="24"/>
          <w:szCs w:val="24"/>
          <w:highlight w:val="none"/>
          <w:lang w:eastAsia="zh-CN"/>
        </w:rPr>
        <w:t>：</w:t>
      </w:r>
    </w:p>
    <w:p w14:paraId="58EE8E34">
      <w:pPr>
        <w:spacing w:line="480" w:lineRule="auto"/>
        <w:ind w:right="-1"/>
        <w:outlineLvl w:val="9"/>
        <w:rPr>
          <w:rFonts w:ascii="宋体" w:hAnsi="宋体"/>
          <w:b/>
          <w:sz w:val="24"/>
          <w:szCs w:val="24"/>
          <w:highlight w:val="none"/>
        </w:rPr>
      </w:pPr>
      <w:r>
        <w:rPr>
          <w:rFonts w:hint="eastAsia" w:ascii="宋体" w:hAnsi="宋体"/>
          <w:b/>
          <w:sz w:val="24"/>
          <w:szCs w:val="24"/>
          <w:highlight w:val="none"/>
        </w:rPr>
        <w:t>甲方（买方）：</w:t>
      </w:r>
      <w:r>
        <w:rPr>
          <w:rFonts w:hint="eastAsia" w:ascii="宋体" w:hAnsi="宋体"/>
          <w:b/>
          <w:sz w:val="24"/>
          <w:szCs w:val="24"/>
          <w:highlight w:val="none"/>
          <w:lang w:eastAsia="zh-CN"/>
        </w:rPr>
        <w:t>西安市鄠邑区人民医院</w:t>
      </w:r>
      <w:r>
        <w:rPr>
          <w:rFonts w:ascii="宋体" w:hAnsi="宋体"/>
          <w:b/>
          <w:sz w:val="24"/>
          <w:szCs w:val="24"/>
          <w:highlight w:val="none"/>
        </w:rPr>
        <w:t xml:space="preserve">       </w:t>
      </w:r>
    </w:p>
    <w:p w14:paraId="7A145410">
      <w:pPr>
        <w:spacing w:line="480" w:lineRule="auto"/>
        <w:ind w:right="-1"/>
        <w:outlineLvl w:val="9"/>
        <w:rPr>
          <w:rFonts w:ascii="宋体" w:hAnsi="宋体"/>
          <w:b/>
          <w:sz w:val="24"/>
          <w:szCs w:val="24"/>
          <w:highlight w:val="none"/>
          <w:u w:val="single"/>
        </w:rPr>
      </w:pPr>
      <w:r>
        <w:rPr>
          <w:rFonts w:hint="eastAsia" w:ascii="宋体" w:hAnsi="宋体"/>
          <w:b/>
          <w:sz w:val="24"/>
          <w:szCs w:val="24"/>
          <w:highlight w:val="none"/>
        </w:rPr>
        <w:t>乙方（卖方）：</w:t>
      </w:r>
      <w:r>
        <w:rPr>
          <w:rFonts w:hint="eastAsia" w:ascii="宋体" w:hAnsi="宋体"/>
          <w:b/>
          <w:sz w:val="24"/>
          <w:szCs w:val="24"/>
          <w:highlight w:val="none"/>
          <w:u w:val="single"/>
        </w:rPr>
        <w:t xml:space="preserve">                </w:t>
      </w:r>
    </w:p>
    <w:p w14:paraId="29A89913">
      <w:pPr>
        <w:spacing w:line="360" w:lineRule="auto"/>
        <w:ind w:right="-1" w:firstLine="480" w:firstLineChars="200"/>
        <w:outlineLvl w:val="9"/>
        <w:rPr>
          <w:rFonts w:hint="eastAsia" w:ascii="宋体" w:hAnsi="宋体" w:eastAsia="宋体" w:cs="宋体"/>
          <w:color w:val="000000"/>
          <w:sz w:val="24"/>
          <w:szCs w:val="18"/>
          <w:highlight w:val="none"/>
        </w:rPr>
      </w:pPr>
      <w:bookmarkStart w:id="0" w:name="_Toc341030114"/>
      <w:r>
        <w:rPr>
          <w:rFonts w:hint="eastAsia" w:ascii="宋体" w:hAnsi="宋体" w:eastAsia="宋体" w:cs="宋体"/>
          <w:sz w:val="24"/>
          <w:szCs w:val="18"/>
          <w:highlight w:val="none"/>
        </w:rPr>
        <w:t>依据《中华人民共和国政府采购法》、《中华人民共和国</w:t>
      </w:r>
      <w:r>
        <w:rPr>
          <w:rFonts w:hint="eastAsia" w:ascii="宋体" w:hAnsi="宋体" w:eastAsia="宋体" w:cs="宋体"/>
          <w:sz w:val="24"/>
          <w:szCs w:val="18"/>
          <w:highlight w:val="none"/>
          <w:lang w:val="en-US" w:eastAsia="zh-CN"/>
        </w:rPr>
        <w:t>民法典</w:t>
      </w:r>
      <w:r>
        <w:rPr>
          <w:rFonts w:hint="eastAsia" w:ascii="宋体" w:hAnsi="宋体" w:eastAsia="宋体" w:cs="宋体"/>
          <w:sz w:val="24"/>
          <w:szCs w:val="18"/>
          <w:highlight w:val="none"/>
        </w:rPr>
        <w:t>》及其他有关法律、法规之规定，以及采购文件、投标（响应）文件规定条款和中标（成交）供应商承诺书、中标通知书等</w:t>
      </w:r>
      <w:r>
        <w:rPr>
          <w:rFonts w:hint="eastAsia" w:ascii="宋体" w:hAnsi="宋体" w:eastAsia="宋体" w:cs="宋体"/>
          <w:color w:val="000000"/>
          <w:sz w:val="24"/>
          <w:szCs w:val="18"/>
          <w:highlight w:val="none"/>
        </w:rPr>
        <w:t>，甲、乙双方同意签订</w:t>
      </w:r>
      <w:r>
        <w:rPr>
          <w:rFonts w:hint="eastAsia" w:ascii="宋体" w:hAnsi="宋体" w:eastAsia="宋体" w:cs="宋体"/>
          <w:color w:val="000000"/>
          <w:sz w:val="24"/>
          <w:szCs w:val="24"/>
          <w:highlight w:val="none"/>
          <w:u w:val="single"/>
        </w:rPr>
        <w:t>××××采购项目名称</w:t>
      </w:r>
      <w:r>
        <w:rPr>
          <w:rFonts w:hint="eastAsia" w:ascii="宋体" w:hAnsi="宋体" w:cs="宋体"/>
          <w:color w:val="000000"/>
          <w:sz w:val="24"/>
          <w:szCs w:val="24"/>
          <w:highlight w:val="none"/>
          <w:u w:val="single"/>
          <w:lang w:eastAsia="zh-CN"/>
        </w:rPr>
        <w:t>、</w:t>
      </w:r>
      <w:r>
        <w:rPr>
          <w:rFonts w:hint="eastAsia" w:ascii="宋体" w:hAnsi="宋体" w:eastAsia="宋体" w:cs="宋体"/>
          <w:color w:val="000000"/>
          <w:sz w:val="24"/>
          <w:szCs w:val="24"/>
          <w:highlight w:val="none"/>
          <w:u w:val="single"/>
        </w:rPr>
        <w:t>编号，供应合</w:t>
      </w:r>
      <w:r>
        <w:rPr>
          <w:rFonts w:hint="eastAsia" w:ascii="宋体" w:hAnsi="宋体" w:eastAsia="宋体" w:cs="宋体"/>
          <w:color w:val="000000"/>
          <w:sz w:val="24"/>
          <w:szCs w:val="18"/>
          <w:highlight w:val="none"/>
          <w:u w:val="single"/>
        </w:rPr>
        <w:t>同</w:t>
      </w:r>
      <w:r>
        <w:rPr>
          <w:rFonts w:hint="eastAsia" w:ascii="宋体" w:hAnsi="宋体" w:eastAsia="宋体" w:cs="宋体"/>
          <w:color w:val="000000"/>
          <w:sz w:val="24"/>
          <w:szCs w:val="18"/>
          <w:highlight w:val="none"/>
        </w:rPr>
        <w:t>。</w:t>
      </w:r>
    </w:p>
    <w:p w14:paraId="6CABBCED">
      <w:pPr>
        <w:spacing w:line="360" w:lineRule="auto"/>
        <w:ind w:right="-1" w:firstLine="482" w:firstLineChars="200"/>
        <w:outlineLvl w:val="9"/>
        <w:rPr>
          <w:rFonts w:ascii="宋体" w:hAnsi="宋体" w:eastAsia="宋体" w:cs="宋体"/>
          <w:b/>
          <w:bCs/>
          <w:color w:val="000000"/>
          <w:sz w:val="24"/>
          <w:szCs w:val="18"/>
          <w:highlight w:val="none"/>
        </w:rPr>
      </w:pPr>
      <w:r>
        <w:rPr>
          <w:rFonts w:hint="eastAsia" w:ascii="宋体" w:hAnsi="宋体" w:eastAsia="宋体" w:cs="宋体"/>
          <w:b/>
          <w:bCs/>
          <w:color w:val="000000"/>
          <w:sz w:val="24"/>
          <w:szCs w:val="18"/>
          <w:highlight w:val="none"/>
        </w:rPr>
        <w:t>第一条 合同标的</w:t>
      </w:r>
    </w:p>
    <w:bookmarkEnd w:id="0"/>
    <w:tbl>
      <w:tblPr>
        <w:tblStyle w:val="3"/>
        <w:tblpPr w:leftFromText="180" w:rightFromText="180" w:vertAnchor="text" w:horzAnchor="page" w:tblpXSpec="center" w:tblpY="128"/>
        <w:tblOverlap w:val="never"/>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6"/>
        <w:gridCol w:w="1110"/>
        <w:gridCol w:w="1156"/>
        <w:gridCol w:w="1098"/>
        <w:gridCol w:w="697"/>
        <w:gridCol w:w="760"/>
        <w:gridCol w:w="1097"/>
        <w:gridCol w:w="1078"/>
        <w:gridCol w:w="1085"/>
      </w:tblGrid>
      <w:tr w14:paraId="7B891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255" w:type="pct"/>
            <w:noWrap w:val="0"/>
            <w:vAlign w:val="center"/>
          </w:tcPr>
          <w:p w14:paraId="3FB7636C">
            <w:pPr>
              <w:spacing w:line="240" w:lineRule="auto"/>
              <w:ind w:right="-1"/>
              <w:jc w:val="center"/>
              <w:outlineLvl w:val="9"/>
              <w:rPr>
                <w:rFonts w:ascii="宋体" w:hAnsi="宋体" w:eastAsia="宋体" w:cs="宋体"/>
                <w:b/>
                <w:bCs/>
                <w:color w:val="000000"/>
                <w:sz w:val="22"/>
                <w:szCs w:val="18"/>
                <w:highlight w:val="none"/>
              </w:rPr>
            </w:pPr>
            <w:bookmarkStart w:id="1" w:name="_Toc341030115"/>
            <w:r>
              <w:rPr>
                <w:rFonts w:hint="eastAsia" w:ascii="宋体" w:hAnsi="宋体" w:eastAsia="宋体" w:cs="宋体"/>
                <w:b/>
                <w:bCs/>
                <w:color w:val="000000"/>
                <w:sz w:val="22"/>
                <w:szCs w:val="18"/>
                <w:highlight w:val="none"/>
              </w:rPr>
              <w:t>序号</w:t>
            </w:r>
          </w:p>
        </w:tc>
        <w:tc>
          <w:tcPr>
            <w:tcW w:w="652" w:type="pct"/>
            <w:noWrap w:val="0"/>
            <w:vAlign w:val="center"/>
          </w:tcPr>
          <w:p w14:paraId="37111E45">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货物名称</w:t>
            </w:r>
          </w:p>
        </w:tc>
        <w:tc>
          <w:tcPr>
            <w:tcW w:w="679" w:type="pct"/>
            <w:noWrap w:val="0"/>
            <w:vAlign w:val="center"/>
          </w:tcPr>
          <w:p w14:paraId="09B0CEB4">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规格型号</w:t>
            </w:r>
          </w:p>
        </w:tc>
        <w:tc>
          <w:tcPr>
            <w:tcW w:w="645" w:type="pct"/>
            <w:noWrap w:val="0"/>
            <w:vAlign w:val="center"/>
          </w:tcPr>
          <w:p w14:paraId="7A9DE28F">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生产厂家</w:t>
            </w:r>
          </w:p>
        </w:tc>
        <w:tc>
          <w:tcPr>
            <w:tcW w:w="409" w:type="pct"/>
            <w:noWrap w:val="0"/>
            <w:vAlign w:val="center"/>
          </w:tcPr>
          <w:p w14:paraId="448B85EF">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单位</w:t>
            </w:r>
          </w:p>
        </w:tc>
        <w:tc>
          <w:tcPr>
            <w:tcW w:w="446" w:type="pct"/>
            <w:noWrap w:val="0"/>
            <w:vAlign w:val="center"/>
          </w:tcPr>
          <w:p w14:paraId="5949DB27">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数量</w:t>
            </w:r>
          </w:p>
        </w:tc>
        <w:tc>
          <w:tcPr>
            <w:tcW w:w="644" w:type="pct"/>
            <w:noWrap w:val="0"/>
            <w:vAlign w:val="center"/>
          </w:tcPr>
          <w:p w14:paraId="17EE638D">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质保年限</w:t>
            </w:r>
          </w:p>
        </w:tc>
        <w:tc>
          <w:tcPr>
            <w:tcW w:w="633" w:type="pct"/>
            <w:noWrap w:val="0"/>
            <w:vAlign w:val="center"/>
          </w:tcPr>
          <w:p w14:paraId="79D1ADDD">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单价（元）</w:t>
            </w:r>
          </w:p>
        </w:tc>
        <w:tc>
          <w:tcPr>
            <w:tcW w:w="633" w:type="pct"/>
            <w:noWrap w:val="0"/>
            <w:vAlign w:val="center"/>
          </w:tcPr>
          <w:p w14:paraId="43F393BA">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金额（元）</w:t>
            </w:r>
          </w:p>
        </w:tc>
      </w:tr>
      <w:tr w14:paraId="4BFD4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55" w:type="pct"/>
            <w:noWrap w:val="0"/>
            <w:vAlign w:val="center"/>
          </w:tcPr>
          <w:p w14:paraId="3DB25BD6">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1</w:t>
            </w:r>
          </w:p>
        </w:tc>
        <w:tc>
          <w:tcPr>
            <w:tcW w:w="652" w:type="pct"/>
            <w:noWrap w:val="0"/>
            <w:vAlign w:val="center"/>
          </w:tcPr>
          <w:p w14:paraId="736B6A6C">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3F996A1E">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4D14C9EC">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04F431D8">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6149C1CF">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3D93AACE">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5A0A286E">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295A5E0F">
            <w:pPr>
              <w:spacing w:line="240" w:lineRule="auto"/>
              <w:ind w:right="-1"/>
              <w:jc w:val="center"/>
              <w:outlineLvl w:val="9"/>
              <w:rPr>
                <w:rFonts w:ascii="宋体" w:hAnsi="宋体" w:eastAsia="宋体" w:cs="宋体"/>
                <w:color w:val="000000"/>
                <w:sz w:val="24"/>
                <w:szCs w:val="18"/>
                <w:highlight w:val="none"/>
              </w:rPr>
            </w:pPr>
          </w:p>
        </w:tc>
      </w:tr>
      <w:tr w14:paraId="29599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55" w:type="pct"/>
            <w:noWrap w:val="0"/>
            <w:vAlign w:val="center"/>
          </w:tcPr>
          <w:p w14:paraId="7B61B760">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2</w:t>
            </w:r>
          </w:p>
        </w:tc>
        <w:tc>
          <w:tcPr>
            <w:tcW w:w="652" w:type="pct"/>
            <w:noWrap w:val="0"/>
            <w:vAlign w:val="center"/>
          </w:tcPr>
          <w:p w14:paraId="46F33925">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1A41E076">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15ED15B2">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62D66D5D">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0D2EB953">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1E16D7FB">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52BF41CA">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19B983E3">
            <w:pPr>
              <w:spacing w:line="240" w:lineRule="auto"/>
              <w:ind w:right="-1"/>
              <w:jc w:val="center"/>
              <w:outlineLvl w:val="9"/>
              <w:rPr>
                <w:rFonts w:ascii="宋体" w:hAnsi="宋体" w:eastAsia="宋体" w:cs="宋体"/>
                <w:color w:val="000000"/>
                <w:sz w:val="24"/>
                <w:szCs w:val="18"/>
                <w:highlight w:val="none"/>
              </w:rPr>
            </w:pPr>
          </w:p>
        </w:tc>
      </w:tr>
      <w:tr w14:paraId="6D213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255" w:type="pct"/>
            <w:noWrap w:val="0"/>
            <w:vAlign w:val="center"/>
          </w:tcPr>
          <w:p w14:paraId="236D031B">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3</w:t>
            </w:r>
          </w:p>
        </w:tc>
        <w:tc>
          <w:tcPr>
            <w:tcW w:w="652" w:type="pct"/>
            <w:noWrap w:val="0"/>
            <w:vAlign w:val="center"/>
          </w:tcPr>
          <w:p w14:paraId="2D053966">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1391B741">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5CBE177F">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2F60B694">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55349534">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0D1A4D13">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1FFEE284">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756F882B">
            <w:pPr>
              <w:spacing w:line="240" w:lineRule="auto"/>
              <w:ind w:right="-1"/>
              <w:jc w:val="center"/>
              <w:outlineLvl w:val="9"/>
              <w:rPr>
                <w:rFonts w:ascii="宋体" w:hAnsi="宋体" w:eastAsia="宋体" w:cs="宋体"/>
                <w:color w:val="000000"/>
                <w:sz w:val="24"/>
                <w:szCs w:val="18"/>
                <w:highlight w:val="none"/>
              </w:rPr>
            </w:pPr>
          </w:p>
        </w:tc>
      </w:tr>
      <w:tr w14:paraId="53015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5000" w:type="pct"/>
            <w:gridSpan w:val="9"/>
            <w:noWrap w:val="0"/>
            <w:vAlign w:val="center"/>
          </w:tcPr>
          <w:p w14:paraId="1559BBBC">
            <w:pPr>
              <w:spacing w:line="240" w:lineRule="auto"/>
              <w:ind w:right="-1"/>
              <w:jc w:val="left"/>
              <w:outlineLvl w:val="9"/>
              <w:rPr>
                <w:rFonts w:ascii="宋体" w:hAnsi="宋体" w:eastAsia="宋体" w:cs="宋体"/>
                <w:color w:val="000000"/>
                <w:sz w:val="24"/>
                <w:szCs w:val="18"/>
                <w:highlight w:val="none"/>
              </w:rPr>
            </w:pPr>
            <w:r>
              <w:rPr>
                <w:rFonts w:hint="eastAsia" w:ascii="宋体" w:hAnsi="宋体" w:eastAsia="宋体" w:cs="宋体"/>
                <w:sz w:val="22"/>
                <w:szCs w:val="21"/>
                <w:highlight w:val="none"/>
              </w:rPr>
              <w:t xml:space="preserve">人民币合计金额（大写）：                          （小写）             </w:t>
            </w:r>
          </w:p>
        </w:tc>
      </w:tr>
      <w:tr w14:paraId="0A00C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5000" w:type="pct"/>
            <w:gridSpan w:val="9"/>
            <w:noWrap w:val="0"/>
            <w:vAlign w:val="center"/>
          </w:tcPr>
          <w:p w14:paraId="190A93A9">
            <w:pPr>
              <w:spacing w:line="240" w:lineRule="auto"/>
              <w:outlineLvl w:val="9"/>
              <w:rPr>
                <w:rFonts w:ascii="宋体" w:hAnsi="宋体" w:eastAsia="宋体" w:cs="宋体"/>
                <w:sz w:val="22"/>
                <w:szCs w:val="21"/>
                <w:highlight w:val="none"/>
              </w:rPr>
            </w:pPr>
            <w:r>
              <w:rPr>
                <w:rFonts w:hint="eastAsia" w:ascii="宋体" w:hAnsi="宋体" w:eastAsia="宋体" w:cs="宋体"/>
                <w:b/>
                <w:bCs/>
                <w:sz w:val="22"/>
                <w:szCs w:val="21"/>
                <w:highlight w:val="none"/>
              </w:rPr>
              <w:t>说明：</w:t>
            </w:r>
            <w:r>
              <w:rPr>
                <w:rFonts w:hint="eastAsia" w:ascii="宋体" w:hAnsi="宋体" w:eastAsia="宋体" w:cs="宋体"/>
                <w:sz w:val="22"/>
                <w:szCs w:val="21"/>
                <w:highlight w:val="none"/>
              </w:rPr>
              <w:t>合计金额包括货物价款、备件、专用工具、安装、调试、检验、技术培训及技术资料和包装、运输等全部费用，甲方不再支付任何费用。</w:t>
            </w:r>
          </w:p>
        </w:tc>
      </w:tr>
    </w:tbl>
    <w:p w14:paraId="36EF8F80">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第二条 质量</w:t>
      </w:r>
      <w:bookmarkEnd w:id="1"/>
      <w:r>
        <w:rPr>
          <w:rFonts w:hint="eastAsia" w:ascii="宋体" w:hAnsi="宋体" w:eastAsia="宋体" w:cs="宋体"/>
          <w:b/>
          <w:bCs/>
          <w:sz w:val="24"/>
          <w:szCs w:val="18"/>
          <w:highlight w:val="none"/>
        </w:rPr>
        <w:t>保证</w:t>
      </w:r>
    </w:p>
    <w:p w14:paraId="6F5F2DA6">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2.1 乙方所提供的货物型号、技术规格、技术参数等质量，必须符合国家、行业现行的设计、安全、质量等相关标准规范要求，与采购文件、投标（响应）文件和承诺相一致。 </w:t>
      </w:r>
    </w:p>
    <w:p w14:paraId="318959E8">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2.2 乙方所提供的货物必须是全新、未使用的原装产品，且在正常安装、使用和保养条件下，其使用寿命期内各项指标均达到质量要求。</w:t>
      </w:r>
    </w:p>
    <w:p w14:paraId="675A9943">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第三条 知识版权</w:t>
      </w:r>
    </w:p>
    <w:p w14:paraId="23B2229C">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乙方应保证所提供货物在使用时不会侵犯任何第三方的专利权、商标权、工业设计权或其他权利。</w:t>
      </w:r>
    </w:p>
    <w:p w14:paraId="54F14CEB">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第四条 包装和运输</w:t>
      </w:r>
    </w:p>
    <w:p w14:paraId="00524AD0">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4.1 乙方采用包装方式必须符合包装和运输的有关标准，包装应为制造商出厂时的原包装（特殊约定除外），每一包装单元内应附详细的装箱单和质量合格证。</w:t>
      </w:r>
    </w:p>
    <w:p w14:paraId="1DBDD2BB">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4.2 运输方式及费用负担</w:t>
      </w:r>
    </w:p>
    <w:p w14:paraId="2C540E3F">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由乙方负责运输至交货地点或者甲方指定地点，运输费用及安全均由乙方负责承担。由乙方负责卸车及就位，费用及安全均由乙方负责承担。</w:t>
      </w:r>
    </w:p>
    <w:p w14:paraId="61C9170A">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第五条 交付和验收</w:t>
      </w:r>
    </w:p>
    <w:p w14:paraId="2746500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5.1 </w:t>
      </w:r>
      <w:r>
        <w:rPr>
          <w:rFonts w:hint="eastAsia" w:ascii="宋体" w:hAnsi="宋体" w:eastAsia="宋体" w:cs="宋体"/>
          <w:b/>
          <w:bCs/>
          <w:sz w:val="24"/>
          <w:szCs w:val="18"/>
          <w:highlight w:val="none"/>
        </w:rPr>
        <w:t>交货时间：</w:t>
      </w:r>
      <w:r>
        <w:rPr>
          <w:rFonts w:hint="eastAsia" w:ascii="宋体" w:hAnsi="宋体" w:eastAsia="宋体" w:cs="宋体"/>
          <w:sz w:val="24"/>
          <w:szCs w:val="18"/>
          <w:highlight w:val="none"/>
          <w:lang w:val="en-US" w:eastAsia="zh-CN"/>
        </w:rPr>
        <w:t>自合同签订之日起5个日历日完成全部项目内容，并交付采购人验收合格。</w:t>
      </w:r>
    </w:p>
    <w:p w14:paraId="2A0EAA1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5.2 </w:t>
      </w:r>
      <w:r>
        <w:rPr>
          <w:rFonts w:hint="eastAsia" w:ascii="宋体" w:hAnsi="宋体" w:eastAsia="宋体" w:cs="宋体"/>
          <w:b/>
          <w:bCs/>
          <w:sz w:val="24"/>
          <w:szCs w:val="18"/>
          <w:highlight w:val="none"/>
        </w:rPr>
        <w:t>指定履约人员：</w:t>
      </w:r>
      <w:r>
        <w:rPr>
          <w:rFonts w:hint="eastAsia" w:ascii="宋体" w:hAnsi="宋体" w:eastAsia="宋体" w:cs="宋体"/>
          <w:sz w:val="24"/>
          <w:szCs w:val="18"/>
          <w:highlight w:val="none"/>
        </w:rPr>
        <w:t>甲方指定</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为代表，组织甲方相关人员检验、接收货物，签收（或送达）合同履行资料。乙方指定</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代表乙方交付货物，签收（或送达）合同履行资料。上述指定人员如需变更，应以书面形式于变更之日通知对方。非指定人员签署的履行资料，在结算时甲方不予认可。</w:t>
      </w:r>
    </w:p>
    <w:p w14:paraId="59FC5F5C">
      <w:pPr>
        <w:spacing w:line="360" w:lineRule="auto"/>
        <w:ind w:firstLine="560"/>
        <w:outlineLvl w:val="9"/>
        <w:rPr>
          <w:rFonts w:ascii="宋体" w:hAnsi="宋体" w:eastAsia="宋体" w:cs="宋体"/>
          <w:color w:val="000000"/>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3</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安装调试：</w:t>
      </w:r>
      <w:r>
        <w:rPr>
          <w:rFonts w:hint="eastAsia" w:ascii="宋体" w:hAnsi="宋体" w:eastAsia="宋体" w:cs="宋体"/>
          <w:sz w:val="24"/>
          <w:szCs w:val="18"/>
          <w:highlight w:val="none"/>
        </w:rPr>
        <w:t>乙方负责在货物到达甲方交货地点或者指定地点7日内到甲方现场调试服务，遵守安全、文明规定，服从项目管理单位的管理，承担安全文明施工责任和成品保护责任。安装调试期间，</w:t>
      </w:r>
      <w:r>
        <w:rPr>
          <w:rFonts w:hint="eastAsia" w:ascii="宋体" w:hAnsi="宋体" w:eastAsia="宋体" w:cs="宋体"/>
          <w:color w:val="000000"/>
          <w:sz w:val="24"/>
          <w:szCs w:val="18"/>
          <w:highlight w:val="none"/>
        </w:rPr>
        <w:t>若发生任何不安全事件(人员、设备、设施)，乙方负责承担。</w:t>
      </w:r>
    </w:p>
    <w:p w14:paraId="7A24F636">
      <w:pPr>
        <w:pStyle w:val="5"/>
        <w:spacing w:line="360" w:lineRule="auto"/>
        <w:ind w:firstLine="480"/>
        <w:jc w:val="left"/>
        <w:outlineLvl w:val="9"/>
        <w:rPr>
          <w:rFonts w:ascii="宋体" w:hAnsi="宋体" w:eastAsia="宋体" w:cs="宋体"/>
          <w:sz w:val="22"/>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验收标准：</w:t>
      </w:r>
      <w:r>
        <w:rPr>
          <w:rFonts w:hint="eastAsia" w:ascii="宋体" w:hAnsi="宋体" w:eastAsia="宋体" w:cs="宋体"/>
          <w:sz w:val="24"/>
          <w:szCs w:val="18"/>
          <w:highlight w:val="none"/>
        </w:rPr>
        <w:t>依照本合同约定的货物技术标准条款执行。货物的技术标准（或质量要求）：按照技术协议约定内容；技术协议没有约定的，按照国家标准执行；国家标准没有要求的，按照行业标准执行；行业标准没有要求的，按照行业惯例或行业习惯执行。</w:t>
      </w:r>
    </w:p>
    <w:p w14:paraId="74ADE5C9">
      <w:pPr>
        <w:spacing w:line="360" w:lineRule="auto"/>
        <w:ind w:right="-1" w:firstLine="480" w:firstLineChars="200"/>
        <w:outlineLvl w:val="9"/>
        <w:rPr>
          <w:rFonts w:ascii="宋体" w:hAnsi="宋体" w:eastAsia="宋体" w:cs="宋体"/>
          <w:sz w:val="24"/>
          <w:szCs w:val="18"/>
          <w:highlight w:val="none"/>
          <w:u w:val="single"/>
        </w:rPr>
      </w:pPr>
      <w:r>
        <w:rPr>
          <w:rFonts w:hint="eastAsia" w:ascii="宋体" w:hAnsi="宋体" w:eastAsia="宋体" w:cs="宋体"/>
          <w:color w:val="000000"/>
          <w:sz w:val="24"/>
          <w:szCs w:val="18"/>
          <w:highlight w:val="none"/>
        </w:rPr>
        <w:t>5.</w:t>
      </w:r>
      <w:r>
        <w:rPr>
          <w:rFonts w:hint="eastAsia" w:ascii="宋体" w:hAnsi="宋体" w:eastAsia="宋体" w:cs="宋体"/>
          <w:color w:val="000000"/>
          <w:sz w:val="24"/>
          <w:szCs w:val="18"/>
          <w:highlight w:val="none"/>
          <w:lang w:val="en-US" w:eastAsia="zh-CN"/>
        </w:rPr>
        <w:t>4</w:t>
      </w:r>
      <w:r>
        <w:rPr>
          <w:rFonts w:hint="eastAsia" w:ascii="宋体" w:hAnsi="宋体" w:eastAsia="宋体" w:cs="宋体"/>
          <w:color w:val="000000"/>
          <w:sz w:val="24"/>
          <w:szCs w:val="18"/>
          <w:highlight w:val="none"/>
        </w:rPr>
        <w:t>.1</w:t>
      </w:r>
      <w:r>
        <w:rPr>
          <w:rFonts w:hint="eastAsia" w:ascii="宋体" w:hAnsi="宋体" w:eastAsia="宋体" w:cs="宋体"/>
          <w:sz w:val="24"/>
          <w:szCs w:val="18"/>
          <w:highlight w:val="none"/>
        </w:rPr>
        <w:t xml:space="preserve"> 所有系统设备、材料到达安装调试现场 2个工作日内，甲方组织专业人员或部门对乙方交付的设备进行初步验收。系统设备、材料不符合相关国家、行业及约定标准或没有按规定提供约定的证明文件的，甲方拒绝接受。此项验收仅为货物初步验收，并不免除乙方承担的质量责任。未经甲方验收合格乙方擅自安装的，一切责任由乙方自行承担。</w:t>
      </w:r>
    </w:p>
    <w:p w14:paraId="1B2CBD03">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.2 乙方交付时应向甲方提交以下证明材料和文件：产品合格证、原厂证明、产品出厂检测报告、医疗器械注册证、卫生许可证等质量证明文件。进口</w:t>
      </w:r>
      <w:r>
        <w:rPr>
          <w:rFonts w:hint="eastAsia" w:ascii="宋体" w:hAnsi="宋体" w:eastAsia="宋体" w:cs="宋体"/>
          <w:color w:val="000000"/>
          <w:sz w:val="24"/>
          <w:szCs w:val="18"/>
          <w:highlight w:val="none"/>
        </w:rPr>
        <w:t>产品还须提供商检及报关证明材料，</w:t>
      </w:r>
      <w:r>
        <w:rPr>
          <w:rFonts w:hint="eastAsia" w:ascii="宋体" w:hAnsi="宋体" w:eastAsia="宋体" w:cs="宋体"/>
          <w:sz w:val="24"/>
          <w:szCs w:val="18"/>
          <w:highlight w:val="none"/>
        </w:rPr>
        <w:t>生产厂家提供针对本项目的产品售后服务承诺书。</w:t>
      </w:r>
    </w:p>
    <w:p w14:paraId="4F4FAF6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3安装调试完成后，乙方通知甲方组织验收。验收合格后，甲乙双方签署货物验收单，验收时间以验收单上签署的时间为准，验收结果以该项目验收单结论为准。甲方对验收有异议的或者经整改仍验收不合格的，现场向乙方提出，乙方应自收到甲方书面异议后5个工作日内及时予以解决。</w:t>
      </w:r>
    </w:p>
    <w:p w14:paraId="1841ABC2">
      <w:pPr>
        <w:spacing w:line="360" w:lineRule="auto"/>
        <w:ind w:right="-1" w:firstLine="482" w:firstLineChars="200"/>
        <w:outlineLvl w:val="9"/>
        <w:rPr>
          <w:rFonts w:ascii="宋体" w:hAnsi="宋体" w:eastAsia="宋体" w:cs="宋体"/>
          <w:b/>
          <w:bCs/>
          <w:kern w:val="0"/>
          <w:sz w:val="28"/>
          <w:szCs w:val="28"/>
          <w:highlight w:val="none"/>
        </w:rPr>
      </w:pPr>
      <w:r>
        <w:rPr>
          <w:rFonts w:hint="eastAsia" w:ascii="宋体" w:hAnsi="宋体" w:eastAsia="宋体" w:cs="宋体"/>
          <w:b/>
          <w:bCs/>
          <w:sz w:val="24"/>
          <w:szCs w:val="18"/>
          <w:highlight w:val="none"/>
        </w:rPr>
        <w:t>5.</w:t>
      </w:r>
      <w:r>
        <w:rPr>
          <w:rFonts w:hint="eastAsia" w:ascii="宋体" w:hAnsi="宋体" w:eastAsia="宋体" w:cs="宋体"/>
          <w:b/>
          <w:bCs/>
          <w:sz w:val="24"/>
          <w:szCs w:val="18"/>
          <w:highlight w:val="none"/>
          <w:lang w:val="en-US" w:eastAsia="zh-CN"/>
        </w:rPr>
        <w:t>5</w:t>
      </w:r>
      <w:r>
        <w:rPr>
          <w:rFonts w:hint="eastAsia" w:ascii="宋体" w:hAnsi="宋体" w:eastAsia="宋体" w:cs="宋体"/>
          <w:b/>
          <w:bCs/>
          <w:sz w:val="24"/>
          <w:szCs w:val="18"/>
          <w:highlight w:val="none"/>
        </w:rPr>
        <w:t xml:space="preserve"> 技术培训</w:t>
      </w:r>
    </w:p>
    <w:p w14:paraId="1F2416BC">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24"/>
          <w:highlight w:val="none"/>
        </w:rPr>
        <w:t>乙方应在使用操作和维修技术方面及临床应用向甲方提供培训，</w:t>
      </w:r>
      <w:r>
        <w:rPr>
          <w:rFonts w:hint="eastAsia" w:ascii="宋体" w:hAnsi="宋体" w:eastAsia="宋体" w:cs="宋体"/>
          <w:sz w:val="24"/>
          <w:szCs w:val="18"/>
          <w:highlight w:val="none"/>
        </w:rPr>
        <w:t>直至正确使用、熟练操作；同时，乙方须于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内安排甲方指定人员</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人次在</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等地三级甲等医院或</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医院进行技术操作、维修维护学习，每人次学习时间不少于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，并承担培训所有费用。</w:t>
      </w:r>
    </w:p>
    <w:p w14:paraId="614B2C51">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第六条 货款结算</w:t>
      </w:r>
    </w:p>
    <w:p w14:paraId="49405FB4">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ascii="宋体" w:hAnsi="宋体" w:eastAsia="宋体" w:cs="宋体"/>
          <w:sz w:val="24"/>
          <w:szCs w:val="18"/>
          <w:highlight w:val="none"/>
        </w:rPr>
      </w:pPr>
      <w:r>
        <w:rPr>
          <w:rFonts w:hint="eastAsia" w:ascii="宋体" w:hAnsi="宋体" w:eastAsia="宋体" w:cs="宋体"/>
          <w:sz w:val="24"/>
          <w:szCs w:val="18"/>
          <w:highlight w:val="none"/>
        </w:rPr>
        <w:t>6.1 本合同以人民币付款。</w:t>
      </w:r>
    </w:p>
    <w:p w14:paraId="78A10B39">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ascii="宋体" w:hAnsi="宋体" w:eastAsia="宋体" w:cs="宋体"/>
          <w:sz w:val="24"/>
          <w:szCs w:val="18"/>
          <w:highlight w:val="none"/>
        </w:rPr>
      </w:pPr>
      <w:r>
        <w:rPr>
          <w:rFonts w:hint="eastAsia" w:ascii="宋体" w:hAnsi="宋体" w:eastAsia="宋体" w:cs="宋体"/>
          <w:sz w:val="24"/>
          <w:szCs w:val="18"/>
          <w:highlight w:val="none"/>
        </w:rPr>
        <w:t>合同总价款：</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元，大写</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；本合同执行期间合同总价不变，该价格已经包含本合同第一条约定的所有费用。</w:t>
      </w:r>
    </w:p>
    <w:p w14:paraId="0374DD41">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ascii="宋体" w:hAnsi="宋体" w:eastAsia="宋体" w:cs="宋体"/>
          <w:sz w:val="24"/>
          <w:szCs w:val="24"/>
          <w:highlight w:val="none"/>
        </w:rPr>
      </w:pPr>
      <w:r>
        <w:rPr>
          <w:rFonts w:hint="eastAsia" w:ascii="宋体" w:hAnsi="宋体" w:eastAsia="宋体" w:cs="宋体"/>
          <w:sz w:val="24"/>
          <w:szCs w:val="18"/>
          <w:highlight w:val="none"/>
        </w:rPr>
        <w:t>6.2 结算方式：</w:t>
      </w:r>
      <w:r>
        <w:rPr>
          <w:rFonts w:hint="eastAsia" w:ascii="宋体" w:hAnsi="宋体" w:eastAsia="宋体" w:cs="宋体"/>
          <w:sz w:val="24"/>
          <w:szCs w:val="24"/>
          <w:highlight w:val="none"/>
        </w:rPr>
        <w:t>银行承兑汇票或电汇。</w:t>
      </w:r>
    </w:p>
    <w:p w14:paraId="3CCA5941">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6.3 付款条件与具体的付款金额：</w:t>
      </w:r>
    </w:p>
    <w:p w14:paraId="72F0E451">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1、 进度款，采购⼈验收合格正常使⽤，达到付款条件起</w:t>
      </w:r>
      <w:r>
        <w:rPr>
          <w:rFonts w:hint="default" w:ascii="宋体" w:hAnsi="宋体" w:eastAsia="宋体" w:cs="宋体"/>
          <w:sz w:val="24"/>
          <w:szCs w:val="18"/>
          <w:highlight w:val="none"/>
          <w:lang w:val="en-US" w:eastAsia="zh-CN"/>
        </w:rPr>
        <w:t xml:space="preserve">5个⼯作⽇内，⽀付合同总⾦额的30.0% </w:t>
      </w:r>
    </w:p>
    <w:p w14:paraId="2AB969B2">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hint="eastAsia" w:ascii="宋体" w:hAnsi="宋体" w:eastAsia="宋体" w:cs="宋体"/>
          <w:sz w:val="24"/>
          <w:szCs w:val="18"/>
          <w:highlight w:val="none"/>
        </w:rPr>
      </w:pPr>
      <w:r>
        <w:rPr>
          <w:rFonts w:hint="default" w:ascii="宋体" w:hAnsi="宋体" w:eastAsia="宋体" w:cs="宋体"/>
          <w:sz w:val="24"/>
          <w:szCs w:val="18"/>
          <w:highlight w:val="none"/>
          <w:lang w:val="en-US" w:eastAsia="zh-CN"/>
        </w:rPr>
        <w:t xml:space="preserve">2、 进度款，满六个⽉，达到付款条件起5个⼯作⽇内，⽀付合同总⾦额的40.0% </w:t>
      </w:r>
    </w:p>
    <w:p w14:paraId="2451D52D">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outlineLvl w:val="9"/>
        <w:rPr>
          <w:rFonts w:ascii="宋体" w:hAnsi="宋体" w:eastAsia="宋体" w:cs="宋体"/>
          <w:sz w:val="24"/>
          <w:szCs w:val="18"/>
          <w:highlight w:val="none"/>
        </w:rPr>
      </w:pPr>
      <w:r>
        <w:rPr>
          <w:rFonts w:hint="default" w:ascii="宋体" w:hAnsi="宋体" w:eastAsia="宋体" w:cs="宋体"/>
          <w:sz w:val="24"/>
          <w:szCs w:val="18"/>
          <w:highlight w:val="none"/>
          <w:lang w:val="en-US" w:eastAsia="zh-CN"/>
        </w:rPr>
        <w:t>3、 进度款，满⼀年，达到付款条件起5个⼯作⽇内，⽀付合同总⾦额的30.0%</w:t>
      </w:r>
      <w:r>
        <w:rPr>
          <w:rFonts w:hint="eastAsia" w:ascii="宋体" w:hAnsi="宋体" w:eastAsia="宋体" w:cs="宋体"/>
          <w:sz w:val="24"/>
          <w:szCs w:val="18"/>
          <w:highlight w:val="none"/>
        </w:rPr>
        <w:t xml:space="preserve">   </w:t>
      </w:r>
    </w:p>
    <w:p w14:paraId="7DD6FAAA">
      <w:pPr>
        <w:spacing w:line="360" w:lineRule="auto"/>
        <w:ind w:right="-1" w:firstLine="482" w:firstLineChars="200"/>
        <w:outlineLvl w:val="9"/>
        <w:rPr>
          <w:rFonts w:ascii="宋体" w:hAnsi="宋体" w:eastAsia="宋体" w:cs="宋体"/>
          <w:sz w:val="24"/>
          <w:szCs w:val="18"/>
          <w:highlight w:val="none"/>
        </w:rPr>
      </w:pPr>
      <w:r>
        <w:rPr>
          <w:rFonts w:hint="eastAsia" w:ascii="宋体" w:hAnsi="宋体" w:eastAsia="宋体" w:cs="宋体"/>
          <w:b/>
          <w:bCs/>
          <w:sz w:val="24"/>
          <w:szCs w:val="18"/>
          <w:highlight w:val="none"/>
        </w:rPr>
        <w:t>第七条 售后服务</w:t>
      </w:r>
    </w:p>
    <w:p w14:paraId="223E60D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7.1乙方应按国家相关法规及采购文件、投标（响应）文件对售后服务的要求和响应提供服务，</w:t>
      </w:r>
      <w:r>
        <w:rPr>
          <w:rFonts w:hint="eastAsia" w:ascii="宋体" w:hAnsi="宋体" w:cs="宋体"/>
          <w:sz w:val="24"/>
          <w:szCs w:val="18"/>
          <w:highlight w:val="none"/>
          <w:lang w:val="en-US" w:eastAsia="zh-CN"/>
        </w:rPr>
        <w:t>自</w:t>
      </w:r>
      <w:r>
        <w:rPr>
          <w:rFonts w:hint="eastAsia" w:ascii="宋体" w:hAnsi="宋体" w:eastAsia="宋体" w:cs="宋体"/>
          <w:sz w:val="24"/>
          <w:szCs w:val="18"/>
          <w:highlight w:val="none"/>
        </w:rPr>
        <w:t>安装之日起，球管曝光30万秒次(低于30万秒次全赔)或12个月计算，按优先到达原则为准。</w:t>
      </w:r>
    </w:p>
    <w:p w14:paraId="0A56BE9D">
      <w:pPr>
        <w:spacing w:line="360" w:lineRule="auto"/>
        <w:ind w:right="-1" w:firstLine="480" w:firstLineChars="200"/>
        <w:outlineLvl w:val="9"/>
        <w:rPr>
          <w:rFonts w:ascii="宋体" w:hAnsi="宋体" w:eastAsia="宋体" w:cs="宋体"/>
          <w:sz w:val="24"/>
          <w:szCs w:val="18"/>
          <w:highlight w:val="none"/>
          <w:u w:val="single"/>
        </w:rPr>
      </w:pPr>
      <w:r>
        <w:rPr>
          <w:rFonts w:hint="eastAsia" w:ascii="宋体" w:hAnsi="宋体" w:eastAsia="宋体" w:cs="宋体"/>
          <w:sz w:val="24"/>
          <w:szCs w:val="18"/>
          <w:highlight w:val="none"/>
        </w:rPr>
        <w:t>7.2 如因设备质量或原始标（警）示不清等原因，导致甲方损失，或造成甲方操作人员、第三方人员人身伤害</w:t>
      </w:r>
      <w:bookmarkStart w:id="3" w:name="_GoBack"/>
      <w:bookmarkEnd w:id="3"/>
      <w:r>
        <w:rPr>
          <w:rFonts w:hint="eastAsia" w:ascii="宋体" w:hAnsi="宋体" w:eastAsia="宋体" w:cs="宋体"/>
          <w:sz w:val="24"/>
          <w:szCs w:val="18"/>
          <w:highlight w:val="none"/>
        </w:rPr>
        <w:t xml:space="preserve">，乙方承担相关赔偿责任。                    </w:t>
      </w:r>
    </w:p>
    <w:p w14:paraId="1D7C4B0C">
      <w:pPr>
        <w:spacing w:line="360" w:lineRule="auto"/>
        <w:ind w:right="-1" w:firstLine="482" w:firstLineChars="200"/>
        <w:outlineLvl w:val="9"/>
        <w:rPr>
          <w:rFonts w:ascii="宋体" w:hAnsi="宋体" w:eastAsia="宋体" w:cs="宋体"/>
          <w:sz w:val="24"/>
          <w:szCs w:val="18"/>
          <w:highlight w:val="none"/>
        </w:rPr>
      </w:pPr>
      <w:bookmarkStart w:id="2" w:name="_Toc341030123"/>
      <w:r>
        <w:rPr>
          <w:rFonts w:hint="eastAsia" w:ascii="宋体" w:hAnsi="宋体" w:eastAsia="宋体" w:cs="宋体"/>
          <w:b/>
          <w:bCs/>
          <w:sz w:val="24"/>
          <w:szCs w:val="18"/>
          <w:highlight w:val="none"/>
        </w:rPr>
        <w:t>第八条 合同的变更、解除与转让</w:t>
      </w:r>
    </w:p>
    <w:p w14:paraId="5A366302">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8.1 甲乙双方除非事先得到对方的书面同意或本合同另有约定，任何一方不得将合同项下的任何权利、义务、责任转让给任何第三方，不得擅自变更、中止或终止本合同。</w:t>
      </w:r>
    </w:p>
    <w:p w14:paraId="3D0B15F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8.2 乙方逾期未完成约定义务超过</w:t>
      </w:r>
      <w:r>
        <w:rPr>
          <w:rFonts w:hint="eastAsia" w:ascii="宋体" w:hAnsi="宋体" w:eastAsia="宋体" w:cs="宋体"/>
          <w:sz w:val="24"/>
          <w:szCs w:val="18"/>
          <w:highlight w:val="none"/>
          <w:u w:val="single"/>
        </w:rPr>
        <w:t xml:space="preserve"> 5 </w:t>
      </w:r>
      <w:r>
        <w:rPr>
          <w:rFonts w:hint="eastAsia" w:ascii="宋体" w:hAnsi="宋体" w:eastAsia="宋体" w:cs="宋体"/>
          <w:sz w:val="24"/>
          <w:szCs w:val="18"/>
          <w:highlight w:val="none"/>
        </w:rPr>
        <w:t>个工作日，甲方有权单方解除本合同。</w:t>
      </w:r>
    </w:p>
    <w:p w14:paraId="50D70AF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8.3 乙方履行本合同约定义务时，未达到甲方要求，修改或整改超过</w:t>
      </w:r>
      <w:r>
        <w:rPr>
          <w:rFonts w:hint="eastAsia" w:ascii="宋体" w:hAnsi="宋体" w:eastAsia="宋体" w:cs="宋体"/>
          <w:sz w:val="24"/>
          <w:szCs w:val="18"/>
          <w:highlight w:val="none"/>
          <w:u w:val="single"/>
        </w:rPr>
        <w:t xml:space="preserve"> 2 </w:t>
      </w:r>
      <w:r>
        <w:rPr>
          <w:rFonts w:hint="eastAsia" w:ascii="宋体" w:hAnsi="宋体" w:eastAsia="宋体" w:cs="宋体"/>
          <w:sz w:val="24"/>
          <w:szCs w:val="18"/>
          <w:highlight w:val="none"/>
        </w:rPr>
        <w:t>次，仍然无法达到甲方要求，甲方有权单方解除本合同。</w:t>
      </w:r>
    </w:p>
    <w:p w14:paraId="195EBDAE">
      <w:pPr>
        <w:spacing w:line="360" w:lineRule="auto"/>
        <w:ind w:right="-1" w:firstLine="482" w:firstLineChars="200"/>
        <w:outlineLvl w:val="9"/>
        <w:rPr>
          <w:rFonts w:ascii="宋体" w:hAnsi="宋体" w:eastAsia="宋体" w:cs="宋体"/>
          <w:sz w:val="24"/>
          <w:szCs w:val="18"/>
          <w:highlight w:val="none"/>
        </w:rPr>
      </w:pPr>
      <w:r>
        <w:rPr>
          <w:rFonts w:hint="eastAsia" w:ascii="宋体" w:hAnsi="宋体" w:eastAsia="宋体" w:cs="宋体"/>
          <w:b/>
          <w:bCs/>
          <w:sz w:val="24"/>
          <w:szCs w:val="18"/>
          <w:highlight w:val="none"/>
        </w:rPr>
        <w:t>第九条 违约责任</w:t>
      </w:r>
    </w:p>
    <w:p w14:paraId="7CBE580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9.1 甲方没有按本合同约定的时间和数额支付合同约定款项的，收到书面催付15日后按迟延支付金额的</w:t>
      </w:r>
      <w:r>
        <w:rPr>
          <w:rFonts w:hint="eastAsia" w:ascii="宋体" w:hAnsi="宋体" w:eastAsia="宋体" w:cs="宋体"/>
          <w:sz w:val="24"/>
          <w:szCs w:val="18"/>
          <w:highlight w:val="none"/>
          <w:u w:val="single"/>
        </w:rPr>
        <w:t xml:space="preserve">1‰ </w:t>
      </w:r>
      <w:r>
        <w:rPr>
          <w:rFonts w:hint="eastAsia" w:ascii="宋体" w:hAnsi="宋体" w:eastAsia="宋体" w:cs="宋体"/>
          <w:sz w:val="24"/>
          <w:szCs w:val="18"/>
          <w:highlight w:val="none"/>
        </w:rPr>
        <w:t>（日）的标准向乙方支付违约金。</w:t>
      </w:r>
    </w:p>
    <w:p w14:paraId="6A72A0E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9.2 乙方逾期交付货物的，乙方应按逾期交货部分总价款每日1‰向甲方支付违约金，由甲方从待付价款中直接扣除；逾期超过约定日期15个工作日不能交货的，甲方可单方面解除本合同。</w:t>
      </w:r>
    </w:p>
    <w:p w14:paraId="3D6DE68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9.3 乙方因逾期交货或因其他违约行为导致甲方解除合同的，乙方应向甲方支付本合同约定总价款10%的违约金，如造成甲方损失超过违约金的，超出部分由乙方继续承担赔偿责任。</w:t>
      </w:r>
    </w:p>
    <w:p w14:paraId="6BEBCEE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9.4 乙方所交的货物品种、型号、规格、技术参数、质量不符合合同约定及招标文件规定的标准的，甲方有权拒收该货物，乙方应按本合同总价款的10%向甲方支付违约金。乙方愿意更换货物但逾期交货的，按乙方逾期交货处理。乙方拒绝更换货物的，甲方可单方面解除合同。</w:t>
      </w:r>
    </w:p>
    <w:p w14:paraId="16B4972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9.5 乙方提供的货物如侵犯了第三方合法权益而引发的任何纠纷或诉讼，均由乙方负责交涉并承担全部责任。</w:t>
      </w:r>
    </w:p>
    <w:bookmarkEnd w:id="2"/>
    <w:p w14:paraId="0CCDDF34">
      <w:pPr>
        <w:spacing w:line="360" w:lineRule="auto"/>
        <w:ind w:firstLine="482" w:firstLineChars="200"/>
        <w:jc w:val="left"/>
        <w:outlineLvl w:val="9"/>
        <w:rPr>
          <w:rFonts w:ascii="宋体" w:hAnsi="宋体" w:eastAsia="宋体" w:cs="宋体"/>
          <w:b/>
          <w:sz w:val="22"/>
          <w:highlight w:val="none"/>
        </w:rPr>
      </w:pPr>
      <w:r>
        <w:rPr>
          <w:rFonts w:hint="eastAsia" w:ascii="宋体" w:hAnsi="宋体" w:eastAsia="宋体" w:cs="宋体"/>
          <w:b/>
          <w:bCs/>
          <w:sz w:val="24"/>
          <w:szCs w:val="18"/>
          <w:highlight w:val="none"/>
        </w:rPr>
        <w:t>第十条</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不可抗力</w:t>
      </w:r>
    </w:p>
    <w:p w14:paraId="66FDBE5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10.1 “不可抗力”是指所有超出本合同双方控制范围的事件，该事件应不可预见，或虽然可以预见，但通过合理努力无法阻止或避免其发生，且这类事件发生于本合同签字之后，并且阻止任何一方全部或部分履行本合同。</w:t>
      </w:r>
    </w:p>
    <w:p w14:paraId="4CA2FBC5">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10.2  由于不可抗力事件，致使任何一方不能履行其在本合同下的义务，该方不承担由此给另一方造成的损失；该方应及时通知另一方其不能履行或延迟履行合同义务的原因，并应尽快向另一方提供有关发生不可抗力的证明文件，按不可抗力事件对本合同的影响程度，双方协商是否终止本合同，或部分免除本合同的义务。</w:t>
      </w:r>
    </w:p>
    <w:p w14:paraId="33CA2E8F">
      <w:pPr>
        <w:spacing w:line="360" w:lineRule="auto"/>
        <w:ind w:firstLine="482" w:firstLineChars="200"/>
        <w:jc w:val="left"/>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第十一条 争议解决办法</w:t>
      </w:r>
    </w:p>
    <w:p w14:paraId="313A2D7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11.1 因货物质量问题发生争议，由质量技术监督部门或质量技术监督部门指定的质量鉴定机构进行质量鉴定。鉴定费用由乙方预付，货物符合标准的，鉴定费由甲方承担；货物不符合质量标准的，鉴定费由乙方承担。</w:t>
      </w:r>
    </w:p>
    <w:p w14:paraId="37CF677C">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11.2 合同履行期间，若双方发生争议，可协商或由相关部门调解解决，协商或调解不成的，应向甲方所在地的人民法院提起诉讼。</w:t>
      </w:r>
    </w:p>
    <w:p w14:paraId="1DD87299">
      <w:pPr>
        <w:spacing w:line="360" w:lineRule="auto"/>
        <w:ind w:firstLine="482" w:firstLineChars="200"/>
        <w:jc w:val="left"/>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 xml:space="preserve">第十二条  其他   </w:t>
      </w:r>
    </w:p>
    <w:p w14:paraId="5B993D8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12.1 招投标文件、承诺书以及合同附件是本合同不可分割的组成部分，与本合同具有同等法律效力。</w:t>
      </w:r>
    </w:p>
    <w:p w14:paraId="24CCFB4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12.2 本合同未尽事宜，由甲乙双方协商后产生书面文件，作为本合同的补充条款，具备与本合同同等法律效力。 </w:t>
      </w:r>
    </w:p>
    <w:p w14:paraId="4927B1A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12.3 对本合同内容的任何修改和变更需要用书面形式，并经双方签字盖章确认后生效。</w:t>
      </w:r>
    </w:p>
    <w:p w14:paraId="12C503A8">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12.4 甲乙双方须共同遵守《医药购销廉洁协议书》的有关规定，诚信经营、合法经营。</w:t>
      </w:r>
    </w:p>
    <w:p w14:paraId="07418C5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12.5 本合同一式</w:t>
      </w:r>
      <w:r>
        <w:rPr>
          <w:rFonts w:hint="eastAsia" w:ascii="宋体" w:hAnsi="宋体" w:eastAsia="宋体" w:cs="宋体"/>
          <w:sz w:val="24"/>
          <w:szCs w:val="18"/>
          <w:highlight w:val="none"/>
          <w:lang w:val="en-US" w:eastAsia="zh-CN"/>
        </w:rPr>
        <w:t>伍</w:t>
      </w:r>
      <w:r>
        <w:rPr>
          <w:rFonts w:hint="eastAsia" w:ascii="宋体" w:hAnsi="宋体" w:eastAsia="宋体" w:cs="宋体"/>
          <w:sz w:val="24"/>
          <w:szCs w:val="18"/>
          <w:highlight w:val="none"/>
        </w:rPr>
        <w:t>份，甲方</w:t>
      </w:r>
      <w:r>
        <w:rPr>
          <w:rFonts w:hint="eastAsia" w:ascii="宋体" w:hAnsi="宋体" w:eastAsia="宋体" w:cs="宋体"/>
          <w:sz w:val="24"/>
          <w:szCs w:val="18"/>
          <w:highlight w:val="none"/>
          <w:lang w:val="en-US" w:eastAsia="zh-CN"/>
        </w:rPr>
        <w:t>肆</w:t>
      </w:r>
      <w:r>
        <w:rPr>
          <w:rFonts w:hint="eastAsia" w:ascii="宋体" w:hAnsi="宋体" w:eastAsia="宋体" w:cs="宋体"/>
          <w:sz w:val="24"/>
          <w:szCs w:val="18"/>
          <w:highlight w:val="none"/>
        </w:rPr>
        <w:t>份，乙方壹份。本合同自甲乙双方签字盖章后生效。</w:t>
      </w:r>
    </w:p>
    <w:tbl>
      <w:tblPr>
        <w:tblStyle w:val="2"/>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9"/>
        <w:gridCol w:w="4261"/>
      </w:tblGrid>
      <w:tr w14:paraId="0EA0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0" w:hRule="atLeast"/>
          <w:jc w:val="center"/>
        </w:trPr>
        <w:tc>
          <w:tcPr>
            <w:tcW w:w="2499" w:type="pct"/>
            <w:noWrap w:val="0"/>
            <w:vAlign w:val="center"/>
          </w:tcPr>
          <w:p w14:paraId="0BEC83CE">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highlight w:val="none"/>
              </w:rPr>
            </w:pPr>
            <w:r>
              <w:rPr>
                <w:rFonts w:hint="eastAsia" w:ascii="宋体" w:hAnsi="宋体" w:eastAsia="宋体" w:cs="宋体"/>
                <w:sz w:val="24"/>
                <w:highlight w:val="none"/>
              </w:rPr>
              <w:t>甲方（章）</w:t>
            </w:r>
          </w:p>
          <w:p w14:paraId="7094F05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outlineLvl w:val="9"/>
              <w:rPr>
                <w:rFonts w:hint="eastAsia" w:ascii="宋体" w:hAnsi="宋体" w:eastAsia="宋体" w:cs="宋体"/>
                <w:highlight w:val="none"/>
              </w:rPr>
            </w:pPr>
          </w:p>
        </w:tc>
        <w:tc>
          <w:tcPr>
            <w:tcW w:w="2500" w:type="pct"/>
            <w:noWrap w:val="0"/>
            <w:vAlign w:val="center"/>
          </w:tcPr>
          <w:p w14:paraId="02FDF8DB">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highlight w:val="none"/>
              </w:rPr>
            </w:pPr>
            <w:r>
              <w:rPr>
                <w:rFonts w:hint="eastAsia" w:ascii="宋体" w:hAnsi="宋体" w:eastAsia="宋体" w:cs="宋体"/>
                <w:sz w:val="24"/>
                <w:highlight w:val="none"/>
              </w:rPr>
              <w:t>乙方（章）</w:t>
            </w:r>
          </w:p>
          <w:p w14:paraId="4796534A">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outlineLvl w:val="9"/>
              <w:rPr>
                <w:rFonts w:hint="eastAsia" w:ascii="宋体" w:hAnsi="宋体" w:eastAsia="宋体" w:cs="宋体"/>
                <w:highlight w:val="none"/>
              </w:rPr>
            </w:pPr>
            <w:r>
              <w:rPr>
                <w:rFonts w:hint="eastAsia" w:ascii="宋体" w:hAnsi="宋体" w:eastAsia="宋体" w:cs="宋体"/>
                <w:sz w:val="24"/>
                <w:highlight w:val="none"/>
              </w:rPr>
              <w:t xml:space="preserve"> </w:t>
            </w:r>
          </w:p>
        </w:tc>
      </w:tr>
      <w:tr w14:paraId="4F07E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16" w:hRule="atLeast"/>
          <w:jc w:val="center"/>
        </w:trPr>
        <w:tc>
          <w:tcPr>
            <w:tcW w:w="2499" w:type="pct"/>
            <w:noWrap w:val="0"/>
            <w:vAlign w:val="center"/>
          </w:tcPr>
          <w:p w14:paraId="4F83D79C">
            <w:pPr>
              <w:snapToGrid w:val="0"/>
              <w:ind w:left="1200" w:hanging="1200" w:hangingChars="500"/>
              <w:outlineLvl w:val="9"/>
              <w:rPr>
                <w:rFonts w:hint="eastAsia" w:ascii="宋体" w:hAnsi="宋体" w:eastAsia="宋体" w:cs="宋体"/>
                <w:highlight w:val="none"/>
              </w:rPr>
            </w:pPr>
            <w:r>
              <w:rPr>
                <w:rFonts w:hint="eastAsia" w:ascii="宋体" w:hAnsi="宋体" w:eastAsia="宋体" w:cs="宋体"/>
                <w:sz w:val="24"/>
                <w:highlight w:val="none"/>
              </w:rPr>
              <w:t>单位地址：</w:t>
            </w:r>
          </w:p>
        </w:tc>
        <w:tc>
          <w:tcPr>
            <w:tcW w:w="2500" w:type="pct"/>
            <w:noWrap w:val="0"/>
            <w:vAlign w:val="center"/>
          </w:tcPr>
          <w:p w14:paraId="1140411D">
            <w:pPr>
              <w:snapToGrid w:val="0"/>
              <w:outlineLvl w:val="9"/>
              <w:rPr>
                <w:rFonts w:hint="eastAsia" w:ascii="宋体" w:hAnsi="宋体" w:eastAsia="宋体" w:cs="宋体"/>
                <w:highlight w:val="none"/>
              </w:rPr>
            </w:pPr>
            <w:r>
              <w:rPr>
                <w:rFonts w:hint="eastAsia" w:ascii="宋体" w:hAnsi="宋体" w:eastAsia="宋体" w:cs="宋体"/>
                <w:sz w:val="24"/>
                <w:highlight w:val="none"/>
              </w:rPr>
              <w:t>单位地址：</w:t>
            </w:r>
          </w:p>
        </w:tc>
      </w:tr>
      <w:tr w14:paraId="25E8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76" w:hRule="atLeast"/>
          <w:jc w:val="center"/>
        </w:trPr>
        <w:tc>
          <w:tcPr>
            <w:tcW w:w="2499" w:type="pct"/>
            <w:noWrap w:val="0"/>
            <w:vAlign w:val="top"/>
          </w:tcPr>
          <w:p w14:paraId="51926511">
            <w:pPr>
              <w:snapToGrid w:val="0"/>
              <w:outlineLvl w:val="9"/>
              <w:rPr>
                <w:rFonts w:hint="eastAsia" w:ascii="宋体" w:hAnsi="宋体" w:eastAsia="宋体" w:cs="宋体"/>
                <w:highlight w:val="none"/>
              </w:rPr>
            </w:pPr>
            <w:r>
              <w:rPr>
                <w:rFonts w:hint="eastAsia" w:ascii="宋体" w:hAnsi="宋体" w:eastAsia="宋体" w:cs="宋体"/>
                <w:sz w:val="24"/>
                <w:highlight w:val="none"/>
              </w:rPr>
              <w:t>法定代表人（签字）：</w:t>
            </w:r>
          </w:p>
        </w:tc>
        <w:tc>
          <w:tcPr>
            <w:tcW w:w="2500" w:type="pct"/>
            <w:noWrap w:val="0"/>
            <w:vAlign w:val="top"/>
          </w:tcPr>
          <w:p w14:paraId="050AE344">
            <w:pPr>
              <w:snapToGrid w:val="0"/>
              <w:outlineLvl w:val="9"/>
              <w:rPr>
                <w:rFonts w:hint="eastAsia" w:ascii="宋体" w:hAnsi="宋体" w:eastAsia="宋体" w:cs="宋体"/>
                <w:highlight w:val="none"/>
              </w:rPr>
            </w:pPr>
            <w:r>
              <w:rPr>
                <w:rFonts w:hint="eastAsia" w:ascii="宋体" w:hAnsi="宋体" w:eastAsia="宋体" w:cs="宋体"/>
                <w:sz w:val="24"/>
                <w:highlight w:val="none"/>
              </w:rPr>
              <w:t>法定代表人（签字）：</w:t>
            </w:r>
          </w:p>
          <w:p w14:paraId="370535EB">
            <w:pPr>
              <w:snapToGrid w:val="0"/>
              <w:outlineLvl w:val="9"/>
              <w:rPr>
                <w:rFonts w:hint="eastAsia" w:ascii="宋体" w:hAnsi="宋体" w:eastAsia="宋体" w:cs="宋体"/>
                <w:highlight w:val="none"/>
              </w:rPr>
            </w:pPr>
          </w:p>
        </w:tc>
      </w:tr>
      <w:tr w14:paraId="58F9F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528" w:hRule="atLeast"/>
          <w:jc w:val="center"/>
        </w:trPr>
        <w:tc>
          <w:tcPr>
            <w:tcW w:w="2499" w:type="pct"/>
            <w:noWrap w:val="0"/>
            <w:vAlign w:val="top"/>
          </w:tcPr>
          <w:p w14:paraId="011F2AA1">
            <w:pPr>
              <w:snapToGrid w:val="0"/>
              <w:outlineLvl w:val="9"/>
              <w:rPr>
                <w:rFonts w:hint="eastAsia" w:ascii="宋体" w:hAnsi="宋体" w:eastAsia="宋体" w:cs="宋体"/>
                <w:sz w:val="24"/>
                <w:highlight w:val="none"/>
              </w:rPr>
            </w:pPr>
            <w:r>
              <w:rPr>
                <w:rFonts w:hint="eastAsia" w:ascii="宋体" w:hAnsi="宋体" w:eastAsia="宋体" w:cs="宋体"/>
                <w:sz w:val="24"/>
                <w:highlight w:val="none"/>
              </w:rPr>
              <w:t>授权代表（签字）：</w:t>
            </w:r>
          </w:p>
          <w:p w14:paraId="5143ADFD">
            <w:pPr>
              <w:snapToGrid w:val="0"/>
              <w:outlineLvl w:val="9"/>
              <w:rPr>
                <w:rFonts w:hint="eastAsia" w:ascii="宋体" w:hAnsi="宋体" w:eastAsia="宋体" w:cs="宋体"/>
                <w:sz w:val="24"/>
                <w:highlight w:val="none"/>
              </w:rPr>
            </w:pPr>
          </w:p>
          <w:p w14:paraId="5E38B1C6">
            <w:pPr>
              <w:snapToGrid w:val="0"/>
              <w:outlineLvl w:val="9"/>
              <w:rPr>
                <w:rFonts w:hint="eastAsia" w:ascii="宋体" w:hAnsi="宋体" w:eastAsia="宋体" w:cs="宋体"/>
                <w:sz w:val="24"/>
                <w:highlight w:val="none"/>
              </w:rPr>
            </w:pPr>
          </w:p>
        </w:tc>
        <w:tc>
          <w:tcPr>
            <w:tcW w:w="2500" w:type="pct"/>
            <w:noWrap w:val="0"/>
            <w:vAlign w:val="top"/>
          </w:tcPr>
          <w:p w14:paraId="3F8041EF">
            <w:pPr>
              <w:snapToGrid w:val="0"/>
              <w:outlineLvl w:val="9"/>
              <w:rPr>
                <w:rFonts w:hint="eastAsia" w:ascii="宋体" w:hAnsi="宋体" w:eastAsia="宋体" w:cs="宋体"/>
                <w:sz w:val="24"/>
                <w:highlight w:val="none"/>
              </w:rPr>
            </w:pPr>
            <w:r>
              <w:rPr>
                <w:rFonts w:hint="eastAsia" w:ascii="宋体" w:hAnsi="宋体" w:eastAsia="宋体" w:cs="宋体"/>
                <w:sz w:val="24"/>
                <w:highlight w:val="none"/>
              </w:rPr>
              <w:t>授权代表（签字）：</w:t>
            </w:r>
          </w:p>
        </w:tc>
      </w:tr>
      <w:tr w14:paraId="4C931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2499" w:type="pct"/>
            <w:noWrap w:val="0"/>
            <w:vAlign w:val="center"/>
          </w:tcPr>
          <w:p w14:paraId="701DFBED">
            <w:pPr>
              <w:snapToGrid w:val="0"/>
              <w:outlineLvl w:val="9"/>
              <w:rPr>
                <w:rFonts w:hint="eastAsia" w:ascii="宋体" w:hAnsi="宋体" w:eastAsia="宋体" w:cs="宋体"/>
                <w:highlight w:val="none"/>
              </w:rPr>
            </w:pPr>
            <w:r>
              <w:rPr>
                <w:rFonts w:hint="eastAsia" w:ascii="宋体" w:hAnsi="宋体" w:eastAsia="宋体" w:cs="宋体"/>
                <w:sz w:val="24"/>
                <w:highlight w:val="none"/>
              </w:rPr>
              <w:t>电话：</w:t>
            </w:r>
          </w:p>
        </w:tc>
        <w:tc>
          <w:tcPr>
            <w:tcW w:w="2500" w:type="pct"/>
            <w:noWrap w:val="0"/>
            <w:vAlign w:val="center"/>
          </w:tcPr>
          <w:p w14:paraId="66D33E19">
            <w:pPr>
              <w:snapToGrid w:val="0"/>
              <w:outlineLvl w:val="9"/>
              <w:rPr>
                <w:rFonts w:hint="eastAsia" w:ascii="宋体" w:hAnsi="宋体" w:eastAsia="宋体" w:cs="宋体"/>
                <w:highlight w:val="none"/>
              </w:rPr>
            </w:pPr>
            <w:r>
              <w:rPr>
                <w:rFonts w:hint="eastAsia" w:ascii="宋体" w:hAnsi="宋体" w:eastAsia="宋体" w:cs="宋体"/>
                <w:sz w:val="24"/>
                <w:highlight w:val="none"/>
              </w:rPr>
              <w:t>电话：</w:t>
            </w:r>
          </w:p>
        </w:tc>
      </w:tr>
      <w:tr w14:paraId="7039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24" w:hRule="atLeast"/>
          <w:jc w:val="center"/>
        </w:trPr>
        <w:tc>
          <w:tcPr>
            <w:tcW w:w="2499" w:type="pct"/>
            <w:noWrap w:val="0"/>
            <w:vAlign w:val="center"/>
          </w:tcPr>
          <w:p w14:paraId="053AAF4E">
            <w:pPr>
              <w:snapToGrid w:val="0"/>
              <w:outlineLvl w:val="9"/>
              <w:rPr>
                <w:rFonts w:hint="eastAsia" w:ascii="宋体" w:hAnsi="宋体" w:eastAsia="宋体" w:cs="宋体"/>
                <w:highlight w:val="none"/>
              </w:rPr>
            </w:pPr>
            <w:r>
              <w:rPr>
                <w:rFonts w:hint="eastAsia" w:ascii="宋体" w:hAnsi="宋体" w:eastAsia="宋体" w:cs="宋体"/>
                <w:sz w:val="24"/>
                <w:highlight w:val="none"/>
              </w:rPr>
              <w:t>开户银行：</w:t>
            </w:r>
          </w:p>
        </w:tc>
        <w:tc>
          <w:tcPr>
            <w:tcW w:w="2500" w:type="pct"/>
            <w:noWrap w:val="0"/>
            <w:vAlign w:val="center"/>
          </w:tcPr>
          <w:p w14:paraId="344910DE">
            <w:pPr>
              <w:snapToGrid w:val="0"/>
              <w:outlineLvl w:val="9"/>
              <w:rPr>
                <w:rFonts w:hint="eastAsia" w:ascii="宋体" w:hAnsi="宋体" w:eastAsia="宋体" w:cs="宋体"/>
                <w:highlight w:val="none"/>
              </w:rPr>
            </w:pPr>
            <w:r>
              <w:rPr>
                <w:rFonts w:hint="eastAsia" w:ascii="宋体" w:hAnsi="宋体" w:eastAsia="宋体" w:cs="宋体"/>
                <w:sz w:val="24"/>
                <w:highlight w:val="none"/>
              </w:rPr>
              <w:t>开户银行：</w:t>
            </w:r>
          </w:p>
        </w:tc>
      </w:tr>
      <w:tr w14:paraId="46C68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2499" w:type="pct"/>
            <w:noWrap w:val="0"/>
            <w:vAlign w:val="center"/>
          </w:tcPr>
          <w:p w14:paraId="2C2006DB">
            <w:pPr>
              <w:snapToGrid w:val="0"/>
              <w:outlineLvl w:val="9"/>
              <w:rPr>
                <w:rFonts w:hint="eastAsia" w:ascii="宋体" w:hAnsi="宋体" w:eastAsia="宋体" w:cs="宋体"/>
                <w:highlight w:val="none"/>
              </w:rPr>
            </w:pPr>
            <w:r>
              <w:rPr>
                <w:rFonts w:hint="eastAsia" w:ascii="宋体" w:hAnsi="宋体" w:eastAsia="宋体" w:cs="宋体"/>
                <w:sz w:val="24"/>
                <w:highlight w:val="none"/>
              </w:rPr>
              <w:t>账号：</w:t>
            </w:r>
          </w:p>
        </w:tc>
        <w:tc>
          <w:tcPr>
            <w:tcW w:w="2500" w:type="pct"/>
            <w:noWrap w:val="0"/>
            <w:vAlign w:val="center"/>
          </w:tcPr>
          <w:p w14:paraId="39909399">
            <w:pPr>
              <w:snapToGrid w:val="0"/>
              <w:outlineLvl w:val="9"/>
              <w:rPr>
                <w:rFonts w:hint="eastAsia" w:ascii="宋体" w:hAnsi="宋体" w:eastAsia="宋体" w:cs="宋体"/>
                <w:highlight w:val="none"/>
              </w:rPr>
            </w:pPr>
            <w:r>
              <w:rPr>
                <w:rFonts w:hint="eastAsia" w:ascii="宋体" w:hAnsi="宋体" w:eastAsia="宋体" w:cs="宋体"/>
                <w:sz w:val="24"/>
                <w:highlight w:val="none"/>
              </w:rPr>
              <w:t>账号：</w:t>
            </w:r>
          </w:p>
        </w:tc>
      </w:tr>
      <w:tr w14:paraId="0D6A9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2499" w:type="pct"/>
            <w:noWrap w:val="0"/>
            <w:vAlign w:val="center"/>
          </w:tcPr>
          <w:p w14:paraId="5072A915">
            <w:pPr>
              <w:snapToGrid w:val="0"/>
              <w:outlineLvl w:val="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合同签订日期：</w:t>
            </w:r>
          </w:p>
        </w:tc>
        <w:tc>
          <w:tcPr>
            <w:tcW w:w="2500" w:type="pct"/>
            <w:noWrap w:val="0"/>
            <w:vAlign w:val="center"/>
          </w:tcPr>
          <w:p w14:paraId="017AD69E">
            <w:pPr>
              <w:snapToGrid w:val="0"/>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合同签订日期：</w:t>
            </w:r>
          </w:p>
        </w:tc>
      </w:tr>
    </w:tbl>
    <w:p w14:paraId="6AA03B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B77F0"/>
    <w:rsid w:val="1F650AE1"/>
    <w:rsid w:val="2D2B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3302</Words>
  <Characters>3428</Characters>
  <Lines>0</Lines>
  <Paragraphs>0</Paragraphs>
  <TotalTime>9</TotalTime>
  <ScaleCrop>false</ScaleCrop>
  <LinksUpToDate>false</LinksUpToDate>
  <CharactersWithSpaces>3691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2026-02-27T02:05:00Z</dcterms:created>
  <dc:creator>陕西德信招标有限公司</dc:creator>
  <cp:lastModifiedBy>陕西德信招标有限公司</cp:lastModifiedBy>
  <dcterms:modified xsi:type="dcterms:W3CDTF">2026-07-31T09:27:45Z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B535CA73B53F41089D27C1C7982D6E39_11</vt:lpwstr>
  </property>
  <property fmtid="{D5CDD505-2E9C-101B-9397-08002B2CF9AE}" pid="4" name="KSOTemplateDocerSaveRecord">
    <vt:lpwstr>eyJoZGlkIjoiZjk1ZjRkODM4MWYzZjcwMjFlODUwMjIxNDdkOGQ4NjciLCJ1c2VySWQiOiI3MjAyODExMDQifQ==</vt:lpwstr>
  </property>
</Properties>
</file>