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版本号：ZCBN-省本级-2026-03719、XHLJZC-SX2026-047.3B120260625001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2026年度教学实验室建设项目（三）(二次)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ZCBN-省本级-2026-03719、XHLJZC-SX2026-047.3B1</w:t>
      </w:r>
      <w:r>
        <w:br/>
      </w:r>
      <w:r>
        <w:br/>
      </w:r>
      <w:r>
        <w:br/>
      </w:r>
    </w:p>
    <w:p>
      <w:pPr>
        <w:pStyle w:val="null3"/>
        <w:jc w:val="center"/>
        <w:outlineLvl w:val="2"/>
      </w:pPr>
      <w:r>
        <w:rPr>
          <w:rFonts w:ascii="仿宋_GB2312" w:hAnsi="仿宋_GB2312" w:cs="仿宋_GB2312" w:eastAsia="仿宋_GB2312"/>
          <w:sz w:val="28"/>
          <w:b/>
        </w:rPr>
        <w:t>商洛学院</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商洛学院</w:t>
      </w:r>
      <w:r>
        <w:rPr>
          <w:rFonts w:ascii="仿宋_GB2312" w:hAnsi="仿宋_GB2312" w:cs="仿宋_GB2312" w:eastAsia="仿宋_GB2312"/>
        </w:rPr>
        <w:t>委托，拟对</w:t>
      </w:r>
      <w:r>
        <w:rPr>
          <w:rFonts w:ascii="仿宋_GB2312" w:hAnsi="仿宋_GB2312" w:cs="仿宋_GB2312" w:eastAsia="仿宋_GB2312"/>
        </w:rPr>
        <w:t>2026年度教学实验室建设项目（三）(二次)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ZCBN-省本级-2026-03719、XHLJZC-SX2026-047.3B1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2026年度教学实验室建设项目（三）(二次)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工程训练中心续建；具体内容详见招标文件。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货物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2024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陕西省商洛市商州区北新街10号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0914-2329412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刘晓、毛嘉伟、樊锐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029-82525682、029-89183511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说明：1、履约担保的形式：支票、汇票、本票或者金融机构、担保机构出具的保函等非现金形式提交。 2、履约保证金的金额：合同金额的5%。 3、履约保证金交纳时间：发出中标通知书后、签订合同前。 4、履约担保有效期：至合同履行期满。 5、履约保证金退还时间、条件：采购人在项目完成且无质量安全争议后退还。 6、供应商不履行与采购人订立的合同的，履约保证金不予退还，给采购人造成的损失超过履约保证金数额的，还应当对超过部分予以赔偿。</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100万-500万按1.1%收取。下浮25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商洛学院</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商洛学院</w:t>
      </w:r>
      <w:r>
        <w:rPr>
          <w:rFonts w:ascii="仿宋_GB2312" w:hAnsi="仿宋_GB2312" w:cs="仿宋_GB2312" w:eastAsia="仿宋_GB2312"/>
        </w:rPr>
        <w:t>负责解释。除上述招标文件内容，其他内容由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联系人：刘晓、毛嘉伟、樊锐</w:t>
      </w:r>
    </w:p>
    <w:p>
      <w:pPr>
        <w:pStyle w:val="null3"/>
      </w:pPr>
      <w:r>
        <w:rPr>
          <w:rFonts w:ascii="仿宋_GB2312" w:hAnsi="仿宋_GB2312" w:cs="仿宋_GB2312" w:eastAsia="仿宋_GB2312"/>
        </w:rPr>
        <w:t>联系电话：029-82525682、029-89183511</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工程训练中心续建。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199,200.00</w:t>
      </w:r>
    </w:p>
    <w:p>
      <w:pPr>
        <w:pStyle w:val="null3"/>
      </w:pPr>
      <w:r>
        <w:rPr>
          <w:rFonts w:ascii="仿宋_GB2312" w:hAnsi="仿宋_GB2312" w:cs="仿宋_GB2312" w:eastAsia="仿宋_GB2312"/>
        </w:rPr>
        <w:t>采购包最高限价（元）: 199,200.00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工程训练中心续建项目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199,200.00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标的名称：工程训练中心续建项目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0"/>
              <w:gridCol w:w="370"/>
              <w:gridCol w:w="1448"/>
              <w:gridCol w:w="291"/>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1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规格型号</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拟增</w:t>
                  </w:r>
                </w:p>
                <w:p>
                  <w:pPr>
                    <w:pStyle w:val="null3"/>
                    <w:jc w:val="center"/>
                  </w:pPr>
                  <w:r>
                    <w:rPr>
                      <w:rFonts w:ascii="仿宋_GB2312" w:hAnsi="仿宋_GB2312" w:cs="仿宋_GB2312" w:eastAsia="仿宋_GB2312"/>
                      <w:sz w:val="21"/>
                    </w:rPr>
                    <w:t>数量</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3D打印机一（核心产品）</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1.成型技术：熔融沉积成型（FDM）</w:t>
                  </w:r>
                </w:p>
                <w:p>
                  <w:pPr>
                    <w:pStyle w:val="null3"/>
                    <w:jc w:val="left"/>
                  </w:pPr>
                  <w:r>
                    <w:rPr>
                      <w:rFonts w:ascii="仿宋_GB2312" w:hAnsi="仿宋_GB2312" w:cs="仿宋_GB2312" w:eastAsia="仿宋_GB2312"/>
                      <w:sz w:val="21"/>
                    </w:rPr>
                    <w:t>2.打印尺寸：≥256*256*256mm³</w:t>
                  </w:r>
                </w:p>
                <w:p>
                  <w:pPr>
                    <w:pStyle w:val="null3"/>
                    <w:jc w:val="left"/>
                  </w:pPr>
                  <w:r>
                    <w:rPr>
                      <w:rFonts w:ascii="仿宋_GB2312" w:hAnsi="仿宋_GB2312" w:cs="仿宋_GB2312" w:eastAsia="仿宋_GB2312"/>
                      <w:sz w:val="21"/>
                    </w:rPr>
                    <w:t>3.工具头：全金属热端、硬化钢喷嘴</w:t>
                  </w:r>
                </w:p>
                <w:p>
                  <w:pPr>
                    <w:pStyle w:val="null3"/>
                    <w:jc w:val="left"/>
                  </w:pPr>
                  <w:r>
                    <w:rPr>
                      <w:rFonts w:ascii="仿宋_GB2312" w:hAnsi="仿宋_GB2312" w:cs="仿宋_GB2312" w:eastAsia="仿宋_GB2312"/>
                      <w:sz w:val="21"/>
                    </w:rPr>
                    <w:t>4.喷嘴直径：标配0.2mm、0.4mm、0.6mm、0.8mm口径硬化钢喷嘴；</w:t>
                  </w:r>
                </w:p>
                <w:p>
                  <w:pPr>
                    <w:pStyle w:val="null3"/>
                    <w:jc w:val="left"/>
                  </w:pPr>
                  <w:r>
                    <w:rPr>
                      <w:rFonts w:ascii="仿宋_GB2312" w:hAnsi="仿宋_GB2312" w:cs="仿宋_GB2312" w:eastAsia="仿宋_GB2312"/>
                      <w:sz w:val="21"/>
                    </w:rPr>
                    <w:t>5.工具头移动速度：≥490mm/s</w:t>
                  </w:r>
                </w:p>
                <w:p>
                  <w:pPr>
                    <w:pStyle w:val="null3"/>
                    <w:jc w:val="left"/>
                  </w:pPr>
                  <w:r>
                    <w:rPr>
                      <w:rFonts w:ascii="仿宋_GB2312" w:hAnsi="仿宋_GB2312" w:cs="仿宋_GB2312" w:eastAsia="仿宋_GB2312"/>
                      <w:sz w:val="21"/>
                    </w:rPr>
                    <w:t>6.热端流速：≥25mm³/s</w:t>
                  </w:r>
                </w:p>
                <w:p>
                  <w:pPr>
                    <w:pStyle w:val="null3"/>
                    <w:jc w:val="left"/>
                  </w:pPr>
                  <w:r>
                    <w:rPr>
                      <w:rFonts w:ascii="仿宋_GB2312" w:hAnsi="仿宋_GB2312" w:cs="仿宋_GB2312" w:eastAsia="仿宋_GB2312"/>
                      <w:sz w:val="21"/>
                    </w:rPr>
                    <w:t>7.打印平台：标配双面纹理PEI打印面板</w:t>
                  </w:r>
                </w:p>
                <w:p>
                  <w:pPr>
                    <w:pStyle w:val="null3"/>
                    <w:jc w:val="left"/>
                  </w:pPr>
                  <w:r>
                    <w:rPr>
                      <w:rFonts w:ascii="仿宋_GB2312" w:hAnsi="仿宋_GB2312" w:cs="仿宋_GB2312" w:eastAsia="仿宋_GB2312"/>
                      <w:sz w:val="21"/>
                    </w:rPr>
                    <w:t>8.支持耗材类型：至少可支持打印PLA、PETG、TPU、ASA、PVA、PET、尼龙线材（PA)、聚碳酸酯线材（PC)、ABS材料等</w:t>
                  </w:r>
                </w:p>
                <w:p>
                  <w:pPr>
                    <w:pStyle w:val="null3"/>
                    <w:jc w:val="left"/>
                  </w:pPr>
                  <w:r>
                    <w:rPr>
                      <w:rFonts w:ascii="仿宋_GB2312" w:hAnsi="仿宋_GB2312" w:cs="仿宋_GB2312" w:eastAsia="仿宋_GB2312"/>
                      <w:sz w:val="21"/>
                    </w:rPr>
                    <w:t>9.传感器：内置低帧率相机，分辨率≥1920×1080，支持断电续打</w:t>
                  </w:r>
                </w:p>
                <w:p>
                  <w:pPr>
                    <w:pStyle w:val="null3"/>
                    <w:jc w:val="left"/>
                  </w:pPr>
                  <w:r>
                    <w:rPr>
                      <w:rFonts w:ascii="仿宋_GB2312" w:hAnsi="仿宋_GB2312" w:cs="仿宋_GB2312" w:eastAsia="仿宋_GB2312"/>
                      <w:sz w:val="21"/>
                    </w:rPr>
                    <w:t>10.显示屏：≥5英寸，分辨率≥854×480</w:t>
                  </w:r>
                </w:p>
                <w:p>
                  <w:pPr>
                    <w:pStyle w:val="null3"/>
                    <w:jc w:val="left"/>
                  </w:pPr>
                  <w:r>
                    <w:rPr>
                      <w:rFonts w:ascii="仿宋_GB2312" w:hAnsi="仿宋_GB2312" w:cs="仿宋_GB2312" w:eastAsia="仿宋_GB2312"/>
                      <w:sz w:val="21"/>
                    </w:rPr>
                    <w:t>11.联网方式：支持Wi-Fi、Bluetooth通信，操作界面支持按键、手机端APP、电脑端应用三种形式；以通过APP和电脑端应用远程操控打印机和观看打印机视频</w:t>
                  </w:r>
                </w:p>
                <w:p>
                  <w:pPr>
                    <w:pStyle w:val="null3"/>
                    <w:jc w:val="left"/>
                  </w:pPr>
                  <w:r>
                    <w:rPr>
                      <w:rFonts w:ascii="仿宋_GB2312" w:hAnsi="仿宋_GB2312" w:cs="仿宋_GB2312" w:eastAsia="仿宋_GB2312"/>
                      <w:sz w:val="21"/>
                    </w:rPr>
                    <w:t>12.配套3D打印切片软件，全中文界面，切片、控制打印、操作一体（提供功能截图证明，提供注有切片软件的软件著作权证书）</w:t>
                  </w:r>
                </w:p>
                <w:p>
                  <w:pPr>
                    <w:pStyle w:val="null3"/>
                    <w:jc w:val="left"/>
                  </w:pPr>
                  <w:r>
                    <w:rPr>
                      <w:rFonts w:ascii="仿宋_GB2312" w:hAnsi="仿宋_GB2312" w:cs="仿宋_GB2312" w:eastAsia="仿宋_GB2312"/>
                      <w:sz w:val="21"/>
                    </w:rPr>
                    <w:t>13.配套自动供料系统，可支持多色模型打印</w:t>
                  </w:r>
                </w:p>
                <w:p>
                  <w:pPr>
                    <w:pStyle w:val="null3"/>
                    <w:jc w:val="left"/>
                  </w:pPr>
                  <w:r>
                    <w:rPr>
                      <w:rFonts w:ascii="仿宋_GB2312" w:hAnsi="仿宋_GB2312" w:cs="仿宋_GB2312" w:eastAsia="仿宋_GB2312"/>
                      <w:sz w:val="21"/>
                    </w:rPr>
                    <w:t>14.总配置相应耗材和配件：</w:t>
                  </w:r>
                </w:p>
                <w:p>
                  <w:pPr>
                    <w:pStyle w:val="null3"/>
                    <w:jc w:val="left"/>
                  </w:pPr>
                  <w:r>
                    <w:rPr>
                      <w:rFonts w:ascii="仿宋_GB2312" w:hAnsi="仿宋_GB2312" w:cs="仿宋_GB2312" w:eastAsia="仿宋_GB2312"/>
                      <w:sz w:val="21"/>
                    </w:rPr>
                    <w:t>耗材PLA（含料盘）</w:t>
                  </w:r>
                </w:p>
                <w:p>
                  <w:pPr>
                    <w:pStyle w:val="null3"/>
                    <w:jc w:val="left"/>
                  </w:pPr>
                  <w:r>
                    <w:rPr>
                      <w:rFonts w:ascii="仿宋_GB2312" w:hAnsi="仿宋_GB2312" w:cs="仿宋_GB2312" w:eastAsia="仿宋_GB2312"/>
                      <w:sz w:val="21"/>
                    </w:rPr>
                    <w:t>打印面板：纹理+光面PEI打印板</w:t>
                  </w:r>
                </w:p>
                <w:p>
                  <w:pPr>
                    <w:pStyle w:val="null3"/>
                    <w:jc w:val="left"/>
                  </w:pPr>
                  <w:r>
                    <w:rPr>
                      <w:rFonts w:ascii="仿宋_GB2312" w:hAnsi="仿宋_GB2312" w:cs="仿宋_GB2312" w:eastAsia="仿宋_GB2312"/>
                      <w:sz w:val="21"/>
                    </w:rPr>
                    <w:t>热床固体胶棒</w:t>
                  </w:r>
                </w:p>
                <w:p>
                  <w:pPr>
                    <w:pStyle w:val="null3"/>
                    <w:jc w:val="left"/>
                  </w:pPr>
                  <w:r>
                    <w:rPr>
                      <w:rFonts w:ascii="仿宋_GB2312" w:hAnsi="仿宋_GB2312" w:cs="仿宋_GB2312" w:eastAsia="仿宋_GB2312"/>
                      <w:sz w:val="21"/>
                    </w:rPr>
                    <w:t>XY轴同步带</w:t>
                  </w:r>
                </w:p>
                <w:p>
                  <w:pPr>
                    <w:pStyle w:val="null3"/>
                    <w:jc w:val="left"/>
                  </w:pPr>
                  <w:r>
                    <w:rPr>
                      <w:rFonts w:ascii="仿宋_GB2312" w:hAnsi="仿宋_GB2312" w:cs="仿宋_GB2312" w:eastAsia="仿宋_GB2312"/>
                      <w:sz w:val="21"/>
                    </w:rPr>
                    <w:t>热端散热风扇</w:t>
                  </w:r>
                </w:p>
                <w:p>
                  <w:pPr>
                    <w:pStyle w:val="null3"/>
                    <w:jc w:val="left"/>
                  </w:pPr>
                  <w:r>
                    <w:rPr>
                      <w:rFonts w:ascii="仿宋_GB2312" w:hAnsi="仿宋_GB2312" w:cs="仿宋_GB2312" w:eastAsia="仿宋_GB2312"/>
                      <w:sz w:val="21"/>
                    </w:rPr>
                    <w:t>喷嘴全金属热端套装</w:t>
                  </w:r>
                </w:p>
                <w:p>
                  <w:pPr>
                    <w:pStyle w:val="null3"/>
                    <w:jc w:val="both"/>
                  </w:pPr>
                  <w:r>
                    <w:rPr>
                      <w:rFonts w:ascii="仿宋_GB2312" w:hAnsi="仿宋_GB2312" w:cs="仿宋_GB2312" w:eastAsia="仿宋_GB2312"/>
                      <w:sz w:val="21"/>
                    </w:rPr>
                    <w:t>15.安装要求：须负责完成现有同类设备及新建设备的平台适配工作，并完成配套配电相关工作。</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3D打印机二</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1.成型技术：熔融沉积成型（FDM）</w:t>
                  </w:r>
                </w:p>
                <w:p>
                  <w:pPr>
                    <w:pStyle w:val="null3"/>
                    <w:jc w:val="left"/>
                  </w:pPr>
                  <w:r>
                    <w:rPr>
                      <w:rFonts w:ascii="仿宋_GB2312" w:hAnsi="仿宋_GB2312" w:cs="仿宋_GB2312" w:eastAsia="仿宋_GB2312"/>
                      <w:sz w:val="21"/>
                    </w:rPr>
                    <w:t>2.打印尺寸：≥256*256*256mm³</w:t>
                  </w:r>
                </w:p>
                <w:p>
                  <w:pPr>
                    <w:pStyle w:val="null3"/>
                    <w:jc w:val="left"/>
                  </w:pPr>
                  <w:r>
                    <w:rPr>
                      <w:rFonts w:ascii="仿宋_GB2312" w:hAnsi="仿宋_GB2312" w:cs="仿宋_GB2312" w:eastAsia="仿宋_GB2312"/>
                      <w:sz w:val="21"/>
                    </w:rPr>
                    <w:t>3.工具头：全金属热端、硬化钢喷嘴</w:t>
                  </w:r>
                </w:p>
                <w:p>
                  <w:pPr>
                    <w:pStyle w:val="null3"/>
                    <w:jc w:val="left"/>
                  </w:pPr>
                  <w:r>
                    <w:rPr>
                      <w:rFonts w:ascii="仿宋_GB2312" w:hAnsi="仿宋_GB2312" w:cs="仿宋_GB2312" w:eastAsia="仿宋_GB2312"/>
                      <w:sz w:val="21"/>
                    </w:rPr>
                    <w:t>4.喷嘴直径：标配0.2mm、0.4mm、0.6mm、0.8mm口径硬化钢喷嘴</w:t>
                  </w:r>
                </w:p>
                <w:p>
                  <w:pPr>
                    <w:pStyle w:val="null3"/>
                    <w:jc w:val="left"/>
                  </w:pPr>
                  <w:r>
                    <w:rPr>
                      <w:rFonts w:ascii="仿宋_GB2312" w:hAnsi="仿宋_GB2312" w:cs="仿宋_GB2312" w:eastAsia="仿宋_GB2312"/>
                      <w:sz w:val="21"/>
                    </w:rPr>
                    <w:t>5.工具头移动速度：≥490mm/s</w:t>
                  </w:r>
                </w:p>
                <w:p>
                  <w:pPr>
                    <w:pStyle w:val="null3"/>
                    <w:jc w:val="left"/>
                  </w:pPr>
                  <w:r>
                    <w:rPr>
                      <w:rFonts w:ascii="仿宋_GB2312" w:hAnsi="仿宋_GB2312" w:cs="仿宋_GB2312" w:eastAsia="仿宋_GB2312"/>
                      <w:sz w:val="21"/>
                    </w:rPr>
                    <w:t>6.热端流速：≥25mm³/s</w:t>
                  </w:r>
                </w:p>
                <w:p>
                  <w:pPr>
                    <w:pStyle w:val="null3"/>
                    <w:jc w:val="left"/>
                  </w:pPr>
                  <w:r>
                    <w:rPr>
                      <w:rFonts w:ascii="仿宋_GB2312" w:hAnsi="仿宋_GB2312" w:cs="仿宋_GB2312" w:eastAsia="仿宋_GB2312"/>
                      <w:sz w:val="21"/>
                    </w:rPr>
                    <w:t>7.打印平台：标配双面纹理PEI打印面板</w:t>
                  </w:r>
                </w:p>
                <w:p>
                  <w:pPr>
                    <w:pStyle w:val="null3"/>
                    <w:jc w:val="left"/>
                  </w:pPr>
                  <w:r>
                    <w:rPr>
                      <w:rFonts w:ascii="仿宋_GB2312" w:hAnsi="仿宋_GB2312" w:cs="仿宋_GB2312" w:eastAsia="仿宋_GB2312"/>
                      <w:sz w:val="21"/>
                    </w:rPr>
                    <w:t>8.支持耗材类型：至少可支持打印PLA、PETG、TPU、ASA、PVA、PET、尼龙线材（PA)、聚碳酸酯线材（PC)、ABS材料等</w:t>
                  </w:r>
                </w:p>
                <w:p>
                  <w:pPr>
                    <w:pStyle w:val="null3"/>
                    <w:jc w:val="left"/>
                  </w:pPr>
                  <w:r>
                    <w:rPr>
                      <w:rFonts w:ascii="仿宋_GB2312" w:hAnsi="仿宋_GB2312" w:cs="仿宋_GB2312" w:eastAsia="仿宋_GB2312"/>
                      <w:sz w:val="21"/>
                    </w:rPr>
                    <w:t>9.传感器：内置低帧率相机，分辨率≥1920×1080，支持断电续打</w:t>
                  </w:r>
                </w:p>
                <w:p>
                  <w:pPr>
                    <w:pStyle w:val="null3"/>
                    <w:jc w:val="left"/>
                  </w:pPr>
                  <w:r>
                    <w:rPr>
                      <w:rFonts w:ascii="仿宋_GB2312" w:hAnsi="仿宋_GB2312" w:cs="仿宋_GB2312" w:eastAsia="仿宋_GB2312"/>
                      <w:sz w:val="21"/>
                    </w:rPr>
                    <w:t>10.显示屏：≥5英寸，分辨率≥854×480</w:t>
                  </w:r>
                </w:p>
                <w:p>
                  <w:pPr>
                    <w:pStyle w:val="null3"/>
                    <w:jc w:val="left"/>
                  </w:pPr>
                  <w:r>
                    <w:rPr>
                      <w:rFonts w:ascii="仿宋_GB2312" w:hAnsi="仿宋_GB2312" w:cs="仿宋_GB2312" w:eastAsia="仿宋_GB2312"/>
                      <w:sz w:val="21"/>
                    </w:rPr>
                    <w:t>11.联网方式：支持Wi-Fi、Bluetooth通信，操作界面支持按键、手机端APP、电脑端应用三种形式；以通过APP和电脑端应用远程操控打印机和观看打印机视频</w:t>
                  </w:r>
                </w:p>
                <w:p>
                  <w:pPr>
                    <w:pStyle w:val="null3"/>
                    <w:jc w:val="left"/>
                  </w:pPr>
                  <w:r>
                    <w:rPr>
                      <w:rFonts w:ascii="仿宋_GB2312" w:hAnsi="仿宋_GB2312" w:cs="仿宋_GB2312" w:eastAsia="仿宋_GB2312"/>
                      <w:sz w:val="21"/>
                    </w:rPr>
                    <w:t>12.配套3D打印切片软件，全中文界面，切片、控制打印、操作一体（提供功能截图证明，提供注有切片软件的软件著作权证书）</w:t>
                  </w:r>
                </w:p>
                <w:p>
                  <w:pPr>
                    <w:pStyle w:val="null3"/>
                    <w:jc w:val="left"/>
                  </w:pPr>
                  <w:r>
                    <w:rPr>
                      <w:rFonts w:ascii="仿宋_GB2312" w:hAnsi="仿宋_GB2312" w:cs="仿宋_GB2312" w:eastAsia="仿宋_GB2312"/>
                      <w:sz w:val="21"/>
                    </w:rPr>
                    <w:t>13.总配置相应耗材和配件：</w:t>
                  </w:r>
                </w:p>
                <w:p>
                  <w:pPr>
                    <w:pStyle w:val="null3"/>
                    <w:jc w:val="left"/>
                  </w:pPr>
                  <w:r>
                    <w:rPr>
                      <w:rFonts w:ascii="仿宋_GB2312" w:hAnsi="仿宋_GB2312" w:cs="仿宋_GB2312" w:eastAsia="仿宋_GB2312"/>
                      <w:sz w:val="21"/>
                    </w:rPr>
                    <w:t>耗材PLA（含料盘）</w:t>
                  </w:r>
                </w:p>
                <w:p>
                  <w:pPr>
                    <w:pStyle w:val="null3"/>
                    <w:jc w:val="left"/>
                  </w:pPr>
                  <w:r>
                    <w:rPr>
                      <w:rFonts w:ascii="仿宋_GB2312" w:hAnsi="仿宋_GB2312" w:cs="仿宋_GB2312" w:eastAsia="仿宋_GB2312"/>
                      <w:sz w:val="21"/>
                    </w:rPr>
                    <w:t>打印面板：纹理+光面PEI打印板</w:t>
                  </w:r>
                </w:p>
                <w:p>
                  <w:pPr>
                    <w:pStyle w:val="null3"/>
                    <w:jc w:val="left"/>
                  </w:pPr>
                  <w:r>
                    <w:rPr>
                      <w:rFonts w:ascii="仿宋_GB2312" w:hAnsi="仿宋_GB2312" w:cs="仿宋_GB2312" w:eastAsia="仿宋_GB2312"/>
                      <w:sz w:val="21"/>
                    </w:rPr>
                    <w:t>热床固体胶棒</w:t>
                  </w:r>
                </w:p>
                <w:p>
                  <w:pPr>
                    <w:pStyle w:val="null3"/>
                    <w:jc w:val="left"/>
                  </w:pPr>
                  <w:r>
                    <w:rPr>
                      <w:rFonts w:ascii="仿宋_GB2312" w:hAnsi="仿宋_GB2312" w:cs="仿宋_GB2312" w:eastAsia="仿宋_GB2312"/>
                      <w:sz w:val="21"/>
                    </w:rPr>
                    <w:t>XY轴同步带</w:t>
                  </w:r>
                </w:p>
                <w:p>
                  <w:pPr>
                    <w:pStyle w:val="null3"/>
                    <w:jc w:val="left"/>
                  </w:pPr>
                  <w:r>
                    <w:rPr>
                      <w:rFonts w:ascii="仿宋_GB2312" w:hAnsi="仿宋_GB2312" w:cs="仿宋_GB2312" w:eastAsia="仿宋_GB2312"/>
                      <w:sz w:val="21"/>
                    </w:rPr>
                    <w:t>热端散热风扇</w:t>
                  </w:r>
                </w:p>
                <w:p>
                  <w:pPr>
                    <w:pStyle w:val="null3"/>
                    <w:jc w:val="left"/>
                  </w:pPr>
                  <w:r>
                    <w:rPr>
                      <w:rFonts w:ascii="仿宋_GB2312" w:hAnsi="仿宋_GB2312" w:cs="仿宋_GB2312" w:eastAsia="仿宋_GB2312"/>
                      <w:sz w:val="21"/>
                    </w:rPr>
                    <w:t>喷嘴全金属热端套装</w:t>
                  </w:r>
                </w:p>
                <w:p>
                  <w:pPr>
                    <w:pStyle w:val="null3"/>
                    <w:jc w:val="both"/>
                  </w:pPr>
                  <w:r>
                    <w:rPr>
                      <w:rFonts w:ascii="仿宋_GB2312" w:hAnsi="仿宋_GB2312" w:cs="仿宋_GB2312" w:eastAsia="仿宋_GB2312"/>
                      <w:sz w:val="21"/>
                    </w:rPr>
                    <w:t>14.安装要求：须负责完成现有同类设备及新建设备的平台适配工作，并完成配套配电相关工作。</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高性能工作站</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1.品牌：国产</w:t>
                  </w:r>
                </w:p>
                <w:p>
                  <w:pPr>
                    <w:pStyle w:val="null3"/>
                    <w:jc w:val="left"/>
                  </w:pPr>
                  <w:r>
                    <w:rPr>
                      <w:rFonts w:ascii="仿宋_GB2312" w:hAnsi="仿宋_GB2312" w:cs="仿宋_GB2312" w:eastAsia="仿宋_GB2312"/>
                      <w:sz w:val="21"/>
                    </w:rPr>
                    <w:t>2.处理器：性能不低于14代intel i5</w:t>
                  </w:r>
                </w:p>
                <w:p>
                  <w:pPr>
                    <w:pStyle w:val="null3"/>
                    <w:jc w:val="left"/>
                  </w:pPr>
                  <w:r>
                    <w:rPr>
                      <w:rFonts w:ascii="仿宋_GB2312" w:hAnsi="仿宋_GB2312" w:cs="仿宋_GB2312" w:eastAsia="仿宋_GB2312"/>
                      <w:sz w:val="21"/>
                    </w:rPr>
                    <w:t>3.硬盘容量：≥1T SSD</w:t>
                  </w:r>
                </w:p>
                <w:p>
                  <w:pPr>
                    <w:pStyle w:val="null3"/>
                    <w:jc w:val="left"/>
                  </w:pPr>
                  <w:r>
                    <w:rPr>
                      <w:rFonts w:ascii="仿宋_GB2312" w:hAnsi="仿宋_GB2312" w:cs="仿宋_GB2312" w:eastAsia="仿宋_GB2312"/>
                      <w:sz w:val="21"/>
                    </w:rPr>
                    <w:t>4.内存容量：≥32GB</w:t>
                  </w:r>
                </w:p>
                <w:p>
                  <w:pPr>
                    <w:pStyle w:val="null3"/>
                    <w:jc w:val="left"/>
                  </w:pPr>
                  <w:r>
                    <w:rPr>
                      <w:rFonts w:ascii="仿宋_GB2312" w:hAnsi="仿宋_GB2312" w:cs="仿宋_GB2312" w:eastAsia="仿宋_GB2312"/>
                      <w:sz w:val="21"/>
                    </w:rPr>
                    <w:t>5.显卡类型：集成显卡</w:t>
                  </w:r>
                </w:p>
                <w:p>
                  <w:pPr>
                    <w:pStyle w:val="null3"/>
                    <w:jc w:val="left"/>
                  </w:pPr>
                  <w:r>
                    <w:rPr>
                      <w:rFonts w:ascii="仿宋_GB2312" w:hAnsi="仿宋_GB2312" w:cs="仿宋_GB2312" w:eastAsia="仿宋_GB2312"/>
                      <w:sz w:val="21"/>
                    </w:rPr>
                    <w:t>6.显示屏尺寸：≥23英寸</w:t>
                  </w:r>
                </w:p>
                <w:p>
                  <w:pPr>
                    <w:pStyle w:val="null3"/>
                    <w:jc w:val="left"/>
                  </w:pPr>
                  <w:r>
                    <w:rPr>
                      <w:rFonts w:ascii="仿宋_GB2312" w:hAnsi="仿宋_GB2312" w:cs="仿宋_GB2312" w:eastAsia="仿宋_GB2312"/>
                      <w:sz w:val="21"/>
                    </w:rPr>
                    <w:t>7.显示屏分辨率：≥1920*1080</w:t>
                  </w:r>
                </w:p>
                <w:p>
                  <w:pPr>
                    <w:pStyle w:val="null3"/>
                    <w:jc w:val="left"/>
                  </w:pPr>
                  <w:r>
                    <w:rPr>
                      <w:rFonts w:ascii="仿宋_GB2312" w:hAnsi="仿宋_GB2312" w:cs="仿宋_GB2312" w:eastAsia="仿宋_GB2312"/>
                      <w:sz w:val="21"/>
                    </w:rPr>
                    <w:t>8.含键鼠</w:t>
                  </w:r>
                </w:p>
                <w:p>
                  <w:pPr>
                    <w:pStyle w:val="null3"/>
                    <w:jc w:val="both"/>
                  </w:pPr>
                  <w:r>
                    <w:rPr>
                      <w:rFonts w:ascii="仿宋_GB2312" w:hAnsi="仿宋_GB2312" w:cs="仿宋_GB2312" w:eastAsia="仿宋_GB2312"/>
                      <w:sz w:val="21"/>
                    </w:rPr>
                    <w:t>9.安装要求：负责完成现有设备及新建设备的配套配电相关工作</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可视化终端</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1.尺寸：≥100寸</w:t>
                  </w:r>
                </w:p>
                <w:p>
                  <w:pPr>
                    <w:pStyle w:val="null3"/>
                    <w:jc w:val="left"/>
                  </w:pPr>
                  <w:r>
                    <w:rPr>
                      <w:rFonts w:ascii="仿宋_GB2312" w:hAnsi="仿宋_GB2312" w:cs="仿宋_GB2312" w:eastAsia="仿宋_GB2312"/>
                      <w:sz w:val="21"/>
                    </w:rPr>
                    <w:t>2.分辨率：≥4K（3840*2160）</w:t>
                  </w:r>
                </w:p>
                <w:p>
                  <w:pPr>
                    <w:pStyle w:val="null3"/>
                    <w:jc w:val="left"/>
                  </w:pPr>
                  <w:r>
                    <w:rPr>
                      <w:rFonts w:ascii="仿宋_GB2312" w:hAnsi="仿宋_GB2312" w:cs="仿宋_GB2312" w:eastAsia="仿宋_GB2312"/>
                      <w:sz w:val="21"/>
                    </w:rPr>
                    <w:t>3.屏幕比例：16:9</w:t>
                  </w:r>
                </w:p>
                <w:p>
                  <w:pPr>
                    <w:pStyle w:val="null3"/>
                    <w:jc w:val="left"/>
                  </w:pPr>
                  <w:r>
                    <w:rPr>
                      <w:rFonts w:ascii="仿宋_GB2312" w:hAnsi="仿宋_GB2312" w:cs="仿宋_GB2312" w:eastAsia="仿宋_GB2312"/>
                      <w:sz w:val="21"/>
                    </w:rPr>
                    <w:t>4.背光方式：直下式/DLED；</w:t>
                  </w:r>
                </w:p>
                <w:p>
                  <w:pPr>
                    <w:pStyle w:val="null3"/>
                    <w:jc w:val="left"/>
                  </w:pPr>
                  <w:r>
                    <w:rPr>
                      <w:rFonts w:ascii="仿宋_GB2312" w:hAnsi="仿宋_GB2312" w:cs="仿宋_GB2312" w:eastAsia="仿宋_GB2312"/>
                      <w:sz w:val="21"/>
                    </w:rPr>
                    <w:t>5.对比度：5000:1；</w:t>
                  </w:r>
                </w:p>
                <w:p>
                  <w:pPr>
                    <w:pStyle w:val="null3"/>
                    <w:jc w:val="left"/>
                  </w:pPr>
                  <w:r>
                    <w:rPr>
                      <w:rFonts w:ascii="仿宋_GB2312" w:hAnsi="仿宋_GB2312" w:cs="仿宋_GB2312" w:eastAsia="仿宋_GB2312"/>
                      <w:sz w:val="21"/>
                    </w:rPr>
                    <w:t>6.可视角度：178/178度；</w:t>
                  </w:r>
                </w:p>
                <w:p>
                  <w:pPr>
                    <w:pStyle w:val="null3"/>
                    <w:jc w:val="left"/>
                  </w:pPr>
                  <w:r>
                    <w:rPr>
                      <w:rFonts w:ascii="仿宋_GB2312" w:hAnsi="仿宋_GB2312" w:cs="仿宋_GB2312" w:eastAsia="仿宋_GB2312"/>
                      <w:sz w:val="21"/>
                    </w:rPr>
                    <w:t>7.响应时间：≤6.5ms</w:t>
                  </w:r>
                </w:p>
                <w:p>
                  <w:pPr>
                    <w:pStyle w:val="null3"/>
                    <w:jc w:val="left"/>
                  </w:pPr>
                  <w:r>
                    <w:rPr>
                      <w:rFonts w:ascii="仿宋_GB2312" w:hAnsi="仿宋_GB2312" w:cs="仿宋_GB2312" w:eastAsia="仿宋_GB2312"/>
                      <w:sz w:val="21"/>
                    </w:rPr>
                    <w:t>8.屏幕亮度：≥450cd/㎡；</w:t>
                  </w:r>
                </w:p>
                <w:p>
                  <w:pPr>
                    <w:pStyle w:val="null3"/>
                    <w:jc w:val="left"/>
                  </w:pPr>
                  <w:r>
                    <w:rPr>
                      <w:rFonts w:ascii="仿宋_GB2312" w:hAnsi="仿宋_GB2312" w:cs="仿宋_GB2312" w:eastAsia="仿宋_GB2312"/>
                      <w:sz w:val="21"/>
                    </w:rPr>
                    <w:t>9.峰值亮度：800.000；</w:t>
                  </w:r>
                </w:p>
                <w:p>
                  <w:pPr>
                    <w:pStyle w:val="null3"/>
                    <w:jc w:val="left"/>
                  </w:pPr>
                  <w:r>
                    <w:rPr>
                      <w:rFonts w:ascii="仿宋_GB2312" w:hAnsi="仿宋_GB2312" w:cs="仿宋_GB2312" w:eastAsia="仿宋_GB2312"/>
                      <w:sz w:val="21"/>
                    </w:rPr>
                    <w:t>10.色准：1.66</w:t>
                  </w:r>
                </w:p>
                <w:p>
                  <w:pPr>
                    <w:pStyle w:val="null3"/>
                    <w:jc w:val="left"/>
                  </w:pPr>
                  <w:r>
                    <w:rPr>
                      <w:rFonts w:ascii="仿宋_GB2312" w:hAnsi="仿宋_GB2312" w:cs="仿宋_GB2312" w:eastAsia="仿宋_GB2312"/>
                      <w:sz w:val="21"/>
                    </w:rPr>
                    <w:t>11.广色域：124% sRGB；</w:t>
                  </w:r>
                </w:p>
                <w:p>
                  <w:pPr>
                    <w:pStyle w:val="null3"/>
                    <w:jc w:val="left"/>
                  </w:pPr>
                  <w:r>
                    <w:rPr>
                      <w:rFonts w:ascii="仿宋_GB2312" w:hAnsi="仿宋_GB2312" w:cs="仿宋_GB2312" w:eastAsia="仿宋_GB2312"/>
                      <w:sz w:val="21"/>
                    </w:rPr>
                    <w:t>12.屏占比：97.26%；</w:t>
                  </w:r>
                </w:p>
                <w:p>
                  <w:pPr>
                    <w:pStyle w:val="null3"/>
                    <w:jc w:val="left"/>
                  </w:pPr>
                  <w:r>
                    <w:rPr>
                      <w:rFonts w:ascii="仿宋_GB2312" w:hAnsi="仿宋_GB2312" w:cs="仿宋_GB2312" w:eastAsia="仿宋_GB2312"/>
                      <w:sz w:val="21"/>
                    </w:rPr>
                    <w:t>13.硬件配置：不低于CPU A75*2+A55*2 GPU Imagenation-BXE RAM 4GB ROM 128GB；</w:t>
                  </w:r>
                </w:p>
                <w:p>
                  <w:pPr>
                    <w:pStyle w:val="null3"/>
                    <w:jc w:val="left"/>
                  </w:pPr>
                  <w:r>
                    <w:rPr>
                      <w:rFonts w:ascii="仿宋_GB2312" w:hAnsi="仿宋_GB2312" w:cs="仿宋_GB2312" w:eastAsia="仿宋_GB2312"/>
                      <w:sz w:val="21"/>
                    </w:rPr>
                    <w:t>14.网络功能：有线/WiFi；</w:t>
                  </w:r>
                </w:p>
                <w:p>
                  <w:pPr>
                    <w:pStyle w:val="null3"/>
                    <w:jc w:val="left"/>
                  </w:pPr>
                  <w:r>
                    <w:rPr>
                      <w:rFonts w:ascii="仿宋_GB2312" w:hAnsi="仿宋_GB2312" w:cs="仿宋_GB2312" w:eastAsia="仿宋_GB2312"/>
                      <w:sz w:val="21"/>
                    </w:rPr>
                    <w:t>15.机身接口：至少包括HDMI接口 HDMI2.0×1、HDMI2.0×2、AV×1、以太网×1、USB2.0×1、USB3.0×1、同轴音频输出×1、RF接口×1，调试串口×1；</w:t>
                  </w:r>
                </w:p>
                <w:p>
                  <w:pPr>
                    <w:pStyle w:val="null3"/>
                    <w:jc w:val="left"/>
                  </w:pPr>
                  <w:r>
                    <w:rPr>
                      <w:rFonts w:ascii="仿宋_GB2312" w:hAnsi="仿宋_GB2312" w:cs="仿宋_GB2312" w:eastAsia="仿宋_GB2312"/>
                      <w:sz w:val="21"/>
                    </w:rPr>
                    <w:t>16.产品功耗：450W；</w:t>
                  </w:r>
                </w:p>
                <w:p>
                  <w:pPr>
                    <w:pStyle w:val="null3"/>
                    <w:jc w:val="left"/>
                  </w:pPr>
                  <w:r>
                    <w:rPr>
                      <w:rFonts w:ascii="仿宋_GB2312" w:hAnsi="仿宋_GB2312" w:cs="仿宋_GB2312" w:eastAsia="仿宋_GB2312"/>
                      <w:sz w:val="21"/>
                    </w:rPr>
                    <w:t>17.待机功耗：＜0.5W；</w:t>
                  </w:r>
                </w:p>
                <w:p>
                  <w:pPr>
                    <w:pStyle w:val="null3"/>
                    <w:jc w:val="left"/>
                  </w:pPr>
                  <w:r>
                    <w:rPr>
                      <w:rFonts w:ascii="仿宋_GB2312" w:hAnsi="仿宋_GB2312" w:cs="仿宋_GB2312" w:eastAsia="仿宋_GB2312"/>
                      <w:sz w:val="21"/>
                    </w:rPr>
                    <w:t>18.移动支架：承重＞90㎏，最大适用于110英寸。</w:t>
                  </w:r>
                </w:p>
                <w:p>
                  <w:pPr>
                    <w:pStyle w:val="null3"/>
                    <w:jc w:val="left"/>
                  </w:pPr>
                  <w:r>
                    <w:rPr>
                      <w:rFonts w:ascii="仿宋_GB2312" w:hAnsi="仿宋_GB2312" w:cs="仿宋_GB2312" w:eastAsia="仿宋_GB2312"/>
                      <w:sz w:val="21"/>
                    </w:rPr>
                    <w:t>19.配置要求：可移动落地支架、翻页笔和投屏器</w:t>
                  </w:r>
                </w:p>
                <w:p>
                  <w:pPr>
                    <w:pStyle w:val="null3"/>
                    <w:jc w:val="both"/>
                  </w:pPr>
                  <w:r>
                    <w:rPr>
                      <w:rFonts w:ascii="仿宋_GB2312" w:hAnsi="仿宋_GB2312" w:cs="仿宋_GB2312" w:eastAsia="仿宋_GB2312"/>
                      <w:sz w:val="21"/>
                    </w:rPr>
                    <w:t>20.安装要求：负责完成设备的配电和网络通讯相关工作。</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笔记本电脑</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1.品牌：国产</w:t>
                  </w:r>
                </w:p>
                <w:p>
                  <w:pPr>
                    <w:pStyle w:val="null3"/>
                    <w:jc w:val="left"/>
                  </w:pPr>
                  <w:r>
                    <w:rPr>
                      <w:rFonts w:ascii="仿宋_GB2312" w:hAnsi="仿宋_GB2312" w:cs="仿宋_GB2312" w:eastAsia="仿宋_GB2312"/>
                      <w:sz w:val="21"/>
                    </w:rPr>
                    <w:t>2内存容量：≥32 GB</w:t>
                  </w:r>
                </w:p>
                <w:p>
                  <w:pPr>
                    <w:pStyle w:val="null3"/>
                    <w:jc w:val="left"/>
                  </w:pPr>
                  <w:r>
                    <w:rPr>
                      <w:rFonts w:ascii="仿宋_GB2312" w:hAnsi="仿宋_GB2312" w:cs="仿宋_GB2312" w:eastAsia="仿宋_GB2312"/>
                      <w:sz w:val="21"/>
                    </w:rPr>
                    <w:t>3.硬盘容量：≥1T SSD</w:t>
                  </w:r>
                </w:p>
                <w:p>
                  <w:pPr>
                    <w:pStyle w:val="null3"/>
                    <w:jc w:val="left"/>
                  </w:pPr>
                  <w:r>
                    <w:rPr>
                      <w:rFonts w:ascii="仿宋_GB2312" w:hAnsi="仿宋_GB2312" w:cs="仿宋_GB2312" w:eastAsia="仿宋_GB2312"/>
                      <w:sz w:val="21"/>
                    </w:rPr>
                    <w:t>4.处理器：性能不低于14代intel i5</w:t>
                  </w:r>
                </w:p>
                <w:p>
                  <w:pPr>
                    <w:pStyle w:val="null3"/>
                    <w:jc w:val="left"/>
                  </w:pPr>
                  <w:r>
                    <w:rPr>
                      <w:rFonts w:ascii="仿宋_GB2312" w:hAnsi="仿宋_GB2312" w:cs="仿宋_GB2312" w:eastAsia="仿宋_GB2312"/>
                      <w:sz w:val="21"/>
                    </w:rPr>
                    <w:t>5.屏幕分辨率：≥1920*1080</w:t>
                  </w:r>
                </w:p>
                <w:p>
                  <w:pPr>
                    <w:pStyle w:val="null3"/>
                    <w:jc w:val="both"/>
                  </w:pPr>
                  <w:r>
                    <w:rPr>
                      <w:rFonts w:ascii="仿宋_GB2312" w:hAnsi="仿宋_GB2312" w:cs="仿宋_GB2312" w:eastAsia="仿宋_GB2312"/>
                      <w:sz w:val="21"/>
                    </w:rPr>
                    <w:t>6.屏幕尺寸：15—17英寸</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合同签订之日起至2026年8月30日之前完成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项目建设完成、验收合格后，凭乙方开具的增值税专用发票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验收合格后至少一年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因财政系统过渡，关于在政府采购中实施本国产品标准及相关政策在此处说明： 根据《国务院办公厅关于在政府采购中实施本国产品标准及相关政策的通知》（国办发〔2025〕34号）、关于贯彻落实《国务院办公厅关于在政府采购中实施本国产品标准及相关政策的通知》的意见（财库〔2025〕30号）、《陕西省财政厅关于在政府采购活动中实施本国产品标准及相关政策的通知》（陕财办采〔2026〕2号）的规定。 （1）对于仅有本国产品参与竞争的政府采购项目，本国产品不享受价格扣除评审优惠。 （2）对于非专门面向中小企业的采购项目，既有本国产品也有非本国产品参与竞争，且提供本国产品的供应商同时为小微企业的，应按照《国务院办公厅关于在政府采购中实施本国产品标准及相关政策的通知》和《政府采购促进中小企业发展管理办法》规定，对该供应商的产品同时给予支持本国产品和小微企业产品的价格评审优惠。相关价格评审扣除优惠，均应该在供应商原始报价基础上计算，用扣除后的价格参与评审。 （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供应商对其提供的产品出具《关于符合本国产品标准的声明函》，出具符合要求的《声明函》或有关证明文件的，该产品视为本国产品。不出具《声明函》的，不应享受政府采购对本国产品的支持政策。 评审中发现《关于符合本国产品标准的声明函》内容含义不明确、同类事项与响应文件表述不一致或者有明显文字错误等情况的，应当以书面形式要求供应商作出必要的澄清、说明或者补正。经澄清、说明或者补正的《关于符合本国产品标准的声明函》仍然不符合《国务院办公厅关于在政府采购中实施本国产品标准及相关政策的通知》规定要求的，供应商提供的相关产品视为不符合本国产品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投标文件签章（实质性要求）</w:t>
            </w:r>
          </w:p>
        </w:tc>
        <w:tc>
          <w:tcPr>
            <w:tcW w:type="dxa" w:w="3322"/>
          </w:tcPr>
          <w:p>
            <w:pPr>
              <w:pStyle w:val="null3"/>
            </w:pPr>
            <w:r>
              <w:rPr>
                <w:rFonts w:ascii="仿宋_GB2312" w:hAnsi="仿宋_GB2312" w:cs="仿宋_GB2312" w:eastAsia="仿宋_GB2312"/>
              </w:rPr>
              <w:t>投标文件、投标函加盖单位公章、经法定代表人或被授权委托人签字或盖章</w:t>
            </w:r>
          </w:p>
        </w:tc>
        <w:tc>
          <w:tcPr>
            <w:tcW w:type="dxa" w:w="1661"/>
          </w:tcPr>
          <w:p>
            <w:pPr>
              <w:pStyle w:val="null3"/>
            </w:pPr>
            <w:r>
              <w:rPr>
                <w:rFonts w:ascii="仿宋_GB2312" w:hAnsi="仿宋_GB2312" w:cs="仿宋_GB2312" w:eastAsia="仿宋_GB2312"/>
              </w:rPr>
              <w:t>开标一览表 分项报价表 中小企业声明函 技术要求响应表 商务要求响应表 投标方案说明 政府采购供应商拒绝政府采购领域商业贿赂承诺书 投标函 残疾人福利性单位声明函 标的清单 关于符合本国产品标准的声明函 投标文件封面 供应商承诺书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投标文件有效期（实质性要求）</w:t>
            </w:r>
          </w:p>
        </w:tc>
        <w:tc>
          <w:tcPr>
            <w:tcW w:type="dxa" w:w="3322"/>
          </w:tcPr>
          <w:p>
            <w:pPr>
              <w:pStyle w:val="null3"/>
            </w:pPr>
            <w:r>
              <w:rPr>
                <w:rFonts w:ascii="仿宋_GB2312" w:hAnsi="仿宋_GB2312" w:cs="仿宋_GB2312" w:eastAsia="仿宋_GB2312"/>
              </w:rPr>
              <w:t>从提交投标文件的截止之日起不少于90日历日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投标报价（实质性要求）</w:t>
            </w:r>
          </w:p>
        </w:tc>
        <w:tc>
          <w:tcPr>
            <w:tcW w:type="dxa" w:w="3322"/>
          </w:tcPr>
          <w:p>
            <w:pPr>
              <w:pStyle w:val="null3"/>
            </w:pPr>
            <w:r>
              <w:rPr>
                <w:rFonts w:ascii="仿宋_GB2312" w:hAnsi="仿宋_GB2312" w:cs="仿宋_GB2312" w:eastAsia="仿宋_GB2312"/>
              </w:rPr>
              <w:t>（1）报价未超过预算金额（2）未出现选择性报价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文件响应情况（实质性要求）</w:t>
            </w:r>
          </w:p>
        </w:tc>
        <w:tc>
          <w:tcPr>
            <w:tcW w:type="dxa" w:w="3322"/>
          </w:tcPr>
          <w:p>
            <w:pPr>
              <w:pStyle w:val="null3"/>
            </w:pPr>
            <w:r>
              <w:rPr>
                <w:rFonts w:ascii="仿宋_GB2312" w:hAnsi="仿宋_GB2312" w:cs="仿宋_GB2312" w:eastAsia="仿宋_GB2312"/>
              </w:rPr>
              <w:t>（1）符合商务、技术要求，不存在重大负偏离 （2）未附有采购人不能接受的条件（3）符合招标文件规定的其他实质性要求（4）未违反《中华人民共和国政府采购法》和其他相关法律、法规的规定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所投产品技术参数指标</w:t>
            </w:r>
          </w:p>
        </w:tc>
        <w:tc>
          <w:tcPr>
            <w:tcW w:type="dxa" w:w="2492"/>
          </w:tcPr>
          <w:p>
            <w:pPr>
              <w:pStyle w:val="null3"/>
            </w:pPr>
            <w:r>
              <w:rPr>
                <w:rFonts w:ascii="仿宋_GB2312" w:hAnsi="仿宋_GB2312" w:cs="仿宋_GB2312" w:eastAsia="仿宋_GB2312"/>
              </w:rPr>
              <w:t>提供针对本项目所投产品的技术参数指标，本项满分32分。有一项负偏离扣0.5分，扣完为止。 注：投标文件中需提供的作为评审依据的证明文件（包括但不限于检测报告、加盖公章的产品彩页、加盖公章的官网截图等）。</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所投产品来源渠道</w:t>
            </w:r>
          </w:p>
        </w:tc>
        <w:tc>
          <w:tcPr>
            <w:tcW w:type="dxa" w:w="2492"/>
          </w:tcPr>
          <w:p>
            <w:pPr>
              <w:pStyle w:val="null3"/>
            </w:pPr>
            <w:r>
              <w:rPr>
                <w:rFonts w:ascii="仿宋_GB2312" w:hAnsi="仿宋_GB2312" w:cs="仿宋_GB2312" w:eastAsia="仿宋_GB2312"/>
              </w:rPr>
              <w:t>提供针对本项目所投产品的合法来源渠道（包括但不限于产品制造商授权书或销售协议或代理协议等），满分7分；未提供不得分。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拟派本项目工作人员组成情况</w:t>
            </w:r>
          </w:p>
        </w:tc>
        <w:tc>
          <w:tcPr>
            <w:tcW w:type="dxa" w:w="2492"/>
          </w:tcPr>
          <w:p>
            <w:pPr>
              <w:pStyle w:val="null3"/>
            </w:pPr>
            <w:r>
              <w:rPr>
                <w:rFonts w:ascii="仿宋_GB2312" w:hAnsi="仿宋_GB2312" w:cs="仿宋_GB2312" w:eastAsia="仿宋_GB2312"/>
              </w:rPr>
              <w:t>1、评审内容 提供拟派本项目工作人员组成情况（有具体成员名单，包括姓名、工作经验、工作职责、联系方式等） 2、评审标准 ①完整性：组织机构的运行配备完善、各岗位人员分工明确合理； ②针对性：人员数量充足，人员资格/年龄等符合采购需求； ③专业性：人员相关岗位经验丰富，切合本项目实际情况。 3、赋分标准 每完全满足一项评审标准得1分，满分3分。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1、评审内容 提供针对本项目的整体实施方案，内容包括： ①产品运输送货方案； ②产品验收实施方案； ③产品出现质量问题时的处理方案。 2、评审标准 ①完整性：方案须全面，对评审内容中的各项要求有详细描述及说明； ②可实施性：切合本项目实际情况，实施步骤清晰、合理； ③针对性：方案能够紧扣项目实际情况，内容科学合理。 3、赋分标准 ①产品运输送货方案：每完全满足一项评审标准得1分，满分3分； ②产品验收实施方案：每完全满足一项评审标准得1分，满分3分； ③产品出现质量问题时的处理方案：每完全满足一项评审标准得1分，满分3分。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1、评审内容 供应商提供针对本项目具体的售后服务承诺，内容包括： ①质保期内的售后服务保障； ②售后服务人员安排及响应处理时间。 2、评审标准 ①完整性：承诺须全面，对评审内容中的各项要求有详细描述及说明； ②可实施性：切合本项目实际情况，步骤清晰、合理，操作性强； ③针对性：承诺能够紧扣项目实际情况，内容科学合理。 3、赋分标准 ①质保期内的售后服务保障：每完全满足一项评审标准得0.5分，满分1.5分； ②售后服务人员安排及响应处理时间：每完全满足一项评审标准得0.5分，满分1.5分。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供应商根据本项目涉及操作的实际需求提供培训方案，内容包括： ①日常使用操作与管理； ②常见故障的排除。 2、评审标准 ①完整性：方案须全面，对评审内容中的各项要求有详细描述及说明； ②可实施性：切合本项目实际情况，步骤清晰、合理，操作性强； ③针对性：方案能够紧扣项目实际情况，内容科学合理。 3、赋分标准 ①日常使用操作与管理：每完全满足一项评审标准得1分，满分3分； ②常见故障的排除：每完全满足一项评审标准得1分，满分3分。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价格分采用低价优先法计算，即满足招标文件要求且投标报价最低的投标报价为评标基准价，其价格分为满分。其他供应商的价格分统一按照下列公式计算： 投标报价得分=（评标基准价/有效报价）×价格权值（35%）×100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详见附件：投标方案说明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