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版本号：ZCSP-白水县-2026-0013820260812001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白水县2025年城市体检项目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ZCSP-白水县-2026-00138</w:t>
      </w:r>
      <w:r>
        <w:br/>
      </w:r>
      <w:r>
        <w:br/>
      </w:r>
      <w:r>
        <w:br/>
      </w:r>
    </w:p>
    <w:p>
      <w:pPr>
        <w:pStyle w:val="null3"/>
        <w:jc w:val="center"/>
        <w:outlineLvl w:val="2"/>
      </w:pPr>
      <w:r>
        <w:rPr>
          <w:rFonts w:ascii="仿宋_GB2312" w:hAnsi="仿宋_GB2312" w:cs="仿宋_GB2312" w:eastAsia="仿宋_GB2312"/>
          <w:sz w:val="28"/>
          <w:b/>
        </w:rPr>
        <w:t>白水县住房和城乡建设局</w:t>
      </w:r>
    </w:p>
    <w:p>
      <w:pPr>
        <w:pStyle w:val="null3"/>
        <w:jc w:val="center"/>
        <w:outlineLvl w:val="2"/>
      </w:pPr>
      <w:r>
        <w:rPr>
          <w:rFonts w:ascii="仿宋_GB2312" w:hAnsi="仿宋_GB2312" w:cs="仿宋_GB2312" w:eastAsia="仿宋_GB2312"/>
          <w:sz w:val="28"/>
          <w:b/>
        </w:rPr>
        <w:t>陕西盛典日工程咨询有限公司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陕西盛典日工程咨询有限公司</w:t>
      </w:r>
      <w:r>
        <w:rPr>
          <w:rFonts w:ascii="仿宋_GB2312" w:hAnsi="仿宋_GB2312" w:cs="仿宋_GB2312" w:eastAsia="仿宋_GB2312"/>
        </w:rPr>
        <w:t>（以下简称“代理机构”）受</w:t>
      </w:r>
      <w:r>
        <w:rPr>
          <w:rFonts w:ascii="仿宋_GB2312" w:hAnsi="仿宋_GB2312" w:cs="仿宋_GB2312" w:eastAsia="仿宋_GB2312"/>
        </w:rPr>
        <w:t>白水县住房和城乡建设局</w:t>
      </w:r>
      <w:r>
        <w:rPr>
          <w:rFonts w:ascii="仿宋_GB2312" w:hAnsi="仿宋_GB2312" w:cs="仿宋_GB2312" w:eastAsia="仿宋_GB2312"/>
        </w:rPr>
        <w:t>委托，拟对</w:t>
      </w:r>
      <w:r>
        <w:rPr>
          <w:rFonts w:ascii="仿宋_GB2312" w:hAnsi="仿宋_GB2312" w:cs="仿宋_GB2312" w:eastAsia="仿宋_GB2312"/>
        </w:rPr>
        <w:t>白水县2025年城市体检项目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ZCSP-白水县-2026-00138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白水县2025年城市体检项目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对县城区社区、小区开展住宅全覆盖调研，建立详细台账；完成37项体检指标评估。围绕保障基础民生和安全底线，推进城市更新，优化住房环境、完善公共服务配套、提升人居环境品质。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采购包1（白水县2025年城市体检项目）：属于专门面向中小企业采购。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2、资质要求：供应商须具备城乡规划编制乙级以上（含乙级）资质，拟派项目负责人须具备注册城乡规划师专业资格证书或城乡规划相关专业高级职称。</w:t>
      </w:r>
    </w:p>
    <w:p>
      <w:pPr>
        <w:pStyle w:val="null3"/>
      </w:pPr>
      <w:r>
        <w:rPr>
          <w:rFonts w:ascii="仿宋_GB2312" w:hAnsi="仿宋_GB2312" w:cs="仿宋_GB2312" w:eastAsia="仿宋_GB2312"/>
        </w:rPr>
        <w:t>3、财务状况报告：提供2025年度的财务审计报告（成立时间至提交响应文件截止时间不足一年的可提供成立后任意时段的资产负债表），或其基本存款账户开户银行出具的资信证明及基本存款账户开户许可证；或财政部门认可的政府采购专业担保机构出具的担保函。</w:t>
      </w:r>
    </w:p>
    <w:p>
      <w:pPr>
        <w:pStyle w:val="null3"/>
      </w:pPr>
      <w:r>
        <w:rPr>
          <w:rFonts w:ascii="仿宋_GB2312" w:hAnsi="仿宋_GB2312" w:cs="仿宋_GB2312" w:eastAsia="仿宋_GB2312"/>
        </w:rPr>
        <w:t>4、税收缴纳证明：提供响应文件递交截止时间前6个月内任意一个月的缴费凭据，依法免税的单位应提供相关证明材料；</w:t>
      </w:r>
    </w:p>
    <w:p>
      <w:pPr>
        <w:pStyle w:val="null3"/>
      </w:pPr>
      <w:r>
        <w:rPr>
          <w:rFonts w:ascii="仿宋_GB2312" w:hAnsi="仿宋_GB2312" w:cs="仿宋_GB2312" w:eastAsia="仿宋_GB2312"/>
        </w:rPr>
        <w:t>5、社会保障资金缴纳证明：提供响应文件递交截止时间前6个月内任意一个月的社会保障资金缴存单据或社保机构开具的社会保险参保缴费情况证明，依法不需要缴纳社会保障资金的单位应提供相关证明材料；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6、无重大违法记录声明：供应商需提供参加政府采购活动近3年内在经营活动中没有重大违法纪录的书面声明；</w:t>
      </w:r>
    </w:p>
    <w:p>
      <w:pPr>
        <w:pStyle w:val="null3"/>
      </w:pPr>
      <w:r>
        <w:rPr>
          <w:rFonts w:ascii="仿宋_GB2312" w:hAnsi="仿宋_GB2312" w:cs="仿宋_GB2312" w:eastAsia="仿宋_GB2312"/>
        </w:rPr>
        <w:t>7、履行合同承诺书：提供具有履行合同所必需的设备和专业技术能力的承诺书；</w:t>
      </w:r>
    </w:p>
    <w:p>
      <w:pPr>
        <w:pStyle w:val="null3"/>
      </w:pPr>
      <w:r>
        <w:rPr>
          <w:rFonts w:ascii="仿宋_GB2312" w:hAnsi="仿宋_GB2312" w:cs="仿宋_GB2312" w:eastAsia="仿宋_GB2312"/>
        </w:rPr>
        <w:t>8、无控股承诺：单位负责人为同一人或者存在直接控股、管理关系的不同供应商，不得参加同一合同项下的政府采购活动；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9、信誉要求：供应商不得在“信用中国”（http：//www.creditchina.gov.cn/）网站被列为失信被执行人和重大税收违法失信主体，且无不良记录。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18142329696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陕西盛典日工程咨询有限公司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陕西省渭南市临渭区仓程路北段碧桂园翡翠公馆12幢商铺2层单元202号户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弥婷婷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17386960448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开户名称：陕西盛典日工程咨询有限公司</w:t>
            </w:r>
          </w:p>
          <w:p>
            <w:pPr>
              <w:pStyle w:val="null3"/>
            </w:pPr>
            <w:r>
              <w:rPr>
                <w:rFonts w:ascii="仿宋_GB2312" w:hAnsi="仿宋_GB2312" w:cs="仿宋_GB2312" w:eastAsia="仿宋_GB2312"/>
              </w:rPr>
              <w:t>开户银行：长安银行股份有限公司渭南向阳支行</w:t>
            </w:r>
          </w:p>
          <w:p>
            <w:pPr>
              <w:pStyle w:val="null3"/>
            </w:pPr>
            <w:r>
              <w:rPr>
                <w:rFonts w:ascii="仿宋_GB2312" w:hAnsi="仿宋_GB2312" w:cs="仿宋_GB2312" w:eastAsia="仿宋_GB2312"/>
              </w:rPr>
              <w:t>银行账号：806040601421008477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代理服务费收费标准：招标代理服务费以中标价为基数，参照国家计委颁发计价格[2002]1980号和国家发展和改革委员会办公厅颁发的发改办价格[2003]857号的有关规定执行。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白水县住房和城乡建设局</w:t>
      </w:r>
      <w:r>
        <w:rPr>
          <w:rFonts w:ascii="仿宋_GB2312" w:hAnsi="仿宋_GB2312" w:cs="仿宋_GB2312" w:eastAsia="仿宋_GB2312"/>
        </w:rPr>
        <w:t>和</w:t>
      </w:r>
      <w:r>
        <w:rPr>
          <w:rFonts w:ascii="仿宋_GB2312" w:hAnsi="仿宋_GB2312" w:cs="仿宋_GB2312" w:eastAsia="仿宋_GB2312"/>
        </w:rPr>
        <w:t>陕西盛典日工程咨询有限公司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陕西盛典日工程咨询有限公司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陕西盛典日工程咨询有限公司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陕西盛典日工程咨询有限公司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联系人：弥婷婷</w:t>
      </w:r>
    </w:p>
    <w:p>
      <w:pPr>
        <w:pStyle w:val="null3"/>
      </w:pPr>
      <w:r>
        <w:rPr>
          <w:rFonts w:ascii="仿宋_GB2312" w:hAnsi="仿宋_GB2312" w:cs="仿宋_GB2312" w:eastAsia="仿宋_GB2312"/>
        </w:rPr>
        <w:t>联系电话：17386960448</w:t>
      </w:r>
    </w:p>
    <w:p>
      <w:pPr>
        <w:pStyle w:val="null3"/>
      </w:pPr>
      <w:r>
        <w:rPr>
          <w:rFonts w:ascii="仿宋_GB2312" w:hAnsi="仿宋_GB2312" w:cs="仿宋_GB2312" w:eastAsia="仿宋_GB2312"/>
        </w:rPr>
        <w:t>地址：渭南市临渭区仓程路北段碧桂园翡翠公馆12幢商铺2层单元202号户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对县城区社区、小区开展住宅全覆盖调研，建立详细台账；完成37项体检指标评估。围绕保障基础民生和安全底线，推进城市更新，优化住房环境、完善公共服务配套、提升人居环境品质。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白水县2025年城市体检项目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白水县2025年城市体检项目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一、服务内容：</w:t>
            </w:r>
          </w:p>
          <w:p>
            <w:pPr>
              <w:pStyle w:val="null3"/>
              <w:ind w:firstLine="420"/>
              <w:jc w:val="both"/>
            </w:pPr>
            <w:r>
              <w:rPr>
                <w:rFonts w:ascii="仿宋_GB2312" w:hAnsi="仿宋_GB2312" w:cs="仿宋_GB2312" w:eastAsia="仿宋_GB2312"/>
                <w:sz w:val="21"/>
                <w:color w:val="222222"/>
              </w:rPr>
              <w:t>对县城区社区、小区开展住宅全覆盖调研，建立详细台账；完成37项体检指标评估。围绕保障基础民生和安全底线，推进城市更新，优化住房环境、完善公共服务配套、提升人居环境品质。</w:t>
            </w:r>
          </w:p>
          <w:p>
            <w:pPr>
              <w:pStyle w:val="null3"/>
              <w:jc w:val="both"/>
            </w:pPr>
            <w:r>
              <w:rPr>
                <w:rFonts w:ascii="仿宋_GB2312" w:hAnsi="仿宋_GB2312" w:cs="仿宋_GB2312" w:eastAsia="仿宋_GB2312"/>
                <w:sz w:val="21"/>
                <w:b/>
              </w:rPr>
              <w:t>二、服务指标的具体要求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）前期准备阶段：按照省级部署安排，制定工作方案，细化完善体检指标、确定体检范围、进行数据试采集、收集相关资料数据。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）体检部署阶段：主要进行体检动员会部署、开展技术培训辅导、全面开展数据采集与调研，同时开展居民社会满意度调查。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）成果编写阶段：将采集回来的数据进行汇总分析、研判问题清单、确定整治建议清单，并编制体检成果报告。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审批与实施阶段：成果编制完成后，征求各部门意见、征求公众意见，开展专家评审会及县政府审定，走最终的成果报批流程；同时，制定城市更新实施行动安排，落实主体责任，对上年度整改情况开展实施评价。</w:t>
            </w:r>
          </w:p>
          <w:p>
            <w:pPr>
              <w:pStyle w:val="null3"/>
              <w:ind w:firstLine="422"/>
              <w:jc w:val="both"/>
            </w:pPr>
            <w:r>
              <w:rPr>
                <w:rFonts w:ascii="仿宋_GB2312" w:hAnsi="仿宋_GB2312" w:cs="仿宋_GB2312" w:eastAsia="仿宋_GB2312"/>
                <w:sz w:val="21"/>
                <w:b/>
              </w:rPr>
              <w:t>三、其他要求</w:t>
            </w:r>
          </w:p>
          <w:p>
            <w:pPr>
              <w:pStyle w:val="null3"/>
              <w:ind w:firstLine="420"/>
              <w:jc w:val="both"/>
            </w:pPr>
            <w:r>
              <w:rPr>
                <w:rFonts w:ascii="仿宋_GB2312" w:hAnsi="仿宋_GB2312" w:cs="仿宋_GB2312" w:eastAsia="仿宋_GB2312"/>
                <w:sz w:val="21"/>
              </w:rPr>
              <w:t>（1）技术要求：成果质量须符合国家标准、相关行业标准以及有关技术规范要求。</w:t>
            </w:r>
          </w:p>
          <w:p>
            <w:pPr>
              <w:pStyle w:val="null3"/>
              <w:ind w:firstLine="420"/>
              <w:jc w:val="both"/>
            </w:pPr>
            <w:r>
              <w:rPr>
                <w:rFonts w:ascii="仿宋_GB2312" w:hAnsi="仿宋_GB2312" w:cs="仿宋_GB2312" w:eastAsia="仿宋_GB2312"/>
                <w:sz w:val="21"/>
              </w:rPr>
              <w:t>（2）服务质量要求：合格，符合现行规范、规程、规定等。</w:t>
            </w:r>
          </w:p>
          <w:p>
            <w:pPr>
              <w:pStyle w:val="null3"/>
              <w:ind w:firstLine="420"/>
              <w:jc w:val="both"/>
            </w:pPr>
            <w:r>
              <w:rPr>
                <w:rFonts w:ascii="仿宋_GB2312" w:hAnsi="仿宋_GB2312" w:cs="仿宋_GB2312" w:eastAsia="仿宋_GB2312"/>
                <w:sz w:val="21"/>
              </w:rPr>
              <w:t>（3）服务期限：合同签订之日起60日历天。</w:t>
            </w:r>
          </w:p>
          <w:p>
            <w:pPr>
              <w:pStyle w:val="null3"/>
              <w:ind w:firstLine="420"/>
              <w:jc w:val="both"/>
            </w:pPr>
            <w:r>
              <w:rPr>
                <w:rFonts w:ascii="仿宋_GB2312" w:hAnsi="仿宋_GB2312" w:cs="仿宋_GB2312" w:eastAsia="仿宋_GB2312"/>
                <w:sz w:val="21"/>
              </w:rPr>
              <w:t>（4）成交供应商应在合同签订后3个工作日内安排人员与采购人就项目实施等工作进行安排、部署。</w:t>
            </w:r>
          </w:p>
          <w:p>
            <w:pPr>
              <w:pStyle w:val="null3"/>
              <w:ind w:firstLine="420"/>
              <w:jc w:val="both"/>
            </w:pPr>
            <w:r>
              <w:rPr>
                <w:rFonts w:ascii="仿宋_GB2312" w:hAnsi="仿宋_GB2312" w:cs="仿宋_GB2312" w:eastAsia="仿宋_GB2312"/>
                <w:sz w:val="21"/>
              </w:rPr>
              <w:t>（5）若未能在项目周期内完成合同规定的义务，由此对采购人造成的延误和一切损失，由成交供应商承担和赔偿。</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渭南市白水县（采购人指定地点）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在服务期限内，通过城市体检工作将聚焦住房、社区（小区）、街区、城区（城市），对城市规划、建设、管理进行全方位综合分析评估，形成《白水县城市体检项目综合分析评估报告》，并通过专家技术评审。</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进度款，完成项目所有工作内容，并通过验收后，达到付款条件起7个工作日内，支付合同总金额的100.0%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成交）供应商在中标（成交）结果公告发布后3个工作日内，向招标代理公司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3322"/>
          </w:tcPr>
          <w:p>
            <w:pPr>
              <w:pStyle w:val="null3"/>
            </w:pPr>
            <w:r>
              <w:rPr>
                <w:rFonts w:ascii="仿宋_GB2312" w:hAnsi="仿宋_GB2312" w:cs="仿宋_GB2312" w:eastAsia="仿宋_GB2312"/>
              </w:rPr>
              <w:t>法定代表人参与投标时需提供法定代表人身份证明书（附法定代表人身份证复印件）；被授权人参与投标时需提供法定代表人授权委托书（附法定代表人及被授权人身份证复印件）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需提供磋商保证金缴纳凭证</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供应商须具备城乡规划编制乙级以上（含乙级）资质，拟派项目负责人须具备注册城乡规划师专业资格证书或城乡规划相关专业高级职称。</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成立时间至提交响应文件截止时间不足一年的可提供成立后任意时段的资产负债表），或其基本存款账户开户银行出具的资信证明及基本存款账户开户许可证；或财政部门认可的政府采购专业担保机构出具的担保函。</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提供响应文件递交截止时间前6个月内任意一个月的缴费凭据，依法免税的单位应提供相关证明材料；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供应商需提供参加政府采购活动近3年内在经营活动中没有重大违法纪录的书面声明；</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供应商为本项目提供的资格证明文件.docx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在“信用中国”（http：//www.creditchina.gov.cn/）网站被列为失信被执行人和重大税收违法失信主体，且无不良记录。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供应商为本项目提供的资格证明文件.docx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磋商报价一览表.docx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中小企业声明函 商务应答表 服务内容及服务要求应答表 报价表 供应商为本项目提供的资格证明文件.docx 响应文件封面 分项报价表.docx 本项目拟投入人员汇总表.docx 残疾人福利性单位声明函 服务方案 标的清单 响应函 磋商报价一览表.docx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磋商响应函签字盖章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中小企业声明函 商务应答表 服务内容及服务要求应答表 报价表 供应商为本项目提供的资格证明文件.docx 响应文件封面 分项报价表.docx 本项目拟投入人员汇总表.docx 残疾人福利性单位声明函 服务方案 标的清单 响应函 磋商报价一览表.docx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服务内容及服务要求应答表 报价表 磋商报价一览表.docx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分项报价表.docx 标的清单 报价表 磋商报价一览表.docx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对项目的理解及认识、重点、难点的分析</w:t>
            </w:r>
          </w:p>
        </w:tc>
        <w:tc>
          <w:tcPr>
            <w:tcW w:type="dxa" w:w="2492"/>
          </w:tcPr>
          <w:p>
            <w:pPr>
              <w:pStyle w:val="null3"/>
            </w:pPr>
            <w:r>
              <w:rPr>
                <w:rFonts w:ascii="仿宋_GB2312" w:hAnsi="仿宋_GB2312" w:cs="仿宋_GB2312" w:eastAsia="仿宋_GB2312"/>
              </w:rPr>
              <w:t>一、评审内容:对项目的理解及认识、重点、难点的分析包括但不限于：①项目的背景、内容及理解；②项目需求分析；③技术路线及成果要求；④区域现状及工作基础分析；⑤项目重点、难点分析及应对措施。二、评审标准：各个部分内容全面、合理、逻辑清晰、阐述条理清晰且描述详细符合本项目采购需求有针对性，以上5项，以序号①、②、③、④、⑤为项数，内容无缺项、无漏项且无缺陷的得10分，其中每有一项内容存在缺项或漏项的扣2分，每项内容中每有一处存在缺陷的扣0.5分，该项分值扣完为止，未提供不得分。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服务实施总体方案</w:t>
            </w:r>
          </w:p>
        </w:tc>
        <w:tc>
          <w:tcPr>
            <w:tcW w:type="dxa" w:w="2492"/>
          </w:tcPr>
          <w:p>
            <w:pPr>
              <w:pStyle w:val="null3"/>
            </w:pPr>
            <w:r>
              <w:rPr>
                <w:rFonts w:ascii="仿宋_GB2312" w:hAnsi="仿宋_GB2312" w:cs="仿宋_GB2312" w:eastAsia="仿宋_GB2312"/>
              </w:rPr>
              <w:t>一、评审内容：提供基于项目总体分析的总体技术方案，包括但不限于①总体工作方案②项目实施步骤③成果交付规划；④各项研究内容所依据的行业技术规范与标准。二、评审标准：提供详细、合理、科学可行的方案 ，方案符合本项目采购需求有针对性，以上4项，以序号①、②、③、④为项数，内容无缺项、无漏项且无缺陷的得12分，其中每有一项内容存在缺项或漏项的扣3分，每项内容中每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数据资源与分析处理方法</w:t>
            </w:r>
          </w:p>
        </w:tc>
        <w:tc>
          <w:tcPr>
            <w:tcW w:type="dxa" w:w="2492"/>
          </w:tcPr>
          <w:p>
            <w:pPr>
              <w:pStyle w:val="null3"/>
            </w:pPr>
            <w:r>
              <w:rPr>
                <w:rFonts w:ascii="仿宋_GB2312" w:hAnsi="仿宋_GB2312" w:cs="仿宋_GB2312" w:eastAsia="仿宋_GB2312"/>
              </w:rPr>
              <w:t>一、评审内容包括：①具备建筑、交通、基础设施、卫星影像等数据资源基础；②配备智能采集工具，采集方法多元合规；③具备先进数据分析处理技术及数据库构建技术。 二、评审标准：提供详细、合理、科学可行的方案 ，方案符合本项目采购需求有针对性，以上3项，以序号①、②、③为项数，内容无缺项、无漏项且无缺陷的得6分，其中每有一项内容存在缺项或漏项的扣2分，每项内容中每有一处存在缺陷的扣0.5分，该项分值扣完为止，未提供不得分。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实施进度保证措施</w:t>
            </w:r>
          </w:p>
        </w:tc>
        <w:tc>
          <w:tcPr>
            <w:tcW w:type="dxa" w:w="2492"/>
          </w:tcPr>
          <w:p>
            <w:pPr>
              <w:pStyle w:val="null3"/>
            </w:pPr>
            <w:r>
              <w:rPr>
                <w:rFonts w:ascii="仿宋_GB2312" w:hAnsi="仿宋_GB2312" w:cs="仿宋_GB2312" w:eastAsia="仿宋_GB2312"/>
              </w:rPr>
              <w:t>一、评审内容：针对本项目实施进度保证措施，包括但不限于：①进度计划安排；②组织协调措施；③实施进度保证措施。二、评审标准：提供详细、合理、科学可行的方案 ，方案符合本项目采购需求有针对性，以上3项，以序号①、②、③为项数，内容无缺项、无漏项且无缺陷的得6分，其中每有一项内容存在缺项或漏项的扣2分，每项内容中每有一处存在缺陷的扣0.5分，该项分值扣完为止，未提供不得分。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一：评审内容：①服务质量目标及规划；②提交各类数据精度质量管控机制；③质量保证措施。 二、评审标准：提供详细、合理、科学可行的方案，方案符合本项目采购需求有针对性，以上3项，以序号①、②、③为项数，内容无缺项、无漏项且无缺陷的得6分，其中每有一项内容存在缺项或漏项的扣2分，每项内容中每 有一处存在缺陷的扣0.5分，该项分值扣完为止，未提供不得分。 三、赋分说明：“缺陷”是指套用其他项目方案内容；存在不适用项目实际情况的情形；引用的行业技术规范与标准或其他规范性文件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本项目做出详细、合理、且符合本项目实际需求的服务承诺，包括但不限于（①服务质量的承诺；②出现问题响应时效的承诺；③配合采购人调整、完善方案的承诺）等，每做出一项承诺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项目组整体人员配备</w:t>
            </w:r>
          </w:p>
        </w:tc>
        <w:tc>
          <w:tcPr>
            <w:tcW w:type="dxa" w:w="2492"/>
          </w:tcPr>
          <w:p>
            <w:pPr>
              <w:pStyle w:val="null3"/>
            </w:pPr>
            <w:r>
              <w:rPr>
                <w:rFonts w:ascii="仿宋_GB2312" w:hAnsi="仿宋_GB2312" w:cs="仿宋_GB2312" w:eastAsia="仿宋_GB2312"/>
              </w:rPr>
              <w:t>拟投入项目团队人员（不含项目总负责人）1、每提供一名具有一级注册建筑师或注册城乡规划师或注册测绘师职业资格的得2分，本项最高得10分； 2、项目组成员专业（以毕业证为准）为建筑学、城市（乡）规划、地理信息系统、人文地理、土地资源管理、风景园林、计算机科学与技术等相关专业，每涵盖上述一个专业得1分，本项最高得7分；（同一人员不重复计分） 3、数据专项负责人为地理信息专业（包括地理信息、测绘）高级职称得3分，中级职称得1分（项目总负责人与数据专项负责人不为同一人）。（提供相关证书复印件并加盖公章，未提供齐全不得分。）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本项目拟投入人员汇总表.docx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近三年（2023年8月至今，以合同签订时间为准）具有类似项目业绩，每提供一份得2分（以合同或成交通知书为准），最高得10分。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所有的有效投标报价中，以最低投标报价为基准价，其价格分为满分。其他供应商的价格分，统一按照下列公式计算：磋商报价得分=(磋商基准价／磋商最后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详见附件：供应商为本项目提供的资格证明文件.docx</w:t>
      </w:r>
    </w:p>
    <w:p>
      <w:pPr>
        <w:pStyle w:val="null3"/>
        <w:ind w:firstLine="960"/>
      </w:pPr>
      <w:r>
        <w:rPr>
          <w:rFonts w:ascii="仿宋_GB2312" w:hAnsi="仿宋_GB2312" w:cs="仿宋_GB2312" w:eastAsia="仿宋_GB2312"/>
        </w:rPr>
        <w:t>详见附件：磋商报价一览表.docx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详见附件：本项目拟投入人员汇总表.docx</w:t>
      </w:r>
    </w:p>
    <w:p>
      <w:pPr>
        <w:pStyle w:val="null3"/>
        <w:ind w:firstLine="960"/>
      </w:pPr>
      <w:r>
        <w:rPr>
          <w:rFonts w:ascii="仿宋_GB2312" w:hAnsi="仿宋_GB2312" w:cs="仿宋_GB2312" w:eastAsia="仿宋_GB2312"/>
        </w:rPr>
        <w:t>详见附件：项目业绩一览表.docx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