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1FEFA">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3120" w:firstLineChars="1300"/>
        <w:jc w:val="both"/>
        <w:textAlignment w:val="auto"/>
        <w:rPr>
          <w:rFonts w:hint="eastAsia" w:ascii="仿宋" w:hAnsi="仿宋" w:eastAsia="仿宋" w:cs="仿宋"/>
          <w:b w:val="0"/>
          <w:bCs w:val="0"/>
          <w:color w:val="auto"/>
          <w:kern w:val="2"/>
          <w:sz w:val="24"/>
          <w:szCs w:val="24"/>
          <w:highlight w:val="none"/>
        </w:rPr>
      </w:pPr>
      <w:bookmarkStart w:id="0" w:name="_Toc28172"/>
      <w:bookmarkStart w:id="1" w:name="_Toc18006"/>
    </w:p>
    <w:p w14:paraId="7AB090F4">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3120" w:firstLineChars="1300"/>
        <w:jc w:val="both"/>
        <w:textAlignment w:val="auto"/>
        <w:rPr>
          <w:rFonts w:hint="eastAsia" w:ascii="仿宋" w:hAnsi="仿宋" w:eastAsia="仿宋" w:cs="仿宋"/>
          <w:b w:val="0"/>
          <w:bCs w:val="0"/>
          <w:color w:val="auto"/>
          <w:kern w:val="2"/>
          <w:sz w:val="24"/>
          <w:szCs w:val="24"/>
          <w:highlight w:val="none"/>
        </w:rPr>
      </w:pPr>
    </w:p>
    <w:p w14:paraId="24570C19">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3120" w:firstLineChars="1300"/>
        <w:jc w:val="both"/>
        <w:textAlignment w:val="auto"/>
        <w:rPr>
          <w:rFonts w:hint="eastAsia" w:ascii="仿宋" w:hAnsi="仿宋" w:eastAsia="仿宋" w:cs="仿宋"/>
          <w:b w:val="0"/>
          <w:bCs w:val="0"/>
          <w:color w:val="auto"/>
          <w:kern w:val="2"/>
          <w:sz w:val="24"/>
          <w:szCs w:val="24"/>
          <w:highlight w:val="none"/>
        </w:rPr>
      </w:pPr>
    </w:p>
    <w:p w14:paraId="5CBB3364">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3120" w:firstLineChars="1300"/>
        <w:jc w:val="both"/>
        <w:textAlignment w:val="auto"/>
        <w:rPr>
          <w:rFonts w:hint="eastAsia" w:ascii="仿宋" w:hAnsi="仿宋" w:eastAsia="仿宋" w:cs="仿宋"/>
          <w:b w:val="0"/>
          <w:bCs w:val="0"/>
          <w:color w:val="auto"/>
          <w:kern w:val="2"/>
          <w:sz w:val="24"/>
          <w:szCs w:val="24"/>
          <w:highlight w:val="none"/>
        </w:rPr>
      </w:pPr>
    </w:p>
    <w:p w14:paraId="799170AB">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3120" w:firstLineChars="1300"/>
        <w:jc w:val="both"/>
        <w:textAlignment w:val="auto"/>
        <w:rPr>
          <w:rFonts w:hint="eastAsia" w:ascii="仿宋" w:hAnsi="仿宋" w:eastAsia="仿宋" w:cs="仿宋"/>
          <w:b w:val="0"/>
          <w:bCs w:val="0"/>
          <w:color w:val="auto"/>
          <w:kern w:val="2"/>
          <w:sz w:val="24"/>
          <w:szCs w:val="24"/>
          <w:highlight w:val="none"/>
        </w:rPr>
      </w:pPr>
    </w:p>
    <w:p w14:paraId="1D3DDE5D">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3120" w:firstLineChars="1300"/>
        <w:jc w:val="both"/>
        <w:textAlignment w:val="auto"/>
        <w:rPr>
          <w:rFonts w:hint="eastAsia" w:ascii="仿宋" w:hAnsi="仿宋" w:eastAsia="仿宋" w:cs="仿宋"/>
          <w:b w:val="0"/>
          <w:bCs w:val="0"/>
          <w:color w:val="auto"/>
          <w:kern w:val="2"/>
          <w:sz w:val="24"/>
          <w:szCs w:val="24"/>
          <w:highlight w:val="none"/>
        </w:rPr>
      </w:pPr>
    </w:p>
    <w:p w14:paraId="25E996AF">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3120" w:firstLineChars="1300"/>
        <w:jc w:val="both"/>
        <w:textAlignment w:val="auto"/>
        <w:rPr>
          <w:rFonts w:hint="eastAsia" w:ascii="仿宋" w:hAnsi="仿宋" w:eastAsia="仿宋" w:cs="仿宋"/>
          <w:b w:val="0"/>
          <w:bCs w:val="0"/>
          <w:color w:val="auto"/>
          <w:kern w:val="2"/>
          <w:sz w:val="24"/>
          <w:szCs w:val="24"/>
          <w:highlight w:val="none"/>
        </w:rPr>
      </w:pPr>
    </w:p>
    <w:p w14:paraId="6CF8043E">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3120" w:firstLineChars="1300"/>
        <w:jc w:val="both"/>
        <w:textAlignment w:val="auto"/>
        <w:rPr>
          <w:rFonts w:hint="eastAsia" w:ascii="仿宋" w:hAnsi="仿宋" w:eastAsia="仿宋" w:cs="仿宋"/>
          <w:b w:val="0"/>
          <w:bCs w:val="0"/>
          <w:color w:val="auto"/>
          <w:sz w:val="24"/>
          <w:szCs w:val="24"/>
          <w:highlight w:val="none"/>
        </w:rPr>
      </w:pPr>
      <w:bookmarkStart w:id="2" w:name="_GoBack"/>
      <w:bookmarkEnd w:id="2"/>
      <w:r>
        <w:rPr>
          <w:rFonts w:hint="eastAsia" w:ascii="仿宋" w:hAnsi="仿宋" w:eastAsia="仿宋" w:cs="仿宋"/>
          <w:b w:val="0"/>
          <w:bCs w:val="0"/>
          <w:color w:val="auto"/>
          <w:kern w:val="2"/>
          <w:sz w:val="24"/>
          <w:szCs w:val="24"/>
          <w:highlight w:val="none"/>
        </w:rPr>
        <w:t>（参考格式）</w:t>
      </w:r>
      <w:bookmarkEnd w:id="0"/>
      <w:bookmarkEnd w:id="1"/>
    </w:p>
    <w:p w14:paraId="6362CCA2">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1680" w:firstLineChars="7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(最终以甲乙双方实际协商签定协议为准)</w:t>
      </w:r>
    </w:p>
    <w:p w14:paraId="720FC832">
      <w:pPr>
        <w:spacing w:before="120" w:line="360" w:lineRule="auto"/>
        <w:rPr>
          <w:rFonts w:hint="eastAsia" w:ascii="仿宋" w:hAnsi="仿宋" w:eastAsia="仿宋" w:cs="仿宋"/>
          <w:b w:val="0"/>
          <w:bCs w:val="0"/>
          <w:color w:val="auto"/>
          <w:sz w:val="24"/>
          <w:szCs w:val="24"/>
          <w:highlight w:val="none"/>
        </w:rPr>
      </w:pPr>
    </w:p>
    <w:p w14:paraId="422A434E">
      <w:pPr>
        <w:spacing w:before="120" w:line="360" w:lineRule="auto"/>
        <w:jc w:val="center"/>
        <w:rPr>
          <w:rFonts w:hint="eastAsia" w:ascii="仿宋" w:hAnsi="仿宋" w:eastAsia="仿宋" w:cs="仿宋"/>
          <w:b/>
          <w:bCs/>
          <w:color w:val="auto"/>
          <w:sz w:val="24"/>
          <w:szCs w:val="24"/>
          <w:highlight w:val="none"/>
        </w:rPr>
      </w:pPr>
    </w:p>
    <w:p w14:paraId="637C697B">
      <w:pPr>
        <w:widowControl w:val="0"/>
        <w:spacing w:before="120" w:line="360" w:lineRule="auto"/>
        <w:ind w:firstLine="480" w:firstLineChars="200"/>
        <w:jc w:val="both"/>
        <w:rPr>
          <w:rFonts w:hint="eastAsia" w:ascii="仿宋" w:hAnsi="仿宋" w:eastAsia="仿宋" w:cs="仿宋"/>
          <w:b w:val="0"/>
          <w:bCs w:val="0"/>
          <w:color w:val="auto"/>
          <w:kern w:val="2"/>
          <w:sz w:val="24"/>
          <w:szCs w:val="24"/>
          <w:highlight w:val="none"/>
          <w:lang w:val="en-US" w:eastAsia="zh-CN" w:bidi="ar-SA"/>
        </w:rPr>
      </w:pPr>
    </w:p>
    <w:p w14:paraId="517229C4">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b/>
          <w:bCs/>
          <w:color w:val="auto"/>
          <w:sz w:val="40"/>
          <w:szCs w:val="40"/>
          <w:highlight w:val="none"/>
          <w:lang w:val="en-US" w:eastAsia="zh-CN"/>
        </w:rPr>
      </w:pPr>
      <w:r>
        <w:rPr>
          <w:rFonts w:hint="eastAsia" w:ascii="仿宋" w:hAnsi="仿宋" w:eastAsia="仿宋" w:cs="仿宋"/>
          <w:b/>
          <w:bCs/>
          <w:color w:val="auto"/>
          <w:sz w:val="40"/>
          <w:szCs w:val="40"/>
          <w:highlight w:val="none"/>
          <w:lang w:val="en-US" w:eastAsia="zh-CN"/>
        </w:rPr>
        <w:t>机关两处廉政灶食材采购购买社会化服务</w:t>
      </w:r>
    </w:p>
    <w:p w14:paraId="405DBA74">
      <w:pPr>
        <w:spacing w:line="360" w:lineRule="auto"/>
        <w:ind w:firstLine="840" w:firstLineChars="350"/>
        <w:rPr>
          <w:rFonts w:hint="eastAsia" w:ascii="仿宋" w:hAnsi="仿宋" w:eastAsia="仿宋" w:cs="仿宋"/>
          <w:b w:val="0"/>
          <w:bCs w:val="0"/>
          <w:color w:val="auto"/>
          <w:sz w:val="24"/>
          <w:szCs w:val="24"/>
          <w:highlight w:val="none"/>
        </w:rPr>
      </w:pPr>
    </w:p>
    <w:p w14:paraId="1FEF795F">
      <w:pPr>
        <w:spacing w:line="360" w:lineRule="auto"/>
        <w:ind w:firstLine="840" w:firstLineChars="350"/>
        <w:rPr>
          <w:rFonts w:hint="eastAsia" w:ascii="仿宋" w:hAnsi="仿宋" w:eastAsia="仿宋" w:cs="仿宋"/>
          <w:b w:val="0"/>
          <w:bCs w:val="0"/>
          <w:color w:val="auto"/>
          <w:sz w:val="24"/>
          <w:szCs w:val="24"/>
          <w:highlight w:val="none"/>
        </w:rPr>
      </w:pPr>
    </w:p>
    <w:p w14:paraId="3BC21D3B">
      <w:pPr>
        <w:spacing w:line="360" w:lineRule="auto"/>
        <w:ind w:firstLine="840" w:firstLineChars="350"/>
        <w:rPr>
          <w:rFonts w:hint="eastAsia" w:ascii="仿宋" w:hAnsi="仿宋" w:eastAsia="仿宋" w:cs="仿宋"/>
          <w:b w:val="0"/>
          <w:bCs w:val="0"/>
          <w:color w:val="auto"/>
          <w:sz w:val="24"/>
          <w:szCs w:val="24"/>
          <w:highlight w:val="none"/>
        </w:rPr>
      </w:pPr>
    </w:p>
    <w:p w14:paraId="41718C0C">
      <w:pPr>
        <w:spacing w:line="360" w:lineRule="auto"/>
        <w:ind w:firstLine="840" w:firstLineChars="350"/>
        <w:rPr>
          <w:rFonts w:hint="eastAsia" w:ascii="仿宋" w:hAnsi="仿宋" w:eastAsia="仿宋" w:cs="仿宋"/>
          <w:b w:val="0"/>
          <w:bCs w:val="0"/>
          <w:color w:val="auto"/>
          <w:sz w:val="24"/>
          <w:szCs w:val="24"/>
          <w:highlight w:val="none"/>
        </w:rPr>
      </w:pPr>
    </w:p>
    <w:p w14:paraId="2C6D89ED">
      <w:pPr>
        <w:spacing w:line="360" w:lineRule="auto"/>
        <w:ind w:firstLine="1560" w:firstLineChars="65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采购人：</w:t>
      </w:r>
      <w:r>
        <w:rPr>
          <w:rFonts w:hint="eastAsia" w:ascii="仿宋" w:hAnsi="仿宋" w:eastAsia="仿宋" w:cs="仿宋"/>
          <w:b w:val="0"/>
          <w:bCs w:val="0"/>
          <w:color w:val="auto"/>
          <w:sz w:val="24"/>
          <w:szCs w:val="24"/>
          <w:highlight w:val="none"/>
          <w:u w:val="single"/>
          <w:lang w:val="en-US" w:eastAsia="zh-CN"/>
        </w:rPr>
        <w:t xml:space="preserve">                             </w:t>
      </w:r>
    </w:p>
    <w:p w14:paraId="243CF696">
      <w:pPr>
        <w:spacing w:line="360" w:lineRule="auto"/>
        <w:ind w:firstLine="1560" w:firstLineChars="650"/>
        <w:rPr>
          <w:rFonts w:hint="eastAsia" w:ascii="仿宋" w:hAnsi="仿宋" w:eastAsia="仿宋" w:cs="仿宋"/>
          <w:b w:val="0"/>
          <w:bCs w:val="0"/>
          <w:color w:val="auto"/>
          <w:sz w:val="24"/>
          <w:szCs w:val="24"/>
          <w:highlight w:val="none"/>
        </w:rPr>
      </w:pPr>
    </w:p>
    <w:p w14:paraId="5EB2BCCB">
      <w:pPr>
        <w:spacing w:line="360" w:lineRule="auto"/>
        <w:ind w:firstLine="1560" w:firstLineChars="65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成交供应商：</w:t>
      </w:r>
      <w:r>
        <w:rPr>
          <w:rFonts w:hint="eastAsia" w:ascii="仿宋" w:hAnsi="仿宋" w:eastAsia="仿宋" w:cs="仿宋"/>
          <w:b w:val="0"/>
          <w:bCs w:val="0"/>
          <w:color w:val="auto"/>
          <w:sz w:val="24"/>
          <w:szCs w:val="24"/>
          <w:highlight w:val="none"/>
          <w:u w:val="single"/>
          <w:lang w:val="en-US" w:eastAsia="zh-CN"/>
        </w:rPr>
        <w:t xml:space="preserve">                     </w:t>
      </w:r>
    </w:p>
    <w:p w14:paraId="6B144D1D">
      <w:pPr>
        <w:spacing w:line="360" w:lineRule="auto"/>
        <w:ind w:firstLine="1560" w:firstLineChars="650"/>
        <w:rPr>
          <w:rFonts w:hint="eastAsia" w:ascii="仿宋" w:hAnsi="仿宋" w:eastAsia="仿宋" w:cs="仿宋"/>
          <w:b w:val="0"/>
          <w:bCs w:val="0"/>
          <w:color w:val="auto"/>
          <w:sz w:val="24"/>
          <w:szCs w:val="24"/>
          <w:highlight w:val="none"/>
        </w:rPr>
      </w:pPr>
    </w:p>
    <w:p w14:paraId="75FB64B4">
      <w:pPr>
        <w:spacing w:line="360" w:lineRule="auto"/>
        <w:ind w:firstLine="1560" w:firstLineChars="650"/>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rPr>
        <w:t>签署日期：</w:t>
      </w:r>
      <w:r>
        <w:rPr>
          <w:rFonts w:hint="eastAsia" w:ascii="仿宋" w:hAnsi="仿宋" w:eastAsia="仿宋" w:cs="仿宋"/>
          <w:b w:val="0"/>
          <w:bCs w:val="0"/>
          <w:color w:val="auto"/>
          <w:sz w:val="24"/>
          <w:szCs w:val="24"/>
          <w:highlight w:val="none"/>
          <w:u w:val="single"/>
          <w:lang w:val="en-US" w:eastAsia="zh-CN"/>
        </w:rPr>
        <w:t xml:space="preserve">                           </w:t>
      </w:r>
    </w:p>
    <w:p w14:paraId="01ED2B24">
      <w:pPr>
        <w:spacing w:line="360" w:lineRule="auto"/>
        <w:ind w:firstLine="1560" w:firstLineChars="650"/>
        <w:rPr>
          <w:rFonts w:hint="eastAsia" w:ascii="仿宋" w:hAnsi="仿宋" w:eastAsia="仿宋" w:cs="仿宋"/>
          <w:b w:val="0"/>
          <w:bCs w:val="0"/>
          <w:color w:val="auto"/>
          <w:sz w:val="24"/>
          <w:szCs w:val="24"/>
          <w:highlight w:val="none"/>
          <w:u w:val="single"/>
          <w:lang w:val="en-US" w:eastAsia="zh-CN"/>
        </w:rPr>
      </w:pPr>
    </w:p>
    <w:p w14:paraId="049A24A1">
      <w:pPr>
        <w:spacing w:line="360" w:lineRule="auto"/>
        <w:ind w:firstLine="482" w:firstLineChars="200"/>
        <w:jc w:val="left"/>
        <w:rPr>
          <w:rFonts w:hint="eastAsia" w:ascii="仿宋" w:hAnsi="仿宋" w:eastAsia="仿宋" w:cs="仿宋"/>
          <w:b/>
          <w:bCs w:val="0"/>
          <w:color w:val="auto"/>
          <w:kern w:val="0"/>
          <w:sz w:val="24"/>
          <w:szCs w:val="24"/>
          <w:highlight w:val="none"/>
        </w:rPr>
      </w:pPr>
    </w:p>
    <w:p w14:paraId="1390A398">
      <w:pPr>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br w:type="page"/>
      </w:r>
    </w:p>
    <w:p w14:paraId="1CD024A7">
      <w:pPr>
        <w:widowControl/>
        <w:kinsoku w:val="0"/>
        <w:autoSpaceDE w:val="0"/>
        <w:autoSpaceDN w:val="0"/>
        <w:adjustRightInd w:val="0"/>
        <w:snapToGrid w:val="0"/>
        <w:spacing w:line="360" w:lineRule="auto"/>
        <w:ind w:left="4"/>
        <w:jc w:val="left"/>
        <w:textAlignment w:val="baseline"/>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en-US"/>
        </w:rPr>
        <w:t>采购人（甲方）：</w:t>
      </w:r>
      <w:r>
        <w:rPr>
          <w:rFonts w:hint="eastAsia" w:ascii="仿宋" w:hAnsi="仿宋" w:eastAsia="仿宋" w:cs="仿宋"/>
          <w:b/>
          <w:bCs/>
          <w:color w:val="auto"/>
          <w:sz w:val="24"/>
          <w:szCs w:val="24"/>
          <w:u w:val="single"/>
          <w:lang w:val="en-US" w:eastAsia="zh-CN"/>
        </w:rPr>
        <w:t>西安市未央区未央湖街道办事处</w:t>
      </w:r>
    </w:p>
    <w:p w14:paraId="45FA3A89">
      <w:pPr>
        <w:widowControl/>
        <w:kinsoku w:val="0"/>
        <w:autoSpaceDE w:val="0"/>
        <w:autoSpaceDN w:val="0"/>
        <w:adjustRightInd w:val="0"/>
        <w:snapToGrid w:val="0"/>
        <w:spacing w:line="360" w:lineRule="auto"/>
        <w:ind w:left="4"/>
        <w:jc w:val="left"/>
        <w:textAlignment w:val="baseline"/>
        <w:rPr>
          <w:rFonts w:hint="eastAsia" w:ascii="仿宋" w:hAnsi="仿宋" w:eastAsia="仿宋" w:cs="仿宋"/>
          <w:b w:val="0"/>
          <w:bCs w:val="0"/>
          <w:snapToGrid w:val="0"/>
          <w:color w:val="auto"/>
          <w:kern w:val="0"/>
          <w:sz w:val="24"/>
          <w:szCs w:val="24"/>
          <w:lang w:val="en-US" w:eastAsia="zh-CN"/>
        </w:rPr>
      </w:pPr>
      <w:r>
        <w:rPr>
          <w:rFonts w:hint="eastAsia" w:ascii="仿宋" w:hAnsi="仿宋" w:eastAsia="仿宋" w:cs="仿宋"/>
          <w:b/>
          <w:bCs/>
          <w:color w:val="auto"/>
          <w:sz w:val="24"/>
          <w:szCs w:val="24"/>
          <w:lang w:val="en-US" w:eastAsia="en-US"/>
        </w:rPr>
        <w:t>成交供应商（乙方）：</w:t>
      </w:r>
      <w:r>
        <w:rPr>
          <w:rFonts w:hint="eastAsia" w:ascii="仿宋" w:hAnsi="仿宋" w:eastAsia="仿宋" w:cs="仿宋"/>
          <w:b/>
          <w:bCs/>
          <w:color w:val="auto"/>
          <w:sz w:val="24"/>
          <w:szCs w:val="24"/>
          <w:u w:val="single"/>
          <w:lang w:val="en-US" w:eastAsia="zh-CN"/>
        </w:rPr>
        <w:t xml:space="preserve">                       </w:t>
      </w:r>
    </w:p>
    <w:p w14:paraId="0C788E86">
      <w:pPr>
        <w:widowControl/>
        <w:kinsoku w:val="0"/>
        <w:autoSpaceDE w:val="0"/>
        <w:autoSpaceDN w:val="0"/>
        <w:adjustRightInd w:val="0"/>
        <w:snapToGrid w:val="0"/>
        <w:spacing w:before="184" w:line="359" w:lineRule="auto"/>
        <w:ind w:left="3" w:firstLine="479"/>
        <w:jc w:val="both"/>
        <w:textAlignment w:val="baseline"/>
        <w:rPr>
          <w:rFonts w:hint="eastAsia" w:ascii="仿宋" w:hAnsi="仿宋" w:eastAsia="仿宋" w:cs="仿宋"/>
          <w:b w:val="0"/>
          <w:bCs w:val="0"/>
          <w:snapToGrid w:val="0"/>
          <w:color w:val="auto"/>
          <w:kern w:val="0"/>
          <w:sz w:val="24"/>
          <w:szCs w:val="24"/>
          <w:lang w:eastAsia="en-US"/>
        </w:rPr>
      </w:pPr>
      <w:r>
        <w:rPr>
          <w:rFonts w:hint="eastAsia" w:ascii="仿宋" w:hAnsi="仿宋" w:eastAsia="仿宋" w:cs="仿宋"/>
          <w:b w:val="0"/>
          <w:bCs w:val="0"/>
          <w:snapToGrid w:val="0"/>
          <w:color w:val="auto"/>
          <w:spacing w:val="-2"/>
          <w:kern w:val="0"/>
          <w:sz w:val="24"/>
          <w:szCs w:val="24"/>
          <w:lang w:eastAsia="en-US"/>
        </w:rPr>
        <w:t>根据《中华人民共和国民法典》、《中华人民共和国政府采购法》、《中华人民共和国政府采购法实施条例》、等法律法规，甲方通过竞争性磋商，选定乙方为成交单位</w:t>
      </w:r>
      <w:r>
        <w:rPr>
          <w:rFonts w:hint="eastAsia" w:ascii="仿宋" w:hAnsi="仿宋" w:eastAsia="仿宋" w:cs="仿宋"/>
          <w:b w:val="0"/>
          <w:bCs w:val="0"/>
          <w:snapToGrid w:val="0"/>
          <w:color w:val="auto"/>
          <w:kern w:val="0"/>
          <w:sz w:val="24"/>
          <w:szCs w:val="24"/>
          <w:lang w:eastAsia="en-US"/>
        </w:rPr>
        <w:t>。甲、乙双方在平等基础上协商一致，达成如下合同条款:</w:t>
      </w:r>
    </w:p>
    <w:p w14:paraId="38A3D6AA">
      <w:pPr>
        <w:widowControl/>
        <w:kinsoku w:val="0"/>
        <w:autoSpaceDE w:val="0"/>
        <w:autoSpaceDN w:val="0"/>
        <w:adjustRightInd w:val="0"/>
        <w:snapToGrid w:val="0"/>
        <w:spacing w:before="78" w:line="358" w:lineRule="auto"/>
        <w:ind w:left="1"/>
        <w:jc w:val="left"/>
        <w:textAlignment w:val="baseline"/>
        <w:rPr>
          <w:rFonts w:hint="eastAsia" w:ascii="仿宋" w:hAnsi="仿宋" w:eastAsia="仿宋" w:cs="仿宋"/>
          <w:b/>
          <w:bCs/>
          <w:color w:val="auto"/>
          <w:sz w:val="24"/>
          <w:szCs w:val="24"/>
          <w:lang w:val="en-US" w:eastAsia="en-US"/>
        </w:rPr>
      </w:pPr>
      <w:r>
        <w:rPr>
          <w:rFonts w:hint="eastAsia" w:ascii="仿宋" w:hAnsi="仿宋" w:eastAsia="仿宋" w:cs="仿宋"/>
          <w:b/>
          <w:bCs/>
          <w:color w:val="auto"/>
          <w:sz w:val="24"/>
          <w:szCs w:val="24"/>
          <w:lang w:val="en-US" w:eastAsia="en-US"/>
        </w:rPr>
        <w:t>一、服务内容及要求</w:t>
      </w:r>
    </w:p>
    <w:p w14:paraId="7FEF9BBA">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bCs/>
          <w:color w:val="auto"/>
          <w:sz w:val="24"/>
          <w:szCs w:val="24"/>
          <w:lang w:val="en-US" w:eastAsia="en-US"/>
        </w:rPr>
      </w:pPr>
      <w:r>
        <w:rPr>
          <w:rFonts w:hint="eastAsia" w:ascii="仿宋" w:hAnsi="仿宋" w:eastAsia="仿宋" w:cs="仿宋"/>
          <w:b/>
          <w:bCs/>
          <w:color w:val="auto"/>
          <w:sz w:val="24"/>
          <w:szCs w:val="24"/>
          <w:lang w:val="en-US" w:eastAsia="en-US"/>
        </w:rPr>
        <w:t>（一）服务内容：</w:t>
      </w:r>
    </w:p>
    <w:p w14:paraId="0ABF47F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本次采购内容主要为机关院内及便民中心廉政灶食材采买，供应商需根据采购人要求提供其食堂所需的主副食品，主要内容包括调味品及其他类；食用油、大米、面粉、豆制品、蔬菜类、大肉类、水果、水产类、禽蛋类等物资的采购及配送。</w:t>
      </w:r>
    </w:p>
    <w:p w14:paraId="55CA34FE">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bCs w:val="0"/>
          <w:color w:val="auto"/>
          <w:sz w:val="24"/>
          <w:szCs w:val="24"/>
          <w:lang w:val="en-US" w:eastAsia="zh-CN"/>
        </w:rPr>
        <w:t>（二）包装与质量要求</w:t>
      </w:r>
      <w:r>
        <w:rPr>
          <w:rFonts w:hint="eastAsia" w:ascii="仿宋" w:hAnsi="仿宋" w:eastAsia="仿宋" w:cs="仿宋"/>
          <w:b/>
          <w:bCs w:val="0"/>
          <w:color w:val="auto"/>
          <w:sz w:val="24"/>
          <w:szCs w:val="24"/>
          <w:lang w:val="en-US" w:eastAsia="zh-Hans"/>
        </w:rPr>
        <w:t>：</w:t>
      </w:r>
    </w:p>
    <w:p w14:paraId="2A9B6E5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1、所有货物外包装完好无破损渗漏，内部食材无霉变、腐烂、严重变形，不存在危及人身、财产安全的隐患。</w:t>
      </w:r>
    </w:p>
    <w:p w14:paraId="259D28D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2、食品包装标签应符合《食品安全国家标准预包装食品标签通则》（GB 7718-2011）要求，包括食品名称、配料表、净含量、规格、制造商（或）经销者的名称、地址和联系方式、生产日期和保质期、贮存条件、食品生产许可证编号、产品标准代号等内容。</w:t>
      </w:r>
    </w:p>
    <w:p w14:paraId="69A3744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3、供应商配送的食品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保证供应食材原料不存在腐烂过期变质现象，包装物的标识须与内品种一致；包装费用由供应商承担；包装不符合标准或约定，造成货物损毁灭失或其他后果的由供应商承担全部责任。</w:t>
      </w:r>
    </w:p>
    <w:p w14:paraId="211B9A92">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4、不得提供未经检疫或者检疫不合格的肉类品(含熟制品)、蔬菜制品，对带骨头肉制品按要求切块，须当批次《肉类卫生防疫证明》和蔬菜农药残留检测报告供采购人随时抽查，抽查发现供应商提供的物资合格证明材料与本批次物资不符时，成交供应商应及时免费更换或退货。</w:t>
      </w:r>
    </w:p>
    <w:p w14:paraId="329FFD0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5、不得提供来历不明、及相应产品标签的散装物品。</w:t>
      </w:r>
    </w:p>
    <w:p w14:paraId="38AA6F78">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6、当天送达食品，在检查过程中发现存在变质腐败、油脂酸败、霉变、生虫、污秽不洁、混有异物或者其他感官性状异常、含有毒有害物质或者被有毒有害物质污染，可能对人体健康有害的物品，供应商必须在当天及时更换货物，如有造成的损失由供应商承担。</w:t>
      </w:r>
    </w:p>
    <w:p w14:paraId="6A037F8E">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7、供应商必须按采购人指定的食品(原料、调料)品名、规格数量等要求及时进行供货。供应商供货不符合要求的，供应商应当及时调换，不得影响采购人使用。</w:t>
      </w:r>
    </w:p>
    <w:p w14:paraId="7BC8EBA2">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8、物资产品在送达采购人指定地点时保质期剩余时间应在三分之二以上。</w:t>
      </w:r>
    </w:p>
    <w:p w14:paraId="51375A41">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9、如因供应商提供的物资，因质量等问题而使采购人人员发生食物中毒事件的，供应商将承担相应的法律责任。</w:t>
      </w:r>
    </w:p>
    <w:p w14:paraId="48A3EC40">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10、供应商配送的食品应无毒、无害，具有完好的形、色、香、味等性状，并符合下述质量要求:</w:t>
      </w:r>
    </w:p>
    <w:p w14:paraId="38E75F7E">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（1）调味品及其他类供货</w:t>
      </w:r>
    </w:p>
    <w:p w14:paraId="50E67A6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①产品无发霉、无变质、无变味、不掺杂、不掺假、不掺水、干货无受潮；</w:t>
      </w:r>
    </w:p>
    <w:p w14:paraId="3F25E0DA">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②产品包装应该有产品名称、厂名、厂址或出产地等，应有产品质量合格证明；</w:t>
      </w:r>
    </w:p>
    <w:p w14:paraId="1DCADE5F">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③产品生产厂家应持有卫生许可证；</w:t>
      </w:r>
    </w:p>
    <w:p w14:paraId="5E61C32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④产品应符合国家食品卫生法规定的标准。</w:t>
      </w:r>
    </w:p>
    <w:p w14:paraId="2F13F21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（2）食用油供货:</w:t>
      </w:r>
    </w:p>
    <w:p w14:paraId="7C8E8B58">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食用油应外包装完好，有SC标志，标明品名、厂名、重量、 生产日期、保质期或保存期、执行标准，剩余保存期不少于保质期的三分之二，具有产品合格证。具有正常植物油的色泽、透明度、气味和滋味，无焦臭、酸败及其他异味。</w:t>
      </w:r>
    </w:p>
    <w:p w14:paraId="4A8ECEC5">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（3）豆制品供货：</w:t>
      </w:r>
    </w:p>
    <w:p w14:paraId="63EC6FC5">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豆腐、豆腐干、绿豆芽、黄豆芽、红豆等；须保证食材干净、不含非食品用化学物质、按统一标准加工、码放整齐、无须二次处理可以直接进行熟加工。</w:t>
      </w:r>
    </w:p>
    <w:p w14:paraId="7C66B7F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（4）蔬菜供货:</w:t>
      </w:r>
    </w:p>
    <w:p w14:paraId="22DACEB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①供应商销售给采购人的蔬菜应当是新鲜、青嫩、干净、无腐烂、无杂质、无杂草、无黄叶、无老叶、无浸水泡水或注水，并提供农药残留检测报告。</w:t>
      </w:r>
    </w:p>
    <w:p w14:paraId="4A9377D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②新鲜指各类蔬菜无腐烂、变质、无臭水伤味、无糟软状态，尤其是黄、绿豆芽鲜菌类应保持应有的新鲜度；</w:t>
      </w:r>
    </w:p>
    <w:p w14:paraId="45F70E28">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③青嫩是指绝大多数蔬菜(除冬瓜、南瓜等外)不但青而且嫩；豆角类及葫芦瓜等要保持青色，外壳不能呈白色；青菜类和白菜类的外叶折断时不能有丝相连不断连的现象；丝瓜、苦瓜等折而易断；鲜蒜叶子不黄，头部与杆部一般大小相同；干净、无杂质、无杂草泛指各类蔬菜，特别是根(块)茎类的蔬菜不能有泥巴，鲜蒜、香葱、香菜、洋葱等的根部要干净；</w:t>
      </w:r>
    </w:p>
    <w:p w14:paraId="7D4DCA35">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④无黄叶、老叶主要指青菜、白菜类不能有老叶，鲜蒜、香葱等的杆部应当见白；</w:t>
      </w:r>
    </w:p>
    <w:p w14:paraId="7D2C35D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⑤无浸水、泡水或注水主要指白菜类(含花菜)、瓜果类、鲜菌类及根(块)茎类蔬菜不能浸水、泡水或注水；</w:t>
      </w:r>
    </w:p>
    <w:p w14:paraId="65DE989A">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⑥净菜率须在95%以上。</w:t>
      </w:r>
    </w:p>
    <w:p w14:paraId="0BE83EFE">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（5）肉制品类供货:</w:t>
      </w:r>
    </w:p>
    <w:p w14:paraId="257FF55D">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①产品为在政府规定的屠宰场所屠杀的生鲜禽畜肉；</w:t>
      </w:r>
    </w:p>
    <w:p w14:paraId="432CA9CD">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②产品应符合国家食品安全标准；</w:t>
      </w:r>
    </w:p>
    <w:p w14:paraId="74FD5A8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③产品非病死禽畜肉；</w:t>
      </w:r>
    </w:p>
    <w:p w14:paraId="78852C5D">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④产品非“注水”禽畜肉、母猪肉、老猪肉；</w:t>
      </w:r>
    </w:p>
    <w:p w14:paraId="58E3140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⑤产品应经检验、检疫合格，有相应的检验、检疫证明，有当地卫生主管部门出具的动物检疫合格证明、有当地政府部门定点屠宰厂“瘦肉精”残留检测合格证明和肉品品质检验合格证供采购人随时抽查，抽查发现供应商提供的证明材料与鲜肉不符时，成交供应商应及时免费更换或退货。</w:t>
      </w:r>
    </w:p>
    <w:p w14:paraId="34046B38">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⑥新鲜的肉类，表面有光泽，颜色均匀，有弹性，不得呈现青紫色死斑。</w:t>
      </w:r>
    </w:p>
    <w:p w14:paraId="53AB4D20">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（6）水果类供货:</w:t>
      </w:r>
    </w:p>
    <w:p w14:paraId="16B2FBC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果形完整、质地好、新鲜，无影响消费的腐烂变质；清洁，基本不含可见异物，无坏死斑块，无明显的机械伤，基本无虫害，无冷害，无异常的外部水分，但冷藏取出后的冷凝水除外；无异常气味和味道，发育充分，达到适当的成熟度；带柄时，其长度不能超过1 cm。</w:t>
      </w:r>
    </w:p>
    <w:p w14:paraId="3FA5A66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（7）水产类供货:</w:t>
      </w:r>
    </w:p>
    <w:p w14:paraId="19AAC4A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鱼类：游水生猛，对外界刺激敏感，无翻肚；无嘴烂及其它外表损伤。鱼鳞完整有光泽，不易脱落，眼隔膜有光泽、透明，眼球突出；腹部坚实不膨胀，肛门内部洁净无异常红尾。大小均匀。</w:t>
      </w:r>
    </w:p>
    <w:p w14:paraId="69A9B76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（8）禽蛋类供货:</w:t>
      </w:r>
    </w:p>
    <w:p w14:paraId="0261653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应有禽蛋固有的色泽，鸡蛋为白色至浅红褐色之间，蛋壳清洁无破裂，打开后蛋壳凸起、完整、有韧性，蛋白澄清透明，层次分明，同一批次大小差异不明显。</w:t>
      </w:r>
    </w:p>
    <w:p w14:paraId="05EC4F15">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（四）运输要求：</w:t>
      </w:r>
    </w:p>
    <w:p w14:paraId="508B73ED">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Hans"/>
        </w:rPr>
      </w:pPr>
      <w:r>
        <w:rPr>
          <w:rFonts w:hint="eastAsia" w:ascii="仿宋" w:hAnsi="仿宋" w:eastAsia="仿宋" w:cs="仿宋"/>
          <w:b w:val="0"/>
          <w:bCs w:val="0"/>
          <w:color w:val="auto"/>
          <w:sz w:val="24"/>
          <w:szCs w:val="24"/>
          <w:lang w:val="en-US" w:eastAsia="zh-Hans"/>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w:t>
      </w:r>
    </w:p>
    <w:p w14:paraId="7CF61F1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bCs/>
          <w:color w:val="auto"/>
          <w:sz w:val="24"/>
          <w:szCs w:val="24"/>
          <w:lang w:val="en-US" w:eastAsia="en-US"/>
        </w:rPr>
      </w:pPr>
      <w:r>
        <w:rPr>
          <w:rFonts w:hint="eastAsia" w:ascii="仿宋" w:hAnsi="仿宋" w:eastAsia="仿宋" w:cs="仿宋"/>
          <w:b/>
          <w:bCs/>
          <w:color w:val="auto"/>
          <w:sz w:val="24"/>
          <w:szCs w:val="24"/>
          <w:lang w:val="en-US" w:eastAsia="zh-Hans"/>
        </w:rPr>
        <w:t>注：凡涉及国家或行业相关标准的以最新标准为准，所有食材均须符合《中华人民共和国食品卫生法》、《动物检疫法》、《食品安全国家标准食品添加剂使用标准》（GB2760-2014）等相关规定。</w:t>
      </w:r>
    </w:p>
    <w:p w14:paraId="6848328A">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default" w:ascii="仿宋" w:hAnsi="仿宋" w:eastAsia="仿宋" w:cs="仿宋"/>
          <w:b/>
          <w:bCs/>
          <w:snapToGrid w:val="0"/>
          <w:color w:val="auto"/>
          <w:kern w:val="0"/>
          <w:sz w:val="24"/>
          <w:szCs w:val="24"/>
          <w:lang w:val="en-US" w:eastAsia="zh-CN"/>
        </w:rPr>
      </w:pPr>
      <w:r>
        <w:rPr>
          <w:rFonts w:hint="eastAsia" w:ascii="仿宋" w:hAnsi="仿宋" w:eastAsia="仿宋" w:cs="仿宋"/>
          <w:b/>
          <w:bCs/>
          <w:color w:val="auto"/>
          <w:sz w:val="24"/>
          <w:szCs w:val="24"/>
          <w:lang w:val="en-US" w:eastAsia="en-US"/>
        </w:rPr>
        <w:t>（</w:t>
      </w:r>
      <w:r>
        <w:rPr>
          <w:rFonts w:hint="eastAsia" w:ascii="仿宋" w:hAnsi="仿宋" w:eastAsia="仿宋" w:cs="仿宋"/>
          <w:b/>
          <w:bCs/>
          <w:color w:val="auto"/>
          <w:sz w:val="24"/>
          <w:szCs w:val="24"/>
          <w:lang w:val="en-US" w:eastAsia="zh-CN"/>
        </w:rPr>
        <w:t>五</w:t>
      </w:r>
      <w:r>
        <w:rPr>
          <w:rFonts w:hint="eastAsia" w:ascii="仿宋" w:hAnsi="仿宋" w:eastAsia="仿宋" w:cs="仿宋"/>
          <w:b/>
          <w:bCs/>
          <w:color w:val="auto"/>
          <w:sz w:val="24"/>
          <w:szCs w:val="24"/>
          <w:lang w:val="en-US" w:eastAsia="en-US"/>
        </w:rPr>
        <w:t>）</w:t>
      </w:r>
      <w:r>
        <w:rPr>
          <w:rFonts w:hint="eastAsia" w:ascii="仿宋" w:hAnsi="仿宋" w:eastAsia="仿宋" w:cs="仿宋"/>
          <w:b/>
          <w:bCs/>
          <w:color w:val="auto"/>
          <w:sz w:val="24"/>
          <w:szCs w:val="24"/>
          <w:lang w:val="en-US" w:eastAsia="zh-CN"/>
        </w:rPr>
        <w:t>验收要求</w:t>
      </w:r>
    </w:p>
    <w:p w14:paraId="70F30A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保管员、采购员负责入库食品检验，当班厨师长配合质量验收，验收标准如下：</w:t>
      </w:r>
    </w:p>
    <w:p w14:paraId="30EB1B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（1）定型包装食品，应检验包装标识或者产品说明书是否标出品名、产地、厂名、生产日期、批号或者代号、规格、配方或者主要成份、保质期限、食用或者使用方法等，防止购进假冒伪劣产品，禁止“三无 ”产品进入食堂；</w:t>
      </w:r>
    </w:p>
    <w:p w14:paraId="050602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（2）主要食材中的定型包装食品，如米面油类应提供批次产品卫生主管部门的检验报告；</w:t>
      </w:r>
    </w:p>
    <w:p w14:paraId="628876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（3）包装污秽不洁、严重破损、运输工具不洁等造成污染的产品不得验收入库；</w:t>
      </w:r>
    </w:p>
    <w:p w14:paraId="395784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14:paraId="1C1371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（5）食堂采购员、库管员和当班厨师共同对所购食品原辅料的质量、数量进行核对验收，验收合格的及时入库，不合格产品应及时退回供应商，同时做好验收记录。食堂管理员不定时抽查；</w:t>
      </w:r>
    </w:p>
    <w:p w14:paraId="53198E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（6）货物配送⾄甲⽅指定地点，经验收合格后，⼄⽅提供所供货物清单，甲⽅对所供货物的品种、数量、价格进⾏核实，保管员和厨师共同验收，并在《原料购进验收单》上签字确认；</w:t>
      </w:r>
    </w:p>
    <w:p w14:paraId="673F59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（7）入库时，供应商配合保管员清点入库物品的数量、规格，做到数量、规格、品种准确无误，入库时按不同的材质、规格、功能和要求，分类、分别储存，做到账物相符。</w:t>
      </w:r>
    </w:p>
    <w:p w14:paraId="319C73F4">
      <w:pPr>
        <w:pStyle w:val="2"/>
        <w:rPr>
          <w:rFonts w:hint="default"/>
          <w:color w:val="auto"/>
          <w:lang w:val="en-US" w:eastAsia="zh-CN"/>
        </w:rPr>
      </w:pPr>
      <w:r>
        <w:rPr>
          <w:rFonts w:hint="eastAsia" w:ascii="仿宋" w:hAnsi="仿宋" w:eastAsia="仿宋" w:cs="仿宋"/>
          <w:b w:val="0"/>
          <w:bCs w:val="0"/>
          <w:color w:val="auto"/>
          <w:kern w:val="0"/>
          <w:sz w:val="24"/>
          <w:szCs w:val="24"/>
          <w:highlight w:val="none"/>
          <w:lang w:val="en-US" w:eastAsia="zh-CN"/>
        </w:rPr>
        <w:t>（8）对于单次配送数量短缺超 3%，扣除短缺部分货款的20%，单月累计短缺三次以上或全年累计短缺六次以上甲方有权单方面解除合同。</w:t>
      </w:r>
    </w:p>
    <w:p w14:paraId="3149BA8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二</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服务期</w:t>
      </w:r>
    </w:p>
    <w:p w14:paraId="325FB9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 xml:space="preserve"> 自合同签订生效之日起1年</w:t>
      </w:r>
    </w:p>
    <w:p w14:paraId="13B3ED8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lang w:val="en-US" w:eastAsia="zh-CN"/>
        </w:rPr>
        <w:t>三</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结款</w:t>
      </w:r>
      <w:r>
        <w:rPr>
          <w:rFonts w:hint="eastAsia" w:ascii="仿宋" w:hAnsi="仿宋" w:eastAsia="仿宋" w:cs="仿宋"/>
          <w:b/>
          <w:bCs/>
          <w:color w:val="auto"/>
          <w:kern w:val="0"/>
          <w:sz w:val="24"/>
          <w:szCs w:val="24"/>
          <w:highlight w:val="none"/>
          <w:lang w:val="en-US" w:eastAsia="zh-CN"/>
        </w:rPr>
        <w:t>金额和付款</w:t>
      </w:r>
      <w:r>
        <w:rPr>
          <w:rFonts w:hint="eastAsia" w:ascii="仿宋" w:hAnsi="仿宋" w:eastAsia="仿宋" w:cs="仿宋"/>
          <w:b/>
          <w:bCs/>
          <w:color w:val="auto"/>
          <w:kern w:val="0"/>
          <w:sz w:val="24"/>
          <w:szCs w:val="24"/>
          <w:highlight w:val="none"/>
        </w:rPr>
        <w:t>方式</w:t>
      </w:r>
    </w:p>
    <w:p w14:paraId="58EB761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（一）合同金额</w:t>
      </w:r>
    </w:p>
    <w:p w14:paraId="06E4BE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1、合同暂定总金额：</w:t>
      </w:r>
      <w:r>
        <w:rPr>
          <w:rFonts w:hint="eastAsia" w:ascii="仿宋" w:hAnsi="仿宋" w:eastAsia="仿宋" w:cs="仿宋"/>
          <w:b w:val="0"/>
          <w:bCs w:val="0"/>
          <w:color w:val="auto"/>
          <w:kern w:val="0"/>
          <w:sz w:val="24"/>
          <w:szCs w:val="24"/>
          <w:highlight w:val="none"/>
          <w:u w:val="single"/>
          <w:lang w:val="en-US" w:eastAsia="zh-CN"/>
        </w:rPr>
        <w:t xml:space="preserve">       </w:t>
      </w:r>
      <w:r>
        <w:rPr>
          <w:rFonts w:hint="eastAsia" w:ascii="仿宋" w:hAnsi="仿宋" w:eastAsia="仿宋" w:cs="仿宋"/>
          <w:b w:val="0"/>
          <w:bCs w:val="0"/>
          <w:color w:val="auto"/>
          <w:kern w:val="0"/>
          <w:sz w:val="24"/>
          <w:szCs w:val="24"/>
          <w:highlight w:val="none"/>
          <w:u w:val="none"/>
          <w:lang w:val="en-US" w:eastAsia="zh-CN"/>
        </w:rPr>
        <w:t>。</w:t>
      </w:r>
    </w:p>
    <w:p w14:paraId="20A98A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2、合同优惠率：</w:t>
      </w:r>
      <w:r>
        <w:rPr>
          <w:rFonts w:hint="eastAsia" w:ascii="仿宋" w:hAnsi="仿宋" w:eastAsia="仿宋" w:cs="仿宋"/>
          <w:b w:val="0"/>
          <w:bCs w:val="0"/>
          <w:color w:val="auto"/>
          <w:kern w:val="0"/>
          <w:sz w:val="24"/>
          <w:szCs w:val="24"/>
          <w:highlight w:val="none"/>
          <w:u w:val="single"/>
          <w:lang w:val="en-US" w:eastAsia="zh-CN"/>
        </w:rPr>
        <w:t xml:space="preserve">      </w:t>
      </w:r>
      <w:r>
        <w:rPr>
          <w:rFonts w:hint="eastAsia" w:ascii="仿宋" w:hAnsi="仿宋" w:eastAsia="仿宋" w:cs="仿宋"/>
          <w:b w:val="0"/>
          <w:bCs w:val="0"/>
          <w:color w:val="auto"/>
          <w:kern w:val="0"/>
          <w:sz w:val="24"/>
          <w:szCs w:val="24"/>
          <w:highlight w:val="none"/>
          <w:lang w:val="en-US" w:eastAsia="zh-CN"/>
        </w:rPr>
        <w:t>%。具体款项以实际发生费用为准，根据最终确定的（1-优惠率）*单价*数量确定，但不得超出财政局审批的采购预算。</w:t>
      </w:r>
    </w:p>
    <w:p w14:paraId="2E596A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3、中标优惠率在合同执行中不变,包括但不限于本项目的服务实施费用、人员工资、交通费、管理费、利润、风险、各种税金等所有成本，项目履约完成后结算总额不得超过合同总价款。</w:t>
      </w:r>
    </w:p>
    <w:p w14:paraId="23734C19">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4、定价机制：配送单价以欣桥市场、方欣市场、朱雀批发市场的价格取平均值作为配送单价，乙方市场询价后首先经甲方审核确认市场价，再取平均值后经甲方确认后采购。</w:t>
      </w:r>
    </w:p>
    <w:p w14:paraId="3668BE8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（二）付款方式</w:t>
      </w:r>
    </w:p>
    <w:p w14:paraId="32AC2D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1、付款前，供应商必须开具全额发票给采购人（附详细供货清单）。</w:t>
      </w:r>
    </w:p>
    <w:p w14:paraId="52AEC6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2、供应商应按照采购人要求，每天配送到配送至采购人指定地点，经采购人验收合格后，供应商提供所供货物清单，采购人对所供货物的价格进行核实（按各大菜场平均价格*（1-优惠率）核定结算价格），经核实无误后在供货单上签字确认。结算时按采购人签字确认的供货单据实结算。</w:t>
      </w:r>
    </w:p>
    <w:p w14:paraId="759C32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lang w:val="en-US" w:eastAsia="zh-CN"/>
        </w:rPr>
        <w:t>3、按月据实结算，次月5日前供应商将上月实际配送清单及对应每日市场价清单交于采购人，经采购人审核且双方无异议、采购人报财政部门审批流程通过后支付上月全部服务费用；付款前，供应商应开具与付款金额一致的正式发票给采购人，采购人收到发票后支付。否则，采购人有权拒绝付款且不承担任何违约责任，且供应商不得以此为由停止履行本合同项下的任意义务。</w:t>
      </w:r>
    </w:p>
    <w:p w14:paraId="610D61E4">
      <w:pPr>
        <w:keepNext w:val="0"/>
        <w:keepLines w:val="0"/>
        <w:pageBreakBefore w:val="0"/>
        <w:widowControl w:val="0"/>
        <w:tabs>
          <w:tab w:val="left" w:pos="312"/>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lang w:val="en-US" w:eastAsia="zh-CN"/>
        </w:rPr>
        <w:t>4、</w:t>
      </w:r>
      <w:r>
        <w:rPr>
          <w:rFonts w:hint="eastAsia" w:ascii="仿宋" w:hAnsi="仿宋" w:eastAsia="仿宋" w:cs="仿宋"/>
          <w:b w:val="0"/>
          <w:bCs w:val="0"/>
          <w:color w:val="auto"/>
          <w:kern w:val="0"/>
          <w:sz w:val="24"/>
          <w:szCs w:val="24"/>
          <w:highlight w:val="none"/>
        </w:rPr>
        <w:t>乙方开户行信息：</w:t>
      </w:r>
      <w:r>
        <w:rPr>
          <w:rFonts w:hint="eastAsia" w:ascii="仿宋" w:hAnsi="仿宋" w:eastAsia="仿宋" w:cs="仿宋"/>
          <w:b w:val="0"/>
          <w:bCs w:val="0"/>
          <w:color w:val="auto"/>
          <w:kern w:val="0"/>
          <w:sz w:val="24"/>
          <w:szCs w:val="24"/>
          <w:highlight w:val="none"/>
          <w:u w:val="single"/>
        </w:rPr>
        <w:t xml:space="preserve">                     </w:t>
      </w:r>
    </w:p>
    <w:p w14:paraId="5DC9096D">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仿宋" w:hAnsi="仿宋" w:eastAsia="仿宋" w:cs="仿宋"/>
          <w:b w:val="0"/>
          <w:bCs w:val="0"/>
          <w:color w:val="auto"/>
          <w:kern w:val="0"/>
          <w:sz w:val="24"/>
          <w:szCs w:val="24"/>
          <w:highlight w:val="none"/>
          <w:u w:val="single"/>
        </w:rPr>
      </w:pPr>
      <w:r>
        <w:rPr>
          <w:rFonts w:hint="eastAsia" w:ascii="仿宋" w:hAnsi="仿宋" w:eastAsia="仿宋" w:cs="仿宋"/>
          <w:b w:val="0"/>
          <w:bCs w:val="0"/>
          <w:color w:val="auto"/>
          <w:kern w:val="0"/>
          <w:sz w:val="24"/>
          <w:szCs w:val="24"/>
          <w:highlight w:val="none"/>
        </w:rPr>
        <w:t>开户行名称：</w:t>
      </w:r>
      <w:r>
        <w:rPr>
          <w:rFonts w:hint="eastAsia" w:ascii="仿宋" w:hAnsi="仿宋" w:eastAsia="仿宋" w:cs="仿宋"/>
          <w:b w:val="0"/>
          <w:bCs w:val="0"/>
          <w:color w:val="auto"/>
          <w:kern w:val="0"/>
          <w:sz w:val="24"/>
          <w:szCs w:val="24"/>
          <w:highlight w:val="none"/>
          <w:u w:val="single"/>
        </w:rPr>
        <w:t xml:space="preserve">                           </w:t>
      </w:r>
    </w:p>
    <w:p w14:paraId="49324B06">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仿宋" w:hAnsi="仿宋" w:eastAsia="仿宋" w:cs="仿宋"/>
          <w:b w:val="0"/>
          <w:bCs w:val="0"/>
          <w:color w:val="auto"/>
          <w:kern w:val="0"/>
          <w:sz w:val="24"/>
          <w:szCs w:val="24"/>
          <w:highlight w:val="none"/>
          <w:u w:val="single"/>
        </w:rPr>
      </w:pPr>
      <w:r>
        <w:rPr>
          <w:rFonts w:hint="eastAsia" w:ascii="仿宋" w:hAnsi="仿宋" w:eastAsia="仿宋" w:cs="仿宋"/>
          <w:b w:val="0"/>
          <w:bCs w:val="0"/>
          <w:color w:val="auto"/>
          <w:kern w:val="0"/>
          <w:sz w:val="24"/>
          <w:szCs w:val="24"/>
          <w:highlight w:val="none"/>
        </w:rPr>
        <w:t>账      号</w:t>
      </w:r>
      <w:r>
        <w:rPr>
          <w:rFonts w:hint="eastAsia" w:ascii="仿宋" w:hAnsi="仿宋" w:eastAsia="仿宋" w:cs="仿宋"/>
          <w:b w:val="0"/>
          <w:bCs w:val="0"/>
          <w:color w:val="auto"/>
          <w:kern w:val="0"/>
          <w:sz w:val="24"/>
          <w:szCs w:val="24"/>
          <w:highlight w:val="none"/>
          <w:u w:val="single"/>
        </w:rPr>
        <w:t xml:space="preserve">  </w:t>
      </w:r>
      <w:r>
        <w:rPr>
          <w:rFonts w:hint="eastAsia" w:ascii="仿宋" w:hAnsi="仿宋" w:eastAsia="仿宋" w:cs="仿宋"/>
          <w:b w:val="0"/>
          <w:bCs w:val="0"/>
          <w:color w:val="auto"/>
          <w:kern w:val="0"/>
          <w:sz w:val="24"/>
          <w:szCs w:val="24"/>
          <w:highlight w:val="none"/>
          <w:u w:val="single"/>
          <w:lang w:val="en-US" w:eastAsia="zh-CN"/>
        </w:rPr>
        <w:t xml:space="preserve">                       </w:t>
      </w:r>
      <w:r>
        <w:rPr>
          <w:rFonts w:hint="eastAsia" w:ascii="仿宋" w:hAnsi="仿宋" w:eastAsia="仿宋" w:cs="仿宋"/>
          <w:b w:val="0"/>
          <w:bCs w:val="0"/>
          <w:color w:val="auto"/>
          <w:kern w:val="0"/>
          <w:sz w:val="24"/>
          <w:szCs w:val="24"/>
          <w:highlight w:val="none"/>
          <w:u w:val="single"/>
        </w:rPr>
        <w:t xml:space="preserve">    </w:t>
      </w:r>
    </w:p>
    <w:p w14:paraId="67670A10">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仿宋" w:hAnsi="仿宋" w:eastAsia="仿宋" w:cs="仿宋"/>
          <w:b/>
          <w:bCs/>
          <w:color w:val="auto"/>
          <w:sz w:val="24"/>
          <w:szCs w:val="24"/>
          <w:lang w:val="en-US" w:eastAsia="en-US"/>
        </w:rPr>
      </w:pPr>
      <w:r>
        <w:rPr>
          <w:rFonts w:hint="eastAsia" w:ascii="仿宋" w:hAnsi="仿宋" w:eastAsia="仿宋" w:cs="仿宋"/>
          <w:b/>
          <w:bCs/>
          <w:color w:val="auto"/>
          <w:sz w:val="24"/>
          <w:szCs w:val="24"/>
          <w:lang w:val="en-US" w:eastAsia="zh-CN"/>
        </w:rPr>
        <w:t>四</w:t>
      </w:r>
      <w:r>
        <w:rPr>
          <w:rFonts w:hint="eastAsia" w:ascii="仿宋" w:hAnsi="仿宋" w:eastAsia="仿宋" w:cs="仿宋"/>
          <w:b/>
          <w:bCs/>
          <w:color w:val="auto"/>
          <w:sz w:val="24"/>
          <w:szCs w:val="24"/>
          <w:lang w:val="en-US" w:eastAsia="en-US"/>
        </w:rPr>
        <w:t>、违约责任</w:t>
      </w:r>
    </w:p>
    <w:p w14:paraId="780475CA">
      <w:pPr>
        <w:widowControl/>
        <w:kinsoku w:val="0"/>
        <w:autoSpaceDE w:val="0"/>
        <w:autoSpaceDN w:val="0"/>
        <w:adjustRightInd w:val="0"/>
        <w:snapToGrid w:val="0"/>
        <w:spacing w:before="183" w:line="465" w:lineRule="exact"/>
        <w:ind w:right="8"/>
        <w:jc w:val="right"/>
        <w:textAlignment w:val="baseline"/>
        <w:rPr>
          <w:rFonts w:hint="eastAsia" w:ascii="仿宋" w:hAnsi="仿宋" w:eastAsia="仿宋" w:cs="仿宋"/>
          <w:b w:val="0"/>
          <w:bCs w:val="0"/>
          <w:snapToGrid w:val="0"/>
          <w:color w:val="auto"/>
          <w:kern w:val="0"/>
          <w:sz w:val="24"/>
          <w:szCs w:val="24"/>
          <w:lang w:eastAsia="en-US"/>
        </w:rPr>
      </w:pPr>
      <w:r>
        <w:rPr>
          <w:rFonts w:hint="eastAsia" w:ascii="仿宋" w:hAnsi="仿宋" w:eastAsia="仿宋" w:cs="仿宋"/>
          <w:b w:val="0"/>
          <w:bCs w:val="0"/>
          <w:snapToGrid w:val="0"/>
          <w:color w:val="auto"/>
          <w:spacing w:val="1"/>
          <w:kern w:val="0"/>
          <w:position w:val="17"/>
          <w:sz w:val="24"/>
          <w:szCs w:val="24"/>
          <w:lang w:eastAsia="en-US"/>
        </w:rPr>
        <w:t>1、甲乙双方如因为其他原因要解除合约，应提前一个月通知对方，如有一方违反</w:t>
      </w:r>
    </w:p>
    <w:p w14:paraId="34538856">
      <w:pPr>
        <w:widowControl/>
        <w:kinsoku w:val="0"/>
        <w:autoSpaceDE w:val="0"/>
        <w:autoSpaceDN w:val="0"/>
        <w:adjustRightInd w:val="0"/>
        <w:snapToGrid w:val="0"/>
        <w:spacing w:before="1" w:line="219" w:lineRule="auto"/>
        <w:jc w:val="left"/>
        <w:textAlignment w:val="baseline"/>
        <w:rPr>
          <w:rFonts w:hint="eastAsia" w:ascii="仿宋" w:hAnsi="仿宋" w:eastAsia="仿宋" w:cs="仿宋"/>
          <w:b w:val="0"/>
          <w:bCs w:val="0"/>
          <w:snapToGrid w:val="0"/>
          <w:color w:val="auto"/>
          <w:kern w:val="0"/>
          <w:sz w:val="24"/>
          <w:szCs w:val="24"/>
          <w:lang w:eastAsia="en-US"/>
        </w:rPr>
      </w:pPr>
      <w:r>
        <w:rPr>
          <w:rFonts w:hint="eastAsia" w:ascii="仿宋" w:hAnsi="仿宋" w:eastAsia="仿宋" w:cs="仿宋"/>
          <w:b w:val="0"/>
          <w:bCs w:val="0"/>
          <w:snapToGrid w:val="0"/>
          <w:color w:val="auto"/>
          <w:kern w:val="0"/>
          <w:sz w:val="24"/>
          <w:szCs w:val="24"/>
          <w:lang w:eastAsia="en-US"/>
        </w:rPr>
        <w:t>将补偿对方一个月服务费，同时按照相关法律</w:t>
      </w:r>
      <w:r>
        <w:rPr>
          <w:rFonts w:hint="eastAsia" w:ascii="仿宋" w:hAnsi="仿宋" w:eastAsia="仿宋" w:cs="仿宋"/>
          <w:b w:val="0"/>
          <w:bCs w:val="0"/>
          <w:snapToGrid w:val="0"/>
          <w:color w:val="auto"/>
          <w:spacing w:val="-1"/>
          <w:kern w:val="0"/>
          <w:sz w:val="24"/>
          <w:szCs w:val="24"/>
          <w:lang w:eastAsia="en-US"/>
        </w:rPr>
        <w:t>法规承担相应处罚。</w:t>
      </w:r>
    </w:p>
    <w:p w14:paraId="0D204500">
      <w:pPr>
        <w:widowControl/>
        <w:kinsoku w:val="0"/>
        <w:autoSpaceDE w:val="0"/>
        <w:autoSpaceDN w:val="0"/>
        <w:adjustRightInd w:val="0"/>
        <w:snapToGrid w:val="0"/>
        <w:spacing w:before="182" w:line="466" w:lineRule="exact"/>
        <w:jc w:val="right"/>
        <w:textAlignment w:val="baseline"/>
        <w:rPr>
          <w:rFonts w:hint="eastAsia" w:ascii="仿宋" w:hAnsi="仿宋" w:eastAsia="仿宋" w:cs="仿宋"/>
          <w:b w:val="0"/>
          <w:bCs w:val="0"/>
          <w:snapToGrid w:val="0"/>
          <w:color w:val="auto"/>
          <w:kern w:val="0"/>
          <w:sz w:val="24"/>
          <w:szCs w:val="24"/>
          <w:lang w:eastAsia="en-US"/>
        </w:rPr>
      </w:pPr>
      <w:r>
        <w:rPr>
          <w:rFonts w:hint="eastAsia" w:ascii="仿宋" w:hAnsi="仿宋" w:eastAsia="仿宋" w:cs="仿宋"/>
          <w:b w:val="0"/>
          <w:bCs w:val="0"/>
          <w:snapToGrid w:val="0"/>
          <w:color w:val="auto"/>
          <w:spacing w:val="2"/>
          <w:kern w:val="0"/>
          <w:position w:val="17"/>
          <w:sz w:val="24"/>
          <w:szCs w:val="24"/>
          <w:lang w:eastAsia="en-US"/>
        </w:rPr>
        <w:t>2、乙方不认真履行合同条款或因其它理由突然终</w:t>
      </w:r>
      <w:r>
        <w:rPr>
          <w:rFonts w:hint="eastAsia" w:ascii="仿宋" w:hAnsi="仿宋" w:eastAsia="仿宋" w:cs="仿宋"/>
          <w:b w:val="0"/>
          <w:bCs w:val="0"/>
          <w:snapToGrid w:val="0"/>
          <w:color w:val="auto"/>
          <w:spacing w:val="1"/>
          <w:kern w:val="0"/>
          <w:position w:val="17"/>
          <w:sz w:val="24"/>
          <w:szCs w:val="24"/>
          <w:lang w:eastAsia="en-US"/>
        </w:rPr>
        <w:t>止合同，视为乙方单方违约，甲</w:t>
      </w:r>
    </w:p>
    <w:p w14:paraId="0056A1FA">
      <w:pPr>
        <w:widowControl/>
        <w:kinsoku w:val="0"/>
        <w:autoSpaceDE w:val="0"/>
        <w:autoSpaceDN w:val="0"/>
        <w:adjustRightInd w:val="0"/>
        <w:snapToGrid w:val="0"/>
        <w:spacing w:before="1" w:line="219" w:lineRule="auto"/>
        <w:ind w:left="2"/>
        <w:jc w:val="left"/>
        <w:textAlignment w:val="baseline"/>
        <w:rPr>
          <w:rFonts w:hint="eastAsia" w:ascii="仿宋" w:hAnsi="仿宋" w:eastAsia="仿宋" w:cs="仿宋"/>
          <w:b w:val="0"/>
          <w:bCs w:val="0"/>
          <w:snapToGrid w:val="0"/>
          <w:color w:val="auto"/>
          <w:kern w:val="0"/>
          <w:sz w:val="24"/>
          <w:szCs w:val="24"/>
          <w:lang w:eastAsia="en-US"/>
        </w:rPr>
      </w:pPr>
      <w:r>
        <w:rPr>
          <w:rFonts w:hint="eastAsia" w:ascii="仿宋" w:hAnsi="仿宋" w:eastAsia="仿宋" w:cs="仿宋"/>
          <w:b w:val="0"/>
          <w:bCs w:val="0"/>
          <w:snapToGrid w:val="0"/>
          <w:color w:val="auto"/>
          <w:spacing w:val="-1"/>
          <w:kern w:val="0"/>
          <w:sz w:val="24"/>
          <w:szCs w:val="24"/>
          <w:lang w:eastAsia="en-US"/>
        </w:rPr>
        <w:t>方即废除同乙方合同，乙方须赔偿甲方当月服务费。</w:t>
      </w:r>
    </w:p>
    <w:p w14:paraId="661EDE20">
      <w:pPr>
        <w:widowControl/>
        <w:kinsoku w:val="0"/>
        <w:autoSpaceDE w:val="0"/>
        <w:autoSpaceDN w:val="0"/>
        <w:adjustRightInd w:val="0"/>
        <w:snapToGrid w:val="0"/>
        <w:spacing w:before="182" w:line="466" w:lineRule="exact"/>
        <w:ind w:right="8"/>
        <w:jc w:val="right"/>
        <w:textAlignment w:val="baseline"/>
        <w:rPr>
          <w:rFonts w:hint="eastAsia" w:ascii="仿宋" w:hAnsi="仿宋" w:eastAsia="仿宋" w:cs="仿宋"/>
          <w:b w:val="0"/>
          <w:bCs w:val="0"/>
          <w:snapToGrid w:val="0"/>
          <w:color w:val="auto"/>
          <w:kern w:val="0"/>
          <w:sz w:val="24"/>
          <w:szCs w:val="24"/>
          <w:lang w:eastAsia="en-US"/>
        </w:rPr>
      </w:pPr>
      <w:r>
        <w:rPr>
          <w:rFonts w:hint="eastAsia" w:ascii="仿宋" w:hAnsi="仿宋" w:eastAsia="仿宋" w:cs="仿宋"/>
          <w:b w:val="0"/>
          <w:bCs w:val="0"/>
          <w:snapToGrid w:val="0"/>
          <w:color w:val="auto"/>
          <w:spacing w:val="2"/>
          <w:kern w:val="0"/>
          <w:position w:val="17"/>
          <w:sz w:val="24"/>
          <w:szCs w:val="24"/>
          <w:lang w:eastAsia="en-US"/>
        </w:rPr>
        <w:t>3、甲方无正当理由拒付乙方服务费或无故拖</w:t>
      </w:r>
      <w:r>
        <w:rPr>
          <w:rFonts w:hint="eastAsia" w:ascii="仿宋" w:hAnsi="仿宋" w:eastAsia="仿宋" w:cs="仿宋"/>
          <w:b w:val="0"/>
          <w:bCs w:val="0"/>
          <w:snapToGrid w:val="0"/>
          <w:color w:val="auto"/>
          <w:spacing w:val="1"/>
          <w:kern w:val="0"/>
          <w:position w:val="17"/>
          <w:sz w:val="24"/>
          <w:szCs w:val="24"/>
          <w:lang w:eastAsia="en-US"/>
        </w:rPr>
        <w:t>欠服务费一个月以上时，乙方有权单</w:t>
      </w:r>
    </w:p>
    <w:p w14:paraId="5DC9A6AB">
      <w:pPr>
        <w:widowControl/>
        <w:kinsoku w:val="0"/>
        <w:autoSpaceDE w:val="0"/>
        <w:autoSpaceDN w:val="0"/>
        <w:adjustRightInd w:val="0"/>
        <w:snapToGrid w:val="0"/>
        <w:spacing w:line="219" w:lineRule="auto"/>
        <w:ind w:left="2"/>
        <w:jc w:val="left"/>
        <w:textAlignment w:val="baseline"/>
        <w:rPr>
          <w:rFonts w:hint="eastAsia" w:ascii="仿宋" w:hAnsi="仿宋" w:eastAsia="仿宋" w:cs="仿宋"/>
          <w:b w:val="0"/>
          <w:bCs w:val="0"/>
          <w:snapToGrid w:val="0"/>
          <w:color w:val="auto"/>
          <w:kern w:val="0"/>
          <w:sz w:val="24"/>
          <w:szCs w:val="24"/>
          <w:lang w:eastAsia="en-US"/>
        </w:rPr>
      </w:pPr>
      <w:r>
        <w:rPr>
          <w:rFonts w:hint="eastAsia" w:ascii="仿宋" w:hAnsi="仿宋" w:eastAsia="仿宋" w:cs="仿宋"/>
          <w:b w:val="0"/>
          <w:bCs w:val="0"/>
          <w:snapToGrid w:val="0"/>
          <w:color w:val="auto"/>
          <w:spacing w:val="-1"/>
          <w:kern w:val="0"/>
          <w:sz w:val="24"/>
          <w:szCs w:val="24"/>
          <w:lang w:eastAsia="en-US"/>
        </w:rPr>
        <w:t>方解除合同并撤回派驻人员。甲方须承担追加一个月服务费违约金。</w:t>
      </w:r>
    </w:p>
    <w:p w14:paraId="72D6042B">
      <w:pPr>
        <w:widowControl/>
        <w:kinsoku w:val="0"/>
        <w:autoSpaceDE w:val="0"/>
        <w:autoSpaceDN w:val="0"/>
        <w:adjustRightInd w:val="0"/>
        <w:snapToGrid w:val="0"/>
        <w:spacing w:before="183" w:line="359" w:lineRule="auto"/>
        <w:ind w:left="1" w:right="8" w:firstLine="479"/>
        <w:jc w:val="left"/>
        <w:textAlignment w:val="baseline"/>
        <w:rPr>
          <w:rFonts w:hint="eastAsia" w:ascii="仿宋" w:hAnsi="仿宋" w:eastAsia="仿宋" w:cs="仿宋"/>
          <w:b w:val="0"/>
          <w:bCs w:val="0"/>
          <w:snapToGrid w:val="0"/>
          <w:color w:val="auto"/>
          <w:kern w:val="0"/>
          <w:sz w:val="24"/>
          <w:szCs w:val="24"/>
          <w:lang w:eastAsia="en-US"/>
        </w:rPr>
      </w:pPr>
      <w:r>
        <w:rPr>
          <w:rFonts w:hint="eastAsia" w:ascii="仿宋" w:hAnsi="仿宋" w:eastAsia="仿宋" w:cs="仿宋"/>
          <w:b w:val="0"/>
          <w:bCs w:val="0"/>
          <w:snapToGrid w:val="0"/>
          <w:color w:val="auto"/>
          <w:spacing w:val="2"/>
          <w:kern w:val="0"/>
          <w:sz w:val="24"/>
          <w:szCs w:val="24"/>
          <w:lang w:eastAsia="en-US"/>
        </w:rPr>
        <w:t>4、乙方在工作中故意或疏忽而出现的责任事故因乙方原因</w:t>
      </w:r>
      <w:r>
        <w:rPr>
          <w:rFonts w:hint="eastAsia" w:ascii="仿宋" w:hAnsi="仿宋" w:eastAsia="仿宋" w:cs="仿宋"/>
          <w:b w:val="0"/>
          <w:bCs w:val="0"/>
          <w:snapToGrid w:val="0"/>
          <w:color w:val="auto"/>
          <w:spacing w:val="1"/>
          <w:kern w:val="0"/>
          <w:sz w:val="24"/>
          <w:szCs w:val="24"/>
          <w:lang w:eastAsia="en-US"/>
        </w:rPr>
        <w:t>造成他人人身伤害、财</w:t>
      </w:r>
      <w:r>
        <w:rPr>
          <w:rFonts w:hint="eastAsia" w:ascii="仿宋" w:hAnsi="仿宋" w:eastAsia="仿宋" w:cs="仿宋"/>
          <w:b w:val="0"/>
          <w:bCs w:val="0"/>
          <w:snapToGrid w:val="0"/>
          <w:color w:val="auto"/>
          <w:spacing w:val="-2"/>
          <w:kern w:val="0"/>
          <w:sz w:val="24"/>
          <w:szCs w:val="24"/>
          <w:lang w:eastAsia="en-US"/>
        </w:rPr>
        <w:t>产损失及严重损失甲方声誉的，每出现一次，乙方除承担相关赔偿责任，甲方有权单方面解除本合同。</w:t>
      </w:r>
    </w:p>
    <w:p w14:paraId="106C9409">
      <w:pPr>
        <w:widowControl/>
        <w:kinsoku w:val="0"/>
        <w:autoSpaceDE w:val="0"/>
        <w:autoSpaceDN w:val="0"/>
        <w:adjustRightInd w:val="0"/>
        <w:snapToGrid w:val="0"/>
        <w:spacing w:before="184" w:line="466" w:lineRule="exact"/>
        <w:ind w:right="6"/>
        <w:jc w:val="right"/>
        <w:textAlignment w:val="baseline"/>
        <w:rPr>
          <w:rFonts w:hint="eastAsia" w:ascii="仿宋" w:hAnsi="仿宋" w:eastAsia="仿宋" w:cs="仿宋"/>
          <w:b w:val="0"/>
          <w:bCs w:val="0"/>
          <w:snapToGrid w:val="0"/>
          <w:color w:val="auto"/>
          <w:kern w:val="0"/>
          <w:sz w:val="24"/>
          <w:szCs w:val="24"/>
          <w:lang w:eastAsia="en-US"/>
        </w:rPr>
      </w:pPr>
      <w:r>
        <w:rPr>
          <w:rFonts w:hint="eastAsia" w:ascii="仿宋" w:hAnsi="仿宋" w:eastAsia="仿宋" w:cs="仿宋"/>
          <w:b w:val="0"/>
          <w:bCs w:val="0"/>
          <w:snapToGrid w:val="0"/>
          <w:color w:val="auto"/>
          <w:spacing w:val="2"/>
          <w:kern w:val="0"/>
          <w:position w:val="17"/>
          <w:sz w:val="24"/>
          <w:szCs w:val="24"/>
          <w:lang w:eastAsia="en-US"/>
        </w:rPr>
        <w:t>5、乙方人员违反合同所约定之义务，影响合同约定</w:t>
      </w:r>
      <w:r>
        <w:rPr>
          <w:rFonts w:hint="eastAsia" w:ascii="仿宋" w:hAnsi="仿宋" w:eastAsia="仿宋" w:cs="仿宋"/>
          <w:b w:val="0"/>
          <w:bCs w:val="0"/>
          <w:snapToGrid w:val="0"/>
          <w:color w:val="auto"/>
          <w:spacing w:val="1"/>
          <w:kern w:val="0"/>
          <w:position w:val="17"/>
          <w:sz w:val="24"/>
          <w:szCs w:val="24"/>
          <w:lang w:eastAsia="en-US"/>
        </w:rPr>
        <w:t>区域的安全或导致甲方其他方</w:t>
      </w:r>
    </w:p>
    <w:p w14:paraId="365E6E1C">
      <w:pPr>
        <w:widowControl/>
        <w:kinsoku w:val="0"/>
        <w:autoSpaceDE w:val="0"/>
        <w:autoSpaceDN w:val="0"/>
        <w:adjustRightInd w:val="0"/>
        <w:snapToGrid w:val="0"/>
        <w:spacing w:before="1" w:line="360" w:lineRule="auto"/>
        <w:jc w:val="right"/>
        <w:textAlignment w:val="baseline"/>
        <w:rPr>
          <w:rFonts w:hint="eastAsia" w:ascii="仿宋" w:hAnsi="仿宋" w:eastAsia="仿宋" w:cs="仿宋"/>
          <w:b w:val="0"/>
          <w:bCs w:val="0"/>
          <w:snapToGrid w:val="0"/>
          <w:color w:val="auto"/>
          <w:kern w:val="0"/>
          <w:sz w:val="24"/>
          <w:szCs w:val="24"/>
          <w:lang w:eastAsia="en-US"/>
        </w:rPr>
      </w:pPr>
      <w:r>
        <w:rPr>
          <w:rFonts w:hint="eastAsia" w:ascii="仿宋" w:hAnsi="仿宋" w:eastAsia="仿宋" w:cs="仿宋"/>
          <w:b w:val="0"/>
          <w:bCs w:val="0"/>
          <w:snapToGrid w:val="0"/>
          <w:color w:val="auto"/>
          <w:spacing w:val="-1"/>
          <w:kern w:val="0"/>
          <w:sz w:val="24"/>
          <w:szCs w:val="24"/>
          <w:lang w:eastAsia="en-US"/>
        </w:rPr>
        <w:t>面损害，经甲方书面警告仍无整改，甲方有权单方面终</w:t>
      </w:r>
      <w:r>
        <w:rPr>
          <w:rFonts w:hint="eastAsia" w:ascii="仿宋" w:hAnsi="仿宋" w:eastAsia="仿宋" w:cs="仿宋"/>
          <w:b w:val="0"/>
          <w:bCs w:val="0"/>
          <w:snapToGrid w:val="0"/>
          <w:color w:val="auto"/>
          <w:spacing w:val="-2"/>
          <w:kern w:val="0"/>
          <w:sz w:val="24"/>
          <w:szCs w:val="24"/>
          <w:lang w:eastAsia="en-US"/>
        </w:rPr>
        <w:t>止合同，而无须承担任何责任。</w:t>
      </w:r>
    </w:p>
    <w:p w14:paraId="3743317D">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五、不可抗力</w:t>
      </w:r>
    </w:p>
    <w:p w14:paraId="1E130BA0">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如果合同任何一方因战争、火灾、洪水、台风、地震和其他不可抗力原因,影响了合同的履行，则可根据受影响的程度顺延合同履行期限，这一期限应相当于事故所影响的时间、并可根据情况部分或者全部免于承担违约责任。但若一方违约在先，不得以此后发生不可抗力为由免除其违约责任。</w:t>
      </w:r>
    </w:p>
    <w:p w14:paraId="1B5A45C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2、受不可抗力影响的一方应在事件发生后，立即通知对方，并在十日内以书面方式向对方提供该不可抗力事件的证明文件(如政府公告、新闻报道等)，并应于不可抗力事件结束后，立即恢复对本合同的履行。</w:t>
      </w:r>
    </w:p>
    <w:p w14:paraId="6B4DCBE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3、如果不可抗力事件后果影响本合同执行超过180天,双方则就未来合同的履行另行商议。</w:t>
      </w:r>
    </w:p>
    <w:p w14:paraId="7E655413">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仿宋" w:hAnsi="仿宋" w:eastAsia="仿宋" w:cs="仿宋"/>
          <w:b/>
          <w:bCs/>
          <w:color w:val="auto"/>
          <w:sz w:val="24"/>
          <w:szCs w:val="24"/>
          <w:lang w:val="en-US" w:eastAsia="en-US"/>
        </w:rPr>
      </w:pPr>
      <w:r>
        <w:rPr>
          <w:rFonts w:hint="eastAsia" w:ascii="仿宋" w:hAnsi="仿宋" w:eastAsia="仿宋" w:cs="仿宋"/>
          <w:b/>
          <w:bCs/>
          <w:color w:val="auto"/>
          <w:sz w:val="24"/>
          <w:szCs w:val="24"/>
          <w:lang w:val="en-US" w:eastAsia="en-US"/>
        </w:rPr>
        <w:t>六、合同争议的解决</w:t>
      </w:r>
    </w:p>
    <w:p w14:paraId="7CB69A89">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en-US"/>
        </w:rPr>
      </w:pPr>
      <w:r>
        <w:rPr>
          <w:rFonts w:hint="eastAsia" w:ascii="仿宋" w:hAnsi="仿宋" w:eastAsia="仿宋" w:cs="仿宋"/>
          <w:b w:val="0"/>
          <w:bCs w:val="0"/>
          <w:color w:val="auto"/>
          <w:sz w:val="24"/>
          <w:szCs w:val="24"/>
          <w:lang w:val="en-US" w:eastAsia="zh-CN"/>
        </w:rPr>
        <w:t>1、</w:t>
      </w:r>
      <w:r>
        <w:rPr>
          <w:rFonts w:hint="eastAsia" w:ascii="仿宋" w:hAnsi="仿宋" w:eastAsia="仿宋" w:cs="仿宋"/>
          <w:b w:val="0"/>
          <w:bCs w:val="0"/>
          <w:color w:val="auto"/>
          <w:sz w:val="24"/>
          <w:szCs w:val="24"/>
          <w:lang w:val="en-US" w:eastAsia="en-US"/>
        </w:rPr>
        <w:t>合同一经签订，不得随意变更、中止或终止。对确需变更、调整或者中止、终止合同的，应按规定履行相应的手续。</w:t>
      </w:r>
    </w:p>
    <w:p w14:paraId="3F2AE7F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en-US"/>
        </w:rPr>
      </w:pPr>
      <w:r>
        <w:rPr>
          <w:rFonts w:hint="eastAsia" w:ascii="仿宋" w:hAnsi="仿宋" w:eastAsia="仿宋" w:cs="仿宋"/>
          <w:b w:val="0"/>
          <w:bCs w:val="0"/>
          <w:color w:val="auto"/>
          <w:sz w:val="24"/>
          <w:szCs w:val="24"/>
          <w:lang w:val="en-US" w:eastAsia="zh-CN"/>
        </w:rPr>
        <w:t>2、</w:t>
      </w:r>
      <w:r>
        <w:rPr>
          <w:rFonts w:hint="eastAsia" w:ascii="仿宋" w:hAnsi="仿宋" w:eastAsia="仿宋" w:cs="仿宋"/>
          <w:b w:val="0"/>
          <w:bCs w:val="0"/>
          <w:color w:val="auto"/>
          <w:sz w:val="24"/>
          <w:szCs w:val="24"/>
          <w:lang w:val="en-US" w:eastAsia="en-US"/>
        </w:rPr>
        <w:t>合同执行中发生争议的，甲、乙双方应协商解决，协商达不成一致时，可向甲方所在地人民法院提请诉讼。</w:t>
      </w:r>
    </w:p>
    <w:p w14:paraId="486A7B56">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仿宋" w:hAnsi="仿宋" w:eastAsia="仿宋" w:cs="仿宋"/>
          <w:b/>
          <w:bCs/>
          <w:color w:val="auto"/>
          <w:sz w:val="24"/>
          <w:szCs w:val="24"/>
          <w:lang w:val="en-US" w:eastAsia="en-US"/>
        </w:rPr>
      </w:pPr>
      <w:r>
        <w:rPr>
          <w:rFonts w:hint="eastAsia" w:ascii="仿宋" w:hAnsi="仿宋" w:eastAsia="仿宋" w:cs="仿宋"/>
          <w:b/>
          <w:bCs/>
          <w:color w:val="auto"/>
          <w:sz w:val="24"/>
          <w:szCs w:val="24"/>
          <w:lang w:val="en-US" w:eastAsia="en-US"/>
        </w:rPr>
        <w:t>七、其它事项</w:t>
      </w:r>
    </w:p>
    <w:p w14:paraId="6E965B7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en-US"/>
        </w:rPr>
      </w:pPr>
      <w:r>
        <w:rPr>
          <w:rFonts w:hint="eastAsia" w:ascii="仿宋" w:hAnsi="仿宋" w:eastAsia="仿宋" w:cs="仿宋"/>
          <w:b w:val="0"/>
          <w:bCs w:val="0"/>
          <w:color w:val="auto"/>
          <w:sz w:val="24"/>
          <w:szCs w:val="24"/>
          <w:lang w:val="en-US" w:eastAsia="en-US"/>
        </w:rPr>
        <w:t>1、甲、乙双方作为合同执行的主体，有义务及时完全履行合同。</w:t>
      </w:r>
    </w:p>
    <w:p w14:paraId="600B00D5">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en-US"/>
        </w:rPr>
      </w:pPr>
      <w:r>
        <w:rPr>
          <w:rFonts w:hint="eastAsia" w:ascii="仿宋" w:hAnsi="仿宋" w:eastAsia="仿宋" w:cs="仿宋"/>
          <w:b w:val="0"/>
          <w:bCs w:val="0"/>
          <w:color w:val="auto"/>
          <w:sz w:val="24"/>
          <w:szCs w:val="24"/>
          <w:lang w:val="en-US" w:eastAsia="en-US"/>
        </w:rPr>
        <w:t>2、合同未尽事宜，由甲、乙双方协商签订补充协议，作为本合同不可分割的组成</w:t>
      </w:r>
    </w:p>
    <w:p w14:paraId="30EEE6E9">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lang w:val="en-US" w:eastAsia="en-US"/>
        </w:rPr>
      </w:pPr>
      <w:r>
        <w:rPr>
          <w:rFonts w:hint="eastAsia" w:ascii="仿宋" w:hAnsi="仿宋" w:eastAsia="仿宋" w:cs="仿宋"/>
          <w:b w:val="0"/>
          <w:bCs w:val="0"/>
          <w:color w:val="auto"/>
          <w:sz w:val="24"/>
          <w:szCs w:val="24"/>
          <w:lang w:val="en-US" w:eastAsia="en-US"/>
        </w:rPr>
        <w:t>部分，与本合同具有同等法律效力。</w:t>
      </w:r>
    </w:p>
    <w:p w14:paraId="583071D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en-US"/>
        </w:rPr>
      </w:pPr>
      <w:r>
        <w:rPr>
          <w:rFonts w:hint="eastAsia" w:ascii="仿宋" w:hAnsi="仿宋" w:eastAsia="仿宋" w:cs="仿宋"/>
          <w:b w:val="0"/>
          <w:bCs w:val="0"/>
          <w:color w:val="auto"/>
          <w:sz w:val="24"/>
          <w:szCs w:val="24"/>
          <w:lang w:val="en-US" w:eastAsia="en-US"/>
        </w:rPr>
        <w:t>3、磋商文件和乙方的磋商响应文件以及合同附件均为合同不可分割的部分。</w:t>
      </w:r>
    </w:p>
    <w:p w14:paraId="6D6B940E">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仿宋" w:hAnsi="仿宋" w:eastAsia="仿宋" w:cs="仿宋"/>
          <w:b w:val="0"/>
          <w:bCs w:val="0"/>
          <w:color w:val="auto"/>
          <w:sz w:val="24"/>
          <w:szCs w:val="24"/>
          <w:lang w:val="en-US" w:eastAsia="en-US"/>
        </w:rPr>
      </w:pPr>
      <w:r>
        <w:rPr>
          <w:rFonts w:hint="eastAsia" w:ascii="仿宋" w:hAnsi="仿宋" w:eastAsia="仿宋" w:cs="仿宋"/>
          <w:b w:val="0"/>
          <w:bCs w:val="0"/>
          <w:color w:val="auto"/>
          <w:sz w:val="24"/>
          <w:szCs w:val="24"/>
          <w:lang w:val="en-US" w:eastAsia="en-US"/>
        </w:rPr>
        <w:t>4、合同一式</w:t>
      </w:r>
      <w:r>
        <w:rPr>
          <w:rFonts w:hint="eastAsia" w:ascii="仿宋" w:hAnsi="仿宋" w:eastAsia="仿宋" w:cs="仿宋"/>
          <w:b w:val="0"/>
          <w:bCs w:val="0"/>
          <w:color w:val="auto"/>
          <w:sz w:val="24"/>
          <w:szCs w:val="24"/>
          <w:u w:val="single"/>
          <w:lang w:val="en-US" w:eastAsia="en-US"/>
        </w:rPr>
        <w:t xml:space="preserve">     </w:t>
      </w:r>
      <w:r>
        <w:rPr>
          <w:rFonts w:hint="eastAsia" w:ascii="仿宋" w:hAnsi="仿宋" w:eastAsia="仿宋" w:cs="仿宋"/>
          <w:b w:val="0"/>
          <w:bCs w:val="0"/>
          <w:color w:val="auto"/>
          <w:sz w:val="24"/>
          <w:szCs w:val="24"/>
          <w:lang w:val="en-US" w:eastAsia="en-US"/>
        </w:rPr>
        <w:t>份，甲方持</w:t>
      </w:r>
      <w:r>
        <w:rPr>
          <w:rFonts w:hint="eastAsia" w:ascii="仿宋" w:hAnsi="仿宋" w:eastAsia="仿宋" w:cs="仿宋"/>
          <w:b w:val="0"/>
          <w:bCs w:val="0"/>
          <w:color w:val="auto"/>
          <w:sz w:val="24"/>
          <w:szCs w:val="24"/>
          <w:u w:val="single"/>
          <w:lang w:val="en-US" w:eastAsia="en-US"/>
        </w:rPr>
        <w:t xml:space="preserve">    </w:t>
      </w:r>
      <w:r>
        <w:rPr>
          <w:rFonts w:hint="eastAsia" w:ascii="仿宋" w:hAnsi="仿宋" w:eastAsia="仿宋" w:cs="仿宋"/>
          <w:b w:val="0"/>
          <w:bCs w:val="0"/>
          <w:color w:val="auto"/>
          <w:sz w:val="24"/>
          <w:szCs w:val="24"/>
          <w:lang w:val="en-US" w:eastAsia="en-US"/>
        </w:rPr>
        <w:t>份、乙方执</w:t>
      </w:r>
      <w:r>
        <w:rPr>
          <w:rFonts w:hint="eastAsia" w:ascii="仿宋" w:hAnsi="仿宋" w:eastAsia="仿宋" w:cs="仿宋"/>
          <w:b w:val="0"/>
          <w:bCs w:val="0"/>
          <w:color w:val="auto"/>
          <w:sz w:val="24"/>
          <w:szCs w:val="24"/>
          <w:u w:val="single"/>
          <w:lang w:val="en-US" w:eastAsia="en-US"/>
        </w:rPr>
        <w:t xml:space="preserve">     </w:t>
      </w:r>
      <w:r>
        <w:rPr>
          <w:rFonts w:hint="eastAsia" w:ascii="仿宋" w:hAnsi="仿宋" w:eastAsia="仿宋" w:cs="仿宋"/>
          <w:b w:val="0"/>
          <w:bCs w:val="0"/>
          <w:color w:val="auto"/>
          <w:sz w:val="24"/>
          <w:szCs w:val="24"/>
          <w:lang w:val="en-US" w:eastAsia="en-US"/>
        </w:rPr>
        <w:t>份。双方签字盖章后生效，合同执行完毕自动失效。</w:t>
      </w:r>
    </w:p>
    <w:p w14:paraId="02CBF065">
      <w:pPr>
        <w:widowControl/>
        <w:kinsoku w:val="0"/>
        <w:autoSpaceDE w:val="0"/>
        <w:autoSpaceDN w:val="0"/>
        <w:adjustRightInd w:val="0"/>
        <w:snapToGrid w:val="0"/>
        <w:spacing w:line="148" w:lineRule="exact"/>
        <w:jc w:val="left"/>
        <w:textAlignment w:val="baseline"/>
        <w:rPr>
          <w:rFonts w:hint="eastAsia" w:ascii="仿宋" w:hAnsi="仿宋" w:eastAsia="仿宋" w:cs="仿宋"/>
          <w:b w:val="0"/>
          <w:bCs w:val="0"/>
          <w:snapToGrid w:val="0"/>
          <w:color w:val="auto"/>
          <w:kern w:val="0"/>
          <w:sz w:val="24"/>
          <w:szCs w:val="24"/>
          <w:lang w:eastAsia="en-US"/>
        </w:rPr>
      </w:pPr>
    </w:p>
    <w:tbl>
      <w:tblPr>
        <w:tblStyle w:val="3"/>
        <w:tblW w:w="0" w:type="auto"/>
        <w:jc w:val="center"/>
        <w:tblLayout w:type="fixed"/>
        <w:tblCellMar>
          <w:top w:w="0" w:type="dxa"/>
          <w:left w:w="108" w:type="dxa"/>
          <w:bottom w:w="0" w:type="dxa"/>
          <w:right w:w="108" w:type="dxa"/>
        </w:tblCellMar>
      </w:tblPr>
      <w:tblGrid>
        <w:gridCol w:w="4201"/>
        <w:gridCol w:w="4202"/>
      </w:tblGrid>
      <w:tr w14:paraId="64AA1384">
        <w:tblPrEx>
          <w:tblCellMar>
            <w:top w:w="0" w:type="dxa"/>
            <w:left w:w="108" w:type="dxa"/>
            <w:bottom w:w="0" w:type="dxa"/>
            <w:right w:w="108" w:type="dxa"/>
          </w:tblCellMar>
        </w:tblPrEx>
        <w:trPr>
          <w:trHeight w:val="567" w:hRule="exact"/>
          <w:jc w:val="center"/>
        </w:trPr>
        <w:tc>
          <w:tcPr>
            <w:tcW w:w="4201" w:type="dxa"/>
            <w:vAlign w:val="center"/>
          </w:tcPr>
          <w:p w14:paraId="530CDFF3">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甲  方</w:t>
            </w:r>
          </w:p>
        </w:tc>
        <w:tc>
          <w:tcPr>
            <w:tcW w:w="4202" w:type="dxa"/>
            <w:vAlign w:val="center"/>
          </w:tcPr>
          <w:p w14:paraId="5F5327F6">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乙  方</w:t>
            </w:r>
          </w:p>
        </w:tc>
      </w:tr>
      <w:tr w14:paraId="7BEB7D37">
        <w:tblPrEx>
          <w:tblCellMar>
            <w:top w:w="0" w:type="dxa"/>
            <w:left w:w="108" w:type="dxa"/>
            <w:bottom w:w="0" w:type="dxa"/>
            <w:right w:w="108" w:type="dxa"/>
          </w:tblCellMar>
        </w:tblPrEx>
        <w:trPr>
          <w:trHeight w:val="567" w:hRule="exact"/>
          <w:jc w:val="center"/>
        </w:trPr>
        <w:tc>
          <w:tcPr>
            <w:tcW w:w="4201" w:type="dxa"/>
            <w:vAlign w:val="center"/>
          </w:tcPr>
          <w:p w14:paraId="5987AEF7">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（盖章）</w:t>
            </w:r>
          </w:p>
        </w:tc>
        <w:tc>
          <w:tcPr>
            <w:tcW w:w="4202" w:type="dxa"/>
            <w:vAlign w:val="center"/>
          </w:tcPr>
          <w:p w14:paraId="4FAAC991">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（盖章）</w:t>
            </w:r>
          </w:p>
        </w:tc>
      </w:tr>
      <w:tr w14:paraId="4787DF47">
        <w:tblPrEx>
          <w:tblCellMar>
            <w:top w:w="0" w:type="dxa"/>
            <w:left w:w="108" w:type="dxa"/>
            <w:bottom w:w="0" w:type="dxa"/>
            <w:right w:w="108" w:type="dxa"/>
          </w:tblCellMar>
        </w:tblPrEx>
        <w:trPr>
          <w:trHeight w:val="567" w:hRule="exact"/>
          <w:jc w:val="center"/>
        </w:trPr>
        <w:tc>
          <w:tcPr>
            <w:tcW w:w="4201" w:type="dxa"/>
            <w:vAlign w:val="center"/>
          </w:tcPr>
          <w:p w14:paraId="33311AF1">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地址： </w:t>
            </w:r>
          </w:p>
        </w:tc>
        <w:tc>
          <w:tcPr>
            <w:tcW w:w="4202" w:type="dxa"/>
            <w:vAlign w:val="center"/>
          </w:tcPr>
          <w:p w14:paraId="158D574C">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地址：</w:t>
            </w:r>
          </w:p>
        </w:tc>
      </w:tr>
      <w:tr w14:paraId="4C312CBD">
        <w:tblPrEx>
          <w:tblCellMar>
            <w:top w:w="0" w:type="dxa"/>
            <w:left w:w="108" w:type="dxa"/>
            <w:bottom w:w="0" w:type="dxa"/>
            <w:right w:w="108" w:type="dxa"/>
          </w:tblCellMar>
        </w:tblPrEx>
        <w:trPr>
          <w:trHeight w:val="567" w:hRule="exact"/>
          <w:jc w:val="center"/>
        </w:trPr>
        <w:tc>
          <w:tcPr>
            <w:tcW w:w="4201" w:type="dxa"/>
            <w:vAlign w:val="center"/>
          </w:tcPr>
          <w:p w14:paraId="26FF0D8C">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邮编：</w:t>
            </w:r>
          </w:p>
        </w:tc>
        <w:tc>
          <w:tcPr>
            <w:tcW w:w="4202" w:type="dxa"/>
            <w:vAlign w:val="center"/>
          </w:tcPr>
          <w:p w14:paraId="28980936">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邮编：</w:t>
            </w:r>
          </w:p>
        </w:tc>
      </w:tr>
      <w:tr w14:paraId="7378B689">
        <w:tblPrEx>
          <w:tblCellMar>
            <w:top w:w="0" w:type="dxa"/>
            <w:left w:w="108" w:type="dxa"/>
            <w:bottom w:w="0" w:type="dxa"/>
            <w:right w:w="108" w:type="dxa"/>
          </w:tblCellMar>
        </w:tblPrEx>
        <w:trPr>
          <w:trHeight w:val="567" w:hRule="exact"/>
          <w:jc w:val="center"/>
        </w:trPr>
        <w:tc>
          <w:tcPr>
            <w:tcW w:w="4201" w:type="dxa"/>
            <w:vAlign w:val="center"/>
          </w:tcPr>
          <w:p w14:paraId="70DF0E51">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法定代表人： </w:t>
            </w:r>
          </w:p>
        </w:tc>
        <w:tc>
          <w:tcPr>
            <w:tcW w:w="4202" w:type="dxa"/>
            <w:vAlign w:val="center"/>
          </w:tcPr>
          <w:p w14:paraId="46044CB0">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w:t>
            </w:r>
          </w:p>
        </w:tc>
      </w:tr>
      <w:tr w14:paraId="38373D34">
        <w:tblPrEx>
          <w:tblCellMar>
            <w:top w:w="0" w:type="dxa"/>
            <w:left w:w="108" w:type="dxa"/>
            <w:bottom w:w="0" w:type="dxa"/>
            <w:right w:w="108" w:type="dxa"/>
          </w:tblCellMar>
        </w:tblPrEx>
        <w:trPr>
          <w:trHeight w:val="567" w:hRule="exact"/>
          <w:jc w:val="center"/>
        </w:trPr>
        <w:tc>
          <w:tcPr>
            <w:tcW w:w="4201" w:type="dxa"/>
            <w:vAlign w:val="center"/>
          </w:tcPr>
          <w:p w14:paraId="7A8CFBA5">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或被授权代表：</w:t>
            </w:r>
          </w:p>
        </w:tc>
        <w:tc>
          <w:tcPr>
            <w:tcW w:w="4202" w:type="dxa"/>
            <w:vAlign w:val="center"/>
          </w:tcPr>
          <w:p w14:paraId="00944D27">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或被授权代表</w:t>
            </w:r>
          </w:p>
        </w:tc>
      </w:tr>
      <w:tr w14:paraId="41011831">
        <w:tblPrEx>
          <w:tblCellMar>
            <w:top w:w="0" w:type="dxa"/>
            <w:left w:w="108" w:type="dxa"/>
            <w:bottom w:w="0" w:type="dxa"/>
            <w:right w:w="108" w:type="dxa"/>
          </w:tblCellMar>
        </w:tblPrEx>
        <w:trPr>
          <w:trHeight w:val="567" w:hRule="exact"/>
          <w:jc w:val="center"/>
        </w:trPr>
        <w:tc>
          <w:tcPr>
            <w:tcW w:w="4201" w:type="dxa"/>
            <w:vAlign w:val="center"/>
          </w:tcPr>
          <w:p w14:paraId="38806908">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电话：</w:t>
            </w:r>
          </w:p>
        </w:tc>
        <w:tc>
          <w:tcPr>
            <w:tcW w:w="4202" w:type="dxa"/>
            <w:vAlign w:val="center"/>
          </w:tcPr>
          <w:p w14:paraId="597B8915">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电话：</w:t>
            </w:r>
          </w:p>
        </w:tc>
      </w:tr>
      <w:tr w14:paraId="5AB32A43">
        <w:tblPrEx>
          <w:tblCellMar>
            <w:top w:w="0" w:type="dxa"/>
            <w:left w:w="108" w:type="dxa"/>
            <w:bottom w:w="0" w:type="dxa"/>
            <w:right w:w="108" w:type="dxa"/>
          </w:tblCellMar>
        </w:tblPrEx>
        <w:trPr>
          <w:trHeight w:val="567" w:hRule="exact"/>
          <w:jc w:val="center"/>
        </w:trPr>
        <w:tc>
          <w:tcPr>
            <w:tcW w:w="4201" w:type="dxa"/>
            <w:vAlign w:val="center"/>
          </w:tcPr>
          <w:p w14:paraId="2BE34339">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传真：</w:t>
            </w:r>
          </w:p>
        </w:tc>
        <w:tc>
          <w:tcPr>
            <w:tcW w:w="4202" w:type="dxa"/>
            <w:vAlign w:val="center"/>
          </w:tcPr>
          <w:p w14:paraId="1A369907">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传真：</w:t>
            </w:r>
          </w:p>
        </w:tc>
      </w:tr>
      <w:tr w14:paraId="4D4B6891">
        <w:tblPrEx>
          <w:tblCellMar>
            <w:top w:w="0" w:type="dxa"/>
            <w:left w:w="108" w:type="dxa"/>
            <w:bottom w:w="0" w:type="dxa"/>
            <w:right w:w="108" w:type="dxa"/>
          </w:tblCellMar>
        </w:tblPrEx>
        <w:trPr>
          <w:trHeight w:val="567" w:hRule="exact"/>
          <w:jc w:val="center"/>
        </w:trPr>
        <w:tc>
          <w:tcPr>
            <w:tcW w:w="4201" w:type="dxa"/>
            <w:vAlign w:val="center"/>
          </w:tcPr>
          <w:p w14:paraId="19515283">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开户银行：</w:t>
            </w:r>
          </w:p>
        </w:tc>
        <w:tc>
          <w:tcPr>
            <w:tcW w:w="4202" w:type="dxa"/>
            <w:vAlign w:val="center"/>
          </w:tcPr>
          <w:p w14:paraId="4C1FC518">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开户银行：</w:t>
            </w:r>
          </w:p>
        </w:tc>
      </w:tr>
      <w:tr w14:paraId="0ED896B7">
        <w:tblPrEx>
          <w:tblCellMar>
            <w:top w:w="0" w:type="dxa"/>
            <w:left w:w="108" w:type="dxa"/>
            <w:bottom w:w="0" w:type="dxa"/>
            <w:right w:w="108" w:type="dxa"/>
          </w:tblCellMar>
        </w:tblPrEx>
        <w:trPr>
          <w:trHeight w:val="567" w:hRule="exact"/>
          <w:jc w:val="center"/>
        </w:trPr>
        <w:tc>
          <w:tcPr>
            <w:tcW w:w="4201" w:type="dxa"/>
            <w:vAlign w:val="center"/>
          </w:tcPr>
          <w:p w14:paraId="3AF263F0">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日期：</w:t>
            </w:r>
          </w:p>
        </w:tc>
        <w:tc>
          <w:tcPr>
            <w:tcW w:w="4202" w:type="dxa"/>
            <w:vAlign w:val="center"/>
          </w:tcPr>
          <w:p w14:paraId="194C536E">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日期：</w:t>
            </w:r>
          </w:p>
        </w:tc>
      </w:tr>
    </w:tbl>
    <w:p w14:paraId="512E320F">
      <w:pPr>
        <w:widowControl w:val="0"/>
        <w:spacing w:line="300" w:lineRule="auto"/>
        <w:ind w:left="0" w:leftChars="0" w:firstLine="0" w:firstLineChars="0"/>
        <w:jc w:val="both"/>
        <w:rPr>
          <w:rFonts w:hint="eastAsia" w:ascii="Times New Roman" w:hAnsi="Calibri" w:eastAsia="宋体" w:cs="Times New Roman"/>
          <w:kern w:val="2"/>
          <w:sz w:val="21"/>
          <w:szCs w:val="24"/>
          <w:lang w:val="en-US" w:eastAsia="zh-CN" w:bidi="ar-SA"/>
        </w:rPr>
      </w:pPr>
    </w:p>
    <w:p w14:paraId="2431C941"/>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0C6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2026-08-25T05:46:15Z</dcterms:created>
  <dc:creator>PC</dc:creator>
  <cp:lastModifiedBy>doit</cp:lastModifiedBy>
  <dcterms:modified xsi:type="dcterms:W3CDTF">2026-08-25T05:47:02Z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C23A3981423240F0A67F8DDF0BCCB4AF_12</vt:lpwstr>
  </property>
</Properties>
</file>