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w:t>
      </w:r>
      <w:r>
        <w:rPr>
          <w:rFonts w:hint="eastAsia" w:ascii="仿宋" w:hAnsi="仿宋" w:eastAsia="仿宋" w:cs="仿宋"/>
          <w:highlight w:val="none"/>
          <w:lang w:val="en-US" w:eastAsia="zh-CN"/>
        </w:rPr>
        <w:t>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highlight w:val="none"/>
          <w:lang w:val="en-US" w:eastAsia="zh-CN"/>
        </w:rPr>
        <w:t>2.财务状况报告：（1）提</w:t>
      </w:r>
      <w:r>
        <w:rPr>
          <w:rFonts w:hint="eastAsia" w:ascii="仿宋" w:hAnsi="仿宋" w:eastAsia="仿宋" w:cs="仿宋"/>
          <w:color w:val="auto"/>
          <w:highlight w:val="none"/>
          <w:lang w:val="en-US" w:eastAsia="zh-CN"/>
        </w:rPr>
        <w:t>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w:t>
      </w:r>
      <w:r>
        <w:rPr>
          <w:rFonts w:hint="eastAsia" w:ascii="仿宋" w:hAnsi="仿宋" w:eastAsia="仿宋" w:cs="仿宋"/>
          <w:color w:val="auto"/>
          <w:lang w:val="en-US" w:eastAsia="zh-CN"/>
        </w:rPr>
        <w:t>经审</w:t>
      </w:r>
      <w:r>
        <w:rPr>
          <w:rFonts w:hint="eastAsia" w:ascii="仿宋" w:hAnsi="仿宋" w:eastAsia="仿宋" w:cs="仿宋"/>
          <w:lang w:val="en-US" w:eastAsia="zh-CN"/>
        </w:rPr>
        <w:t>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w:t>
      </w:r>
      <w:r>
        <w:rPr>
          <w:rFonts w:hint="eastAsia" w:ascii="仿宋" w:hAnsi="仿宋" w:eastAsia="仿宋" w:cs="仿宋"/>
          <w:lang w:val="en-US" w:eastAsia="zh-CN"/>
        </w:rPr>
        <w:t>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lang w:val="en-US" w:eastAsia="zh-CN"/>
        </w:rPr>
        <w:t>2.供应商未被“信用中国”网站（www.creditchina.gov.cn）列入失信被执行人（页面跳转至“中国执</w:t>
      </w:r>
      <w:r>
        <w:rPr>
          <w:rFonts w:hint="eastAsia" w:ascii="仿宋" w:hAnsi="仿宋" w:eastAsia="仿宋" w:cs="仿宋"/>
          <w:color w:val="auto"/>
          <w:lang w:val="en-US" w:eastAsia="zh-CN"/>
        </w:rPr>
        <w:t>行信息公开网”http://zxgk.court.gov.cn/shixin/）和重大税收违法失信主体，未被“中国政府采购网”（www.ccgp.gov.cn）列入政府采购严重违法失信行为记录名单。</w:t>
      </w:r>
    </w:p>
    <w:p w14:paraId="1664C36D">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3.供应商为生产企业的须提供有效的《食品生产许可证》及《食品经营许可证》；供应商为代理商的须提供有效的《食品经营许可证》。</w:t>
      </w:r>
    </w:p>
    <w:p w14:paraId="58578EF3">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4.须提供肉蛋类生产企业有效的《动物防疫条件合格证》。</w:t>
      </w:r>
    </w:p>
    <w:p w14:paraId="04BAED0D">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rPr>
          <w:rFonts w:hint="eastAsia" w:ascii="仿宋" w:hAnsi="仿宋" w:eastAsia="仿宋" w:cs="仿宋"/>
        </w:rPr>
      </w:pPr>
      <w:r>
        <w:rPr>
          <w:rFonts w:hint="eastAsia" w:ascii="仿宋" w:hAnsi="仿宋" w:eastAsia="仿宋" w:cs="仿宋"/>
          <w:color w:val="auto"/>
          <w:sz w:val="24"/>
          <w:szCs w:val="24"/>
          <w:highlight w:val="none"/>
          <w:lang w:eastAsia="zh-CN"/>
        </w:rPr>
        <w:t>注：法定代表人参加时无需提供。</w:t>
      </w:r>
      <w:bookmarkStart w:id="25" w:name="_GoBack"/>
      <w:bookmarkEnd w:id="25"/>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9C3BA55">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sz w:val="28"/>
          <w:szCs w:val="28"/>
          <w:highlight w:val="none"/>
          <w:lang w:val="en-US" w:eastAsia="zh-CN"/>
        </w:rPr>
        <w:t>书面声明</w:t>
      </w: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5CAC80C">
      <w:pPr>
        <w:pStyle w:val="2"/>
        <w:shd w:val="clear" w:color="auto"/>
        <w:snapToGrid w:val="0"/>
        <w:spacing w:line="360" w:lineRule="auto"/>
        <w:rPr>
          <w:rFonts w:hint="eastAsia" w:ascii="仿宋" w:hAnsi="仿宋" w:eastAsia="仿宋" w:cs="仿宋"/>
          <w:sz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28D5FBED">
      <w:pPr>
        <w:shd w:val="clear" w:color="auto"/>
        <w:spacing w:line="560" w:lineRule="exact"/>
        <w:ind w:firstLine="480" w:firstLineChars="200"/>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760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2026-08-25T05:43:20Z</dcterms:created>
  <dc:creator>PC</dc:creator>
  <cp:lastModifiedBy>doit</cp:lastModifiedBy>
  <dcterms:modified xsi:type="dcterms:W3CDTF">2026-08-25T05:43:39Z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9670FAB8F28248CB9BF2CBDDE9E2A119_12</vt:lpwstr>
  </property>
</Properties>
</file>