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版本号：SXBX-ZFCG-202602620260828002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2026年洋县洋州街道云阳村蔬菜种植智能联动大棚项目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SXBX-ZFCG-2026026</w:t>
      </w:r>
      <w:r>
        <w:br/>
      </w:r>
      <w:r>
        <w:br/>
      </w:r>
      <w:r>
        <w:br/>
      </w:r>
    </w:p>
    <w:p>
      <w:pPr>
        <w:pStyle w:val="null3"/>
        <w:jc w:val="center"/>
        <w:outlineLvl w:val="2"/>
      </w:pPr>
      <w:r>
        <w:rPr>
          <w:rFonts w:ascii="仿宋_GB2312" w:hAnsi="仿宋_GB2312" w:cs="仿宋_GB2312" w:eastAsia="仿宋_GB2312"/>
          <w:sz w:val="28"/>
          <w:b/>
        </w:rPr>
        <w:t>洋县洋州街道办事处</w:t>
      </w:r>
    </w:p>
    <w:p>
      <w:pPr>
        <w:pStyle w:val="null3"/>
        <w:jc w:val="center"/>
        <w:outlineLvl w:val="2"/>
      </w:pPr>
      <w:r>
        <w:rPr>
          <w:rFonts w:ascii="仿宋_GB2312" w:hAnsi="仿宋_GB2312" w:cs="仿宋_GB2312" w:eastAsia="仿宋_GB2312"/>
          <w:sz w:val="28"/>
          <w:b/>
        </w:rPr>
        <w:t>陕西柏骁项目管理有限公司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陕西柏骁项目管理有限公司</w:t>
      </w:r>
      <w:r>
        <w:rPr>
          <w:rFonts w:ascii="仿宋_GB2312" w:hAnsi="仿宋_GB2312" w:cs="仿宋_GB2312" w:eastAsia="仿宋_GB2312"/>
        </w:rPr>
        <w:t>（以下简称“代理机构”）受</w:t>
      </w:r>
      <w:r>
        <w:rPr>
          <w:rFonts w:ascii="仿宋_GB2312" w:hAnsi="仿宋_GB2312" w:cs="仿宋_GB2312" w:eastAsia="仿宋_GB2312"/>
        </w:rPr>
        <w:t>洋县洋州街道办事处</w:t>
      </w:r>
      <w:r>
        <w:rPr>
          <w:rFonts w:ascii="仿宋_GB2312" w:hAnsi="仿宋_GB2312" w:cs="仿宋_GB2312" w:eastAsia="仿宋_GB2312"/>
        </w:rPr>
        <w:t>委托，拟对</w:t>
      </w:r>
      <w:r>
        <w:rPr>
          <w:rFonts w:ascii="仿宋_GB2312" w:hAnsi="仿宋_GB2312" w:cs="仿宋_GB2312" w:eastAsia="仿宋_GB2312"/>
        </w:rPr>
        <w:t>2026年洋县洋州街道云阳村蔬菜种植智能联动大棚项目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SXBX-ZFCG-2026026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2026年洋县洋州街道云阳村蔬菜种植智能联动大棚项目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建设14亩蔬菜种植大棚2个，总长200米，宽为50米，面积为10000平方米，拱架总长度为10400米。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采购包1（2026年洋县洋州街道云阳村蔬菜种植智能联动大棚项目）：属于专门面向中小企业采购。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3、企业资质要求：供应商应具备建设行政主管部门核发的建筑工程施工总承包三级及以上或钢结构工程专业承包三级及其以上资质，且具有有效的安全生产许可证；</w:t>
      </w:r>
    </w:p>
    <w:p>
      <w:pPr>
        <w:pStyle w:val="null3"/>
      </w:pPr>
      <w:r>
        <w:rPr>
          <w:rFonts w:ascii="仿宋_GB2312" w:hAnsi="仿宋_GB2312" w:cs="仿宋_GB2312" w:eastAsia="仿宋_GB2312"/>
        </w:rPr>
        <w:t>4、拟派项目负责人资质：拟派往本项目的项目负责人应具备相应工程专业二级（含二级）及以上注册建造师资格、具有有效的安全考核合格证（建安B证），无在建工程；</w:t>
      </w:r>
    </w:p>
    <w:p>
      <w:pPr>
        <w:pStyle w:val="null3"/>
      </w:pPr>
      <w:r>
        <w:rPr>
          <w:rFonts w:ascii="仿宋_GB2312" w:hAnsi="仿宋_GB2312" w:cs="仿宋_GB2312" w:eastAsia="仿宋_GB2312"/>
        </w:rPr>
        <w:t>5、供应商资格承诺函：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6、无关联关系：单位负责人为同一人或者存在控股、管理关系的不同单位不得同时参加，需提供书面声明；</w:t>
      </w:r>
    </w:p>
    <w:p>
      <w:pPr>
        <w:pStyle w:val="null3"/>
      </w:pPr>
      <w:r>
        <w:rPr>
          <w:rFonts w:ascii="仿宋_GB2312" w:hAnsi="仿宋_GB2312" w:cs="仿宋_GB2312" w:eastAsia="仿宋_GB2312"/>
        </w:rPr>
        <w:t>7、非联合体声明：本项目不接受联合体投标，供应商需提供非联合体书面声明。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洋县洋州街道办事处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洋县唐塔北路12号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0916-8212360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陕西柏骁项目管理有限公司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陕西省汉中市洋县北二环观澜酒店隔壁（东）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15291647150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开户名称：陕西柏骁项目管理有限公司</w:t>
            </w:r>
          </w:p>
          <w:p>
            <w:pPr>
              <w:pStyle w:val="null3"/>
            </w:pPr>
            <w:r>
              <w:rPr>
                <w:rFonts w:ascii="仿宋_GB2312" w:hAnsi="仿宋_GB2312" w:cs="仿宋_GB2312" w:eastAsia="仿宋_GB2312"/>
              </w:rPr>
              <w:t>开户银行：中国工商银行股份有限公司汉中洋县支行营业部</w:t>
            </w:r>
          </w:p>
          <w:p>
            <w:pPr>
              <w:pStyle w:val="null3"/>
            </w:pPr>
            <w:r>
              <w:rPr>
                <w:rFonts w:ascii="仿宋_GB2312" w:hAnsi="仿宋_GB2312" w:cs="仿宋_GB2312" w:eastAsia="仿宋_GB2312"/>
              </w:rPr>
              <w:t>银行账号：2606051519200218884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洋县洋州街道办事处</w:t>
      </w:r>
      <w:r>
        <w:rPr>
          <w:rFonts w:ascii="仿宋_GB2312" w:hAnsi="仿宋_GB2312" w:cs="仿宋_GB2312" w:eastAsia="仿宋_GB2312"/>
        </w:rPr>
        <w:t>和</w:t>
      </w:r>
      <w:r>
        <w:rPr>
          <w:rFonts w:ascii="仿宋_GB2312" w:hAnsi="仿宋_GB2312" w:cs="仿宋_GB2312" w:eastAsia="仿宋_GB2312"/>
        </w:rPr>
        <w:t>陕西柏骁项目管理有限公司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洋县洋州街道办事处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陕西柏骁项目管理有限公司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洋县洋州街道办事处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陕西柏骁项目管理有限公司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竣⼯验收的⼯程，必须符合规定的⼯程质量标准，有完整的⼯程技术经济资料和经签著的⼯程保修书，并具备国家规定的其他竣⼯条件。⼯程竣⼯经验收合格后，⽅可交付使⽤；未经验收或者验收不合格的，不得交付使⽤。</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联系电话：15291647150</w:t>
      </w:r>
    </w:p>
    <w:p>
      <w:pPr>
        <w:pStyle w:val="null3"/>
      </w:pPr>
      <w:r>
        <w:rPr>
          <w:rFonts w:ascii="仿宋_GB2312" w:hAnsi="仿宋_GB2312" w:cs="仿宋_GB2312" w:eastAsia="仿宋_GB2312"/>
        </w:rPr>
        <w:t>地址：陕西省汉中市洋县北二环观澜酒店隔壁（东）</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2,560,000.00</w:t>
      </w:r>
    </w:p>
    <w:p>
      <w:pPr>
        <w:pStyle w:val="null3"/>
      </w:pPr>
      <w:r>
        <w:rPr>
          <w:rFonts w:ascii="仿宋_GB2312" w:hAnsi="仿宋_GB2312" w:cs="仿宋_GB2312" w:eastAsia="仿宋_GB2312"/>
        </w:rPr>
        <w:t>采购包最高限价（元）: 2,399,790.98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2026年洋县洋州街道云阳村蔬菜种植智能联动大棚项目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标的名称：2026年洋县洋州街道云阳村蔬菜种植智能联动大棚项目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名称：2026年洋县洋州街道云阳村蔬菜种植智能联动大棚项目；建设内容：建设14亩蔬菜种植大棚2个，总长200米，宽为50米，面积为10000平方米，拱架总长度为10400米；工期：120日历天；质量⽬标：达到国家现行行业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1、技术要求详见本工程施工图纸及工程量清单； 2、供应商根据项目实施要求对磋商文件第六章相关评审办法进行响应（具体内容详见项目评审办法）。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供应商应具备建设行政主管部门核发的建筑工程施工总承包三级及以上或钢结构工程专业承包三级及其以上资质，且具有有效的安全生产许可证；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拟派往本项目的项目负责人应具备相应工程专业二级（含二级）及以上注册建造师资格、具有有效的安全考核合格证（建安B证），无在建工程；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响应⽂件有效期符合⽂件要求</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符合⽂件要求，响应⽂件内容⻬全、⽆遗漏</w:t>
            </w:r>
          </w:p>
        </w:tc>
        <w:tc>
          <w:tcPr>
            <w:tcW w:type="dxa" w:w="1661"/>
          </w:tcPr>
          <w:p>
            <w:pPr>
              <w:pStyle w:val="null3"/>
            </w:pPr>
            <w:r>
              <w:rPr>
                <w:rFonts w:ascii="仿宋_GB2312" w:hAnsi="仿宋_GB2312" w:cs="仿宋_GB2312" w:eastAsia="仿宋_GB2312"/>
              </w:rPr>
              <w:t>响应文件封面 技术方案.docx 已标价工程量清单 供应商应提交的相关资格证明材料.docx 项目管理机构组成表 中小企业声明函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均按⽂件要求签字、盖章</w:t>
            </w:r>
          </w:p>
        </w:tc>
        <w:tc>
          <w:tcPr>
            <w:tcW w:type="dxa" w:w="1661"/>
          </w:tcPr>
          <w:p>
            <w:pPr>
              <w:pStyle w:val="null3"/>
            </w:pPr>
            <w:r>
              <w:rPr>
                <w:rFonts w:ascii="仿宋_GB2312" w:hAnsi="仿宋_GB2312" w:cs="仿宋_GB2312" w:eastAsia="仿宋_GB2312"/>
              </w:rPr>
              <w:t>响应文件封面 技术方案.docx 已标价工程量清单 供应商应提交的相关资格证明材料.docx 项目管理机构组成表 中小企业声明函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按磋商⽂件要求报价，不得提交选择性报价，报价符合竞争性磋商⽂件的要求。</w:t>
            </w:r>
          </w:p>
        </w:tc>
        <w:tc>
          <w:tcPr>
            <w:tcW w:type="dxa" w:w="1661"/>
          </w:tcPr>
          <w:p>
            <w:pPr>
              <w:pStyle w:val="null3"/>
            </w:pPr>
            <w:r>
              <w:rPr>
                <w:rFonts w:ascii="仿宋_GB2312" w:hAnsi="仿宋_GB2312" w:cs="仿宋_GB2312" w:eastAsia="仿宋_GB2312"/>
              </w:rPr>
              <w:t>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一、评审内容：针对本项目施工内容制定施工方案，包括①项目实施整体思路；②施工方案。二、赋分标准： 1.完整性：对上述各项内容均有描述，得1分；缺1项得0.5分；无此项不得分。 2.针对性：两项内容均结合本项目施工范围、现场条件、工期、施工重难点编制，无通用模板内容，每项内容得2.5分；针对性较明确，每项内容得1.5分；缺乏针对性，每项内容得1分。不提供不得分。3.可实施性：施工流程、工艺、资源配置、工序排布完全贴合现场及行业规范， 落地无阻碍，每项内容得3分；整体方案合规，仅局部细节简略，不影响正常施工，每项内容得2分；流程混乱、工艺 / 资源配置与现场冲突，无法落地，每项内容得1分。不提供不得分。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项目管理组织机构</w:t>
            </w:r>
          </w:p>
        </w:tc>
        <w:tc>
          <w:tcPr>
            <w:tcW w:type="dxa" w:w="2492"/>
          </w:tcPr>
          <w:p>
            <w:pPr>
              <w:pStyle w:val="null3"/>
            </w:pPr>
            <w:r>
              <w:rPr>
                <w:rFonts w:ascii="仿宋_GB2312" w:hAnsi="仿宋_GB2312" w:cs="仿宋_GB2312" w:eastAsia="仿宋_GB2312"/>
              </w:rPr>
              <w:t>一、评审内容：针对本项目制定科学完善的项目管理机构方案，包括①项目成员配置清单及架构；②组织管理机制：有详细的人员进场计划、岗位职责说明书及履职考核机制。二、赋分标准：1.完整性：对上述各项内容均有描述，人员配备全面，得1分；每缺1项扣0.5分，扣完为止。不提供不得分。2.针对性：针对人员配置、组织架构、管理机制匹配项目规模、施工内容及工期具体说明，每项内容得1分；全部采用通用模板， 未结合项目实际，每项内容得0.5分。不提供不得分。3.可实施性：进场计划节点精准、 岗位职责到人、考核机制具备约束力，每项内容得1.5分；框架完整，但时间节点、考核标准模糊，每项内容得1分；缺乏可实施性，每项内容得0.5分。不提供不得分。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针对本项目制定工程质量保证管理制度及措施，包括①项目质量保证管理制度；②项目质量保证管理措施。二、赋分标准：1.完整性：对上述各项内容均有描述，得1分；每缺1项扣0.5分，扣完为止。不提供不得分。2.针对性：制度及措施结合本项目工序、质量管控节点、验收标准制定，每项内容得1分；仅提供通用范本，未结合项目实际要求，每项内容得0.5分；不提供不得分。3.可实施性：管控流程闭环、岗位职责清晰、检测方案明确， 完全满足管控要求，每项内容得1.5分；整体框架完整，仅执行细节未细化，不影响管控工作，每项内容得1分；流程缺失、责任模糊、无法开展管控，每项内容得0.5分。不提供不得分。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安全生产保证措施</w:t>
            </w:r>
          </w:p>
        </w:tc>
        <w:tc>
          <w:tcPr>
            <w:tcW w:type="dxa" w:w="2492"/>
          </w:tcPr>
          <w:p>
            <w:pPr>
              <w:pStyle w:val="null3"/>
            </w:pPr>
            <w:r>
              <w:rPr>
                <w:rFonts w:ascii="仿宋_GB2312" w:hAnsi="仿宋_GB2312" w:cs="仿宋_GB2312" w:eastAsia="仿宋_GB2312"/>
              </w:rPr>
              <w:t>一、评审内容 针对本项目制定安全施工管理制度及措施，内容包含：①安全生产管理、培训制度；②安全施工技术保证措施；二、赋分标准： 1.完整性：对上述各项内容均有描述，得1分；每缺1项扣0.5分，扣完为止。不提供不得分。2.针对性：精准识别本项目安全风险点，制度及措施对应风险专项制定，每项内容得1分；仅提供通用安全资料，未结合项目风险特点，每项内容得0.5分。不提供不得分。3.可实施性：管理流程闭环、培训及防护措施符合行业规范，每项内容得1.5分；整体合规，仅细节简略，不影响安全管理，每项内容得1分；措施缺失、防护标准低于规范要求，无法保障施工安全，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工期进度计划</w:t>
            </w:r>
          </w:p>
        </w:tc>
        <w:tc>
          <w:tcPr>
            <w:tcW w:type="dxa" w:w="2492"/>
          </w:tcPr>
          <w:p>
            <w:pPr>
              <w:pStyle w:val="null3"/>
            </w:pPr>
            <w:r>
              <w:rPr>
                <w:rFonts w:ascii="仿宋_GB2312" w:hAnsi="仿宋_GB2312" w:cs="仿宋_GB2312" w:eastAsia="仿宋_GB2312"/>
              </w:rPr>
              <w:t>一、评审内容：针对本项目制定工期进度的技术保证措施，包括①工期控制的技术组织措施；②施工工期进度安排。 二、赋分标准： 1.完整性：对上述各项内容均有描述，得1分；每缺1项扣0.5分，扣完为止；不提供不得分。 2.针对性：进度节点、管控措施贴合120日历天工期要求，针对延误风险制定专项方案每项内容得1分；采用通用模板，未结合本项目工期约束，每项内容得0.5分；不提供不得分。 3.可实施性：工序衔接有序、资源调配合理、工期保障措施完备，每项内容得1.5分；进度框架合理，局部节点未细化，可正常推进施工，每项内容得1分；工序逻辑混乱、节点不合理、无保障措施， 无法按期完工，每项内容得0.5分。不提供不得分。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一、评审内容：针对本项目制定文明施工和环境保护的技术组织措施，包括①降低环境污染、节约能源等相关的制度；②针对环保、扬尘治理、降噪、固废处置、污水排放的技术组织措施。 二、赋分标准：1.完整性：对上述各项内容均有描述，得1分；每缺1项扣0.5分，扣完为止；不提供不得分。 2.针对性：结合项目所在地环保规定、现场及周边环境制定措施，覆盖全部管控要点，每项内容得1分；仅提供通用模板，未结合属地及现场实际，每项内容得0.5分；不提供不得分。 3.可实施性：措施合规、流程清晰、处置方案明确， 每项内容得1.5分；整体合规，仅细节简略，不影响环保管控，每项内容得1分；措施缺失、标准低于法规要求，易产生环保违规，每项内容得0.5分。不提供不得分。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拟投入施工机械设备</w:t>
            </w:r>
          </w:p>
        </w:tc>
        <w:tc>
          <w:tcPr>
            <w:tcW w:type="dxa" w:w="2492"/>
          </w:tcPr>
          <w:p>
            <w:pPr>
              <w:pStyle w:val="null3"/>
            </w:pPr>
            <w:r>
              <w:rPr>
                <w:rFonts w:ascii="仿宋_GB2312" w:hAnsi="仿宋_GB2312" w:cs="仿宋_GB2312" w:eastAsia="仿宋_GB2312"/>
              </w:rPr>
              <w:t>一、评审内容：针对本项目提供拟投入的施工机械设备，包括（拟投入施工机械设备清单、设备购置发票或租赁合同）；二、赋分标准：1.供应商针对本项目提供的施工机械设备清单，完整列明本项目全部核心施工机械设备清单，且全部核心设备均提供合法、有效、齐全的对应证明材料（购置发票或正规租赁合同），得4分；2.仅列明部分核心施工机械设备清单，或清单完整但配套证明材料缺失、无效、租期未覆盖施工周期，得1分；3.未提供核心施工机械设备清单，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工期履约承诺</w:t>
            </w:r>
          </w:p>
        </w:tc>
        <w:tc>
          <w:tcPr>
            <w:tcW w:type="dxa" w:w="2492"/>
          </w:tcPr>
          <w:p>
            <w:pPr>
              <w:pStyle w:val="null3"/>
            </w:pPr>
            <w:r>
              <w:rPr>
                <w:rFonts w:ascii="仿宋_GB2312" w:hAnsi="仿宋_GB2312" w:cs="仿宋_GB2312" w:eastAsia="仿宋_GB2312"/>
              </w:rPr>
              <w:t>一、评审内容：供应商需针对本项目要求总工期120日历天，作出工期履约承诺。二、赋分标准：1.书面承诺总工期满足采购文件要求，且提供逻辑完整、工期匹配120日历天的施工进度网络图，得3分；2.仅书面承诺总工期满足要求，未提供施工进度网络图，得1分；3.未作出工期承诺、承诺工期大于120日历天，或提供网络图工期不符合工期要求，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工程保修服务承诺</w:t>
            </w:r>
          </w:p>
        </w:tc>
        <w:tc>
          <w:tcPr>
            <w:tcW w:type="dxa" w:w="2492"/>
          </w:tcPr>
          <w:p>
            <w:pPr>
              <w:pStyle w:val="null3"/>
            </w:pPr>
            <w:r>
              <w:rPr>
                <w:rFonts w:ascii="仿宋_GB2312" w:hAnsi="仿宋_GB2312" w:cs="仿宋_GB2312" w:eastAsia="仿宋_GB2312"/>
              </w:rPr>
              <w:t>一、评审内容：针对本项目供应商应提供全面、合理的保修承诺。二、赋分标准： ①质保期延长：较法定质保延长2年得4分，延长1年得2分，不延迟不得分；②应急抢修：3小时内到现场抢修得2分，4小时内到现场得1分，未明确时效不得分；③增值服务：每年2次巡检+免费养护培训，两项齐全得2分，缺一项扣1分。评审要求：全部承诺需加盖公章，无明确量化数字不予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项目部技术人员证书</w:t>
            </w:r>
          </w:p>
        </w:tc>
        <w:tc>
          <w:tcPr>
            <w:tcW w:type="dxa" w:w="2492"/>
          </w:tcPr>
          <w:p>
            <w:pPr>
              <w:pStyle w:val="null3"/>
            </w:pPr>
            <w:r>
              <w:rPr>
                <w:rFonts w:ascii="仿宋_GB2312" w:hAnsi="仿宋_GB2312" w:cs="仿宋_GB2312" w:eastAsia="仿宋_GB2312"/>
              </w:rPr>
              <w:t>一、评审内容：针对本项目，需配备相关专业技术人员。二、赋分标准：1.供应商拟投入本项目的项目部技术人员中，每提供1名具备与本项目相关专业高级专业技术职称证书的人员，得1分，本项最高得3分；2.每提供1名具备与本项目相关专业中级专业技术职称证书的人员，得0.5分，本项最高得2分；3.上述人员须提供有效的职称证书扫描件，否则不得分；4.同一人员不得同时按高级职称、中级职称重复计分；5.未按要求提供相关证明材料的，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施⼯总平⾯布置图</w:t>
            </w:r>
          </w:p>
        </w:tc>
        <w:tc>
          <w:tcPr>
            <w:tcW w:type="dxa" w:w="2492"/>
          </w:tcPr>
          <w:p>
            <w:pPr>
              <w:pStyle w:val="null3"/>
            </w:pPr>
            <w:r>
              <w:rPr>
                <w:rFonts w:ascii="仿宋_GB2312" w:hAnsi="仿宋_GB2312" w:cs="仿宋_GB2312" w:eastAsia="仿宋_GB2312"/>
              </w:rPr>
              <w:t>提供施⼯总平⾯布置图，图中需明确标注材料堆场、加⼯区、办公⽣活区等要素，得3分；未提供或要素不全的，不得分。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供应商提供2023年1月1日至今已完成的类似项目业绩，每提供一份得2.5分，此项最高得5分； 注：业绩须是类似项目，以中标通知书或合同为准。未提供不得分。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 价格分=(评标基准价／投标报价)×报价分值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