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版本号：RKZB-2026-080520260820001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钟鼓楼自动化监测项目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RKZB-2026-0805</w:t>
      </w:r>
      <w:r>
        <w:br/>
      </w:r>
      <w:r>
        <w:br/>
      </w:r>
      <w:r>
        <w:br/>
      </w:r>
    </w:p>
    <w:p>
      <w:pPr>
        <w:pStyle w:val="null3"/>
        <w:jc w:val="center"/>
        <w:outlineLvl w:val="2"/>
      </w:pPr>
      <w:r>
        <w:rPr>
          <w:rFonts w:ascii="仿宋_GB2312" w:hAnsi="仿宋_GB2312" w:cs="仿宋_GB2312" w:eastAsia="仿宋_GB2312"/>
          <w:sz w:val="28"/>
          <w:b/>
        </w:rPr>
        <w:t>西安市钟鼓楼保管所</w:t>
      </w:r>
    </w:p>
    <w:p>
      <w:pPr>
        <w:pStyle w:val="null3"/>
        <w:jc w:val="center"/>
        <w:outlineLvl w:val="2"/>
      </w:pPr>
      <w:r>
        <w:rPr>
          <w:rFonts w:ascii="仿宋_GB2312" w:hAnsi="仿宋_GB2312" w:cs="仿宋_GB2312" w:eastAsia="仿宋_GB2312"/>
          <w:sz w:val="28"/>
          <w:b/>
        </w:rPr>
        <w:t>瑞科项目管理有限公司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瑞科项目管理有限公司</w:t>
      </w:r>
      <w:r>
        <w:rPr>
          <w:rFonts w:ascii="仿宋_GB2312" w:hAnsi="仿宋_GB2312" w:cs="仿宋_GB2312" w:eastAsia="仿宋_GB2312"/>
        </w:rPr>
        <w:t>（以下简称“代理机构”）受</w:t>
      </w:r>
      <w:r>
        <w:rPr>
          <w:rFonts w:ascii="仿宋_GB2312" w:hAnsi="仿宋_GB2312" w:cs="仿宋_GB2312" w:eastAsia="仿宋_GB2312"/>
        </w:rPr>
        <w:t>西安市钟鼓楼保管所</w:t>
      </w:r>
      <w:r>
        <w:rPr>
          <w:rFonts w:ascii="仿宋_GB2312" w:hAnsi="仿宋_GB2312" w:cs="仿宋_GB2312" w:eastAsia="仿宋_GB2312"/>
        </w:rPr>
        <w:t>委托，拟对</w:t>
      </w:r>
      <w:r>
        <w:rPr>
          <w:rFonts w:ascii="仿宋_GB2312" w:hAnsi="仿宋_GB2312" w:cs="仿宋_GB2312" w:eastAsia="仿宋_GB2312"/>
        </w:rPr>
        <w:t>钟鼓楼自动化监测项目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RKZB-2026-0805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钟鼓楼自动化监测项目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西安钟楼与鼓楼是西安市的标志性建筑，也是中国现存钟鼓楼中规模最大、保存最完整的古代遗存。1996年国务院公布西安钟鼓楼为第四批全国重点文物保护单位。 2023年-2025年对西安钟鼓楼开展基座水平位移、沉降、钟楼土体含水率、振动等自动化监测。为了及时发现安全隐患，确保西安钟鼓楼本体安全，2026年继续开展监测工作，并定期对监测数据进行研判分析。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1、供应商资质：供应商须具备行政主管部门核发的工程勘察综合类甲级资质和工程测量专业甲级测绘资质</w:t>
      </w:r>
    </w:p>
    <w:p>
      <w:pPr>
        <w:pStyle w:val="null3"/>
      </w:pPr>
      <w:r>
        <w:rPr>
          <w:rFonts w:ascii="仿宋_GB2312" w:hAnsi="仿宋_GB2312" w:cs="仿宋_GB2312" w:eastAsia="仿宋_GB2312"/>
        </w:rPr>
        <w:t>2、项目负责人：具备“注册土木工程师（岩土）”或“注册测绘师”证书，并在本单位注册或提供相应证明材料</w:t>
      </w:r>
    </w:p>
    <w:p>
      <w:pPr>
        <w:pStyle w:val="null3"/>
      </w:pPr>
      <w:r>
        <w:rPr>
          <w:rFonts w:ascii="仿宋_GB2312" w:hAnsi="仿宋_GB2312" w:cs="仿宋_GB2312" w:eastAsia="仿宋_GB2312"/>
        </w:rPr>
        <w:t>3、法定代表人证明书或者授权委托书：法定代表人参加开标时，提供法定代表人证明书；授权代表参加开标时，提供法定代表人授权书；非法人单位参照执行。</w:t>
      </w:r>
    </w:p>
    <w:p>
      <w:pPr>
        <w:pStyle w:val="null3"/>
      </w:pPr>
      <w:r>
        <w:rPr>
          <w:rFonts w:ascii="仿宋_GB2312" w:hAnsi="仿宋_GB2312" w:cs="仿宋_GB2312" w:eastAsia="仿宋_GB2312"/>
        </w:rPr>
        <w:t>4、信用记录：供应商未被“信用中国”网站（www.creditchina.gov.cn）列入失信被执行人、重大税收违法失信主体名单，未被中国政府采购网（www.ccgp.gov.cn）列入政府采购严重违法失信行为记录名单。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5、不接受联合体：承诺并进行电子签章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西安市钟鼓楼保管所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西安市莲湖区北大街2号金钟大厦B座945室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15991386640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陕西省西安市经济技术开发区未央路303号保利中达广场2207室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王博霖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13772100621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展改革委办公厅关于招标代理服务收费有关问题的通知》（发改价格[2003]857号）文件的通知标准，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西安市钟鼓楼保管所</w:t>
      </w:r>
      <w:r>
        <w:rPr>
          <w:rFonts w:ascii="仿宋_GB2312" w:hAnsi="仿宋_GB2312" w:cs="仿宋_GB2312" w:eastAsia="仿宋_GB2312"/>
        </w:rPr>
        <w:t>和</w:t>
      </w:r>
      <w:r>
        <w:rPr>
          <w:rFonts w:ascii="仿宋_GB2312" w:hAnsi="仿宋_GB2312" w:cs="仿宋_GB2312" w:eastAsia="仿宋_GB2312"/>
        </w:rPr>
        <w:t>瑞科项目管理有限公司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西安市钟鼓楼保管所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瑞科项目管理有限公司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西安市钟鼓楼保管所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合同及附加⽂本；磋商⽂件、中标⼈的投标⽂件及澄清（承诺）函；国家相应的标准、规范。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联系人：王博霖</w:t>
      </w:r>
    </w:p>
    <w:p>
      <w:pPr>
        <w:pStyle w:val="null3"/>
      </w:pPr>
      <w:r>
        <w:rPr>
          <w:rFonts w:ascii="仿宋_GB2312" w:hAnsi="仿宋_GB2312" w:cs="仿宋_GB2312" w:eastAsia="仿宋_GB2312"/>
        </w:rPr>
        <w:t>联系电话：13772100621</w:t>
      </w:r>
    </w:p>
    <w:p>
      <w:pPr>
        <w:pStyle w:val="null3"/>
      </w:pPr>
      <w:r>
        <w:rPr>
          <w:rFonts w:ascii="仿宋_GB2312" w:hAnsi="仿宋_GB2312" w:cs="仿宋_GB2312" w:eastAsia="仿宋_GB2312"/>
        </w:rPr>
        <w:t>地址：陕西省西安市经济技术开发区未央路303号保利中达广场2207室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西安钟楼与鼓楼是西安市的标志性建筑，也是中国现存钟鼓楼中规模最大、保存最完整的古代遗存。1996年国务院公布西安钟鼓楼为第四批全国重点文物保护单位。 2023年-2025年对西安钟鼓楼开展基座水平位移、沉降、钟楼土体含水率、振动等自动化监测。为了及时发现安全隐患，确保西安钟鼓楼本体安全，2026年继续开展监测工作，并定期对监测数据进行研判分析。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w:t>
      </w:r>
    </w:p>
    <w:p>
      <w:pPr>
        <w:pStyle w:val="null3"/>
      </w:pPr>
      <w:r>
        <w:rPr>
          <w:rFonts w:ascii="仿宋_GB2312" w:hAnsi="仿宋_GB2312" w:cs="仿宋_GB2312" w:eastAsia="仿宋_GB2312"/>
        </w:rPr>
        <w:t>采购包最高限价（元）: 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古建监测服务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标的名称：古建监测服务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FF"/>
              </w:rPr>
              <w:t>一、项目概况</w:t>
            </w:r>
          </w:p>
          <w:p>
            <w:pPr>
              <w:pStyle w:val="null3"/>
              <w:ind w:firstLine="200"/>
            </w:pPr>
            <w:r>
              <w:rPr>
                <w:rFonts w:ascii="仿宋_GB2312" w:hAnsi="仿宋_GB2312" w:cs="仿宋_GB2312" w:eastAsia="仿宋_GB2312"/>
                <w:color w:val="0000FF"/>
              </w:rPr>
              <w:t>西安钟楼与鼓楼是西安市的标志性建筑，也是中国现存钟鼓楼中规模最大、保存最完整的古代遗存</w:t>
            </w:r>
            <w:r>
              <w:rPr>
                <w:rFonts w:ascii="仿宋_GB2312" w:hAnsi="仿宋_GB2312" w:cs="仿宋_GB2312" w:eastAsia="仿宋_GB2312"/>
                <w:color w:val="0000FF"/>
              </w:rPr>
              <w:t>。</w:t>
            </w:r>
            <w:r>
              <w:rPr>
                <w:rFonts w:ascii="仿宋_GB2312" w:hAnsi="仿宋_GB2312" w:cs="仿宋_GB2312" w:eastAsia="仿宋_GB2312"/>
                <w:color w:val="0000FF"/>
              </w:rPr>
              <w:t>1996年</w:t>
            </w:r>
            <w:r>
              <w:rPr>
                <w:rFonts w:ascii="仿宋_GB2312" w:hAnsi="仿宋_GB2312" w:cs="仿宋_GB2312" w:eastAsia="仿宋_GB2312"/>
                <w:color w:val="0000FF"/>
              </w:rPr>
              <w:t>国务院公布西安钟鼓楼为</w:t>
            </w:r>
            <w:r>
              <w:rPr>
                <w:rFonts w:ascii="仿宋_GB2312" w:hAnsi="仿宋_GB2312" w:cs="仿宋_GB2312" w:eastAsia="仿宋_GB2312"/>
                <w:color w:val="0000FF"/>
              </w:rPr>
              <w:t>第四批</w:t>
            </w:r>
            <w:r>
              <w:rPr>
                <w:rFonts w:ascii="仿宋_GB2312" w:hAnsi="仿宋_GB2312" w:cs="仿宋_GB2312" w:eastAsia="仿宋_GB2312"/>
                <w:color w:val="0000FF"/>
              </w:rPr>
              <w:t>全国重点文物保护单位</w:t>
            </w:r>
            <w:r>
              <w:rPr>
                <w:rFonts w:ascii="仿宋_GB2312" w:hAnsi="仿宋_GB2312" w:cs="仿宋_GB2312" w:eastAsia="仿宋_GB2312"/>
                <w:color w:val="0000FF"/>
              </w:rPr>
              <w:t>。</w:t>
            </w:r>
          </w:p>
          <w:p>
            <w:pPr>
              <w:pStyle w:val="null3"/>
              <w:ind w:firstLine="200"/>
            </w:pPr>
            <w:r>
              <w:rPr>
                <w:rFonts w:ascii="仿宋_GB2312" w:hAnsi="仿宋_GB2312" w:cs="仿宋_GB2312" w:eastAsia="仿宋_GB2312"/>
                <w:color w:val="0000FF"/>
              </w:rPr>
              <w:t>2023年-2025年对西安钟鼓楼开展了基座变形、环境振动、土体含水率等自动化监测工作，为了及时发现安全隐患，确保西安钟鼓楼本体安全，2026年继续开展监测工作，并定期对监测数据进行研判分析。</w:t>
            </w:r>
          </w:p>
          <w:p>
            <w:pPr>
              <w:pStyle w:val="null3"/>
            </w:pPr>
            <w:r>
              <w:rPr>
                <w:rFonts w:ascii="仿宋_GB2312" w:hAnsi="仿宋_GB2312" w:cs="仿宋_GB2312" w:eastAsia="仿宋_GB2312"/>
                <w:color w:val="0000FF"/>
              </w:rPr>
              <w:t>二、服务内容</w:t>
            </w:r>
          </w:p>
          <w:p>
            <w:pPr>
              <w:pStyle w:val="null3"/>
            </w:pPr>
            <w:r>
              <w:rPr>
                <w:rFonts w:ascii="仿宋_GB2312" w:hAnsi="仿宋_GB2312" w:cs="仿宋_GB2312" w:eastAsia="仿宋_GB2312"/>
                <w:color w:val="0000FF"/>
              </w:rPr>
              <w:t>钟楼基座变形监测：采集钟楼基座水平位移、竖向沉降、裂缝等变形监测数据，掌握钟楼关键部位变形规律。</w:t>
            </w:r>
          </w:p>
          <w:p>
            <w:pPr>
              <w:pStyle w:val="null3"/>
            </w:pPr>
            <w:r>
              <w:rPr>
                <w:rFonts w:ascii="仿宋_GB2312" w:hAnsi="仿宋_GB2312" w:cs="仿宋_GB2312" w:eastAsia="仿宋_GB2312"/>
                <w:color w:val="0000FF"/>
              </w:rPr>
              <w:t>钟楼基座内部土体含水率监测：采集钟楼基座内部土体含水率监测数据，掌握基座内部土体含水率变化规律，分析其变化对钟楼的影响。</w:t>
            </w:r>
          </w:p>
          <w:p>
            <w:pPr>
              <w:pStyle w:val="null3"/>
            </w:pPr>
            <w:r>
              <w:rPr>
                <w:rFonts w:ascii="仿宋_GB2312" w:hAnsi="仿宋_GB2312" w:cs="仿宋_GB2312" w:eastAsia="仿宋_GB2312"/>
                <w:color w:val="0000FF"/>
              </w:rPr>
              <w:t>钟楼振动监测：采集钟楼基座顶部、木结构承重柱中上部振动监测数据，掌握地面交通、地铁等环境影响下基座及木结构的振动响应情况。</w:t>
            </w:r>
          </w:p>
          <w:p>
            <w:pPr>
              <w:pStyle w:val="null3"/>
            </w:pPr>
            <w:r>
              <w:rPr>
                <w:rFonts w:ascii="仿宋_GB2312" w:hAnsi="仿宋_GB2312" w:cs="仿宋_GB2312" w:eastAsia="仿宋_GB2312"/>
                <w:color w:val="0000FF"/>
              </w:rPr>
              <w:t>鼓楼基座变形监测：采集鼓楼基座水平位移、竖向沉降、裂缝等变形监测数据，掌握鼓楼关键部位变形规律。</w:t>
            </w:r>
          </w:p>
          <w:p>
            <w:pPr>
              <w:pStyle w:val="null3"/>
            </w:pPr>
            <w:r>
              <w:rPr>
                <w:rFonts w:ascii="仿宋_GB2312" w:hAnsi="仿宋_GB2312" w:cs="仿宋_GB2312" w:eastAsia="仿宋_GB2312"/>
                <w:color w:val="0000FF"/>
              </w:rPr>
              <w:t>鼓楼振动监测：采集鼓楼基座顶部、木结构承重柱中上部振动监测数据，掌握地面交通、地铁等环境影响下基座及木结构的振动响应情况。</w:t>
            </w:r>
          </w:p>
          <w:p>
            <w:pPr>
              <w:pStyle w:val="null3"/>
            </w:pPr>
            <w:r>
              <w:rPr>
                <w:rFonts w:ascii="仿宋_GB2312" w:hAnsi="仿宋_GB2312" w:cs="仿宋_GB2312" w:eastAsia="仿宋_GB2312"/>
                <w:color w:val="0000FF"/>
              </w:rPr>
              <w:t>钟楼、鼓楼人工巡查：开展人工巡查，检查文物本体、周边环境、监测设备设施是否存在异常。</w:t>
            </w:r>
          </w:p>
          <w:p>
            <w:pPr>
              <w:pStyle w:val="null3"/>
            </w:pPr>
            <w:r>
              <w:rPr>
                <w:rFonts w:ascii="仿宋_GB2312" w:hAnsi="仿宋_GB2312" w:cs="仿宋_GB2312" w:eastAsia="仿宋_GB2312"/>
                <w:color w:val="0000FF"/>
              </w:rPr>
              <w:t>建立监测预警机制，及时发现安全隐患，确保钟鼓楼本体安全。</w:t>
            </w:r>
          </w:p>
          <w:p>
            <w:pPr>
              <w:pStyle w:val="null3"/>
              <w:jc w:val="both"/>
            </w:pPr>
            <w:r>
              <w:rPr>
                <w:rFonts w:ascii="仿宋_GB2312" w:hAnsi="仿宋_GB2312" w:cs="仿宋_GB2312" w:eastAsia="仿宋_GB2312"/>
                <w:sz w:val="20"/>
                <w:color w:val="0000FF"/>
              </w:rPr>
              <w:t>三、监测方案编制依据</w:t>
            </w:r>
          </w:p>
          <w:p>
            <w:pPr>
              <w:pStyle w:val="null3"/>
              <w:numPr>
                <w:ilvl w:val="0"/>
                <w:numId w:val="1"/>
              </w:numPr>
              <w:jc w:val="both"/>
            </w:pPr>
            <w:r>
              <w:rPr>
                <w:rFonts w:ascii="仿宋_GB2312" w:hAnsi="仿宋_GB2312" w:cs="仿宋_GB2312" w:eastAsia="仿宋_GB2312"/>
                <w:sz w:val="20"/>
                <w:color w:val="0000FF"/>
              </w:rPr>
              <w:t>《中华人民共和国文物保护法》；</w:t>
            </w:r>
          </w:p>
          <w:p>
            <w:pPr>
              <w:pStyle w:val="null3"/>
              <w:numPr>
                <w:ilvl w:val="0"/>
                <w:numId w:val="1"/>
              </w:numPr>
              <w:jc w:val="both"/>
            </w:pPr>
            <w:r>
              <w:rPr>
                <w:rFonts w:ascii="仿宋_GB2312" w:hAnsi="仿宋_GB2312" w:cs="仿宋_GB2312" w:eastAsia="仿宋_GB2312"/>
                <w:sz w:val="20"/>
                <w:color w:val="0000FF"/>
              </w:rPr>
              <w:t>《中国文物古迹保护准则》；</w:t>
            </w:r>
          </w:p>
          <w:p>
            <w:pPr>
              <w:pStyle w:val="null3"/>
              <w:numPr>
                <w:ilvl w:val="0"/>
                <w:numId w:val="1"/>
              </w:numPr>
              <w:jc w:val="both"/>
            </w:pPr>
            <w:r>
              <w:rPr>
                <w:rFonts w:ascii="仿宋_GB2312" w:hAnsi="仿宋_GB2312" w:cs="仿宋_GB2312" w:eastAsia="仿宋_GB2312"/>
                <w:sz w:val="20"/>
                <w:color w:val="0000FF"/>
              </w:rPr>
              <w:t>《陕西省文物保护管理条例》；</w:t>
            </w:r>
          </w:p>
          <w:p>
            <w:pPr>
              <w:pStyle w:val="null3"/>
              <w:numPr>
                <w:ilvl w:val="0"/>
                <w:numId w:val="1"/>
              </w:numPr>
              <w:jc w:val="both"/>
            </w:pPr>
            <w:r>
              <w:rPr>
                <w:rFonts w:ascii="仿宋_GB2312" w:hAnsi="仿宋_GB2312" w:cs="仿宋_GB2312" w:eastAsia="仿宋_GB2312"/>
                <w:sz w:val="20"/>
                <w:color w:val="0000FF"/>
              </w:rPr>
              <w:t>《西安市不可移动文物保护条例》；</w:t>
            </w:r>
          </w:p>
          <w:p>
            <w:pPr>
              <w:pStyle w:val="null3"/>
              <w:numPr>
                <w:ilvl w:val="0"/>
                <w:numId w:val="1"/>
              </w:numPr>
              <w:jc w:val="both"/>
            </w:pPr>
            <w:r>
              <w:rPr>
                <w:rFonts w:ascii="仿宋_GB2312" w:hAnsi="仿宋_GB2312" w:cs="仿宋_GB2312" w:eastAsia="仿宋_GB2312"/>
                <w:sz w:val="20"/>
                <w:color w:val="0000FF"/>
              </w:rPr>
              <w:t>《工程测量标准》（</w:t>
            </w:r>
            <w:r>
              <w:rPr>
                <w:rFonts w:ascii="仿宋_GB2312" w:hAnsi="仿宋_GB2312" w:cs="仿宋_GB2312" w:eastAsia="仿宋_GB2312"/>
                <w:sz w:val="20"/>
                <w:color w:val="0000FF"/>
              </w:rPr>
              <w:t>GB50026-2020）；</w:t>
            </w:r>
          </w:p>
          <w:p>
            <w:pPr>
              <w:pStyle w:val="null3"/>
              <w:numPr>
                <w:ilvl w:val="0"/>
                <w:numId w:val="1"/>
              </w:numPr>
              <w:jc w:val="both"/>
            </w:pPr>
            <w:r>
              <w:rPr>
                <w:rFonts w:ascii="仿宋_GB2312" w:hAnsi="仿宋_GB2312" w:cs="仿宋_GB2312" w:eastAsia="仿宋_GB2312"/>
                <w:sz w:val="20"/>
                <w:color w:val="0000FF"/>
              </w:rPr>
              <w:t>《建筑变形测量规范》（</w:t>
            </w:r>
            <w:r>
              <w:rPr>
                <w:rFonts w:ascii="仿宋_GB2312" w:hAnsi="仿宋_GB2312" w:cs="仿宋_GB2312" w:eastAsia="仿宋_GB2312"/>
                <w:sz w:val="20"/>
                <w:color w:val="0000FF"/>
              </w:rPr>
              <w:t>JGJ8-2016）；</w:t>
            </w:r>
          </w:p>
          <w:p>
            <w:pPr>
              <w:pStyle w:val="null3"/>
              <w:numPr>
                <w:ilvl w:val="0"/>
                <w:numId w:val="1"/>
              </w:numPr>
              <w:jc w:val="both"/>
            </w:pPr>
            <w:r>
              <w:rPr>
                <w:rFonts w:ascii="仿宋_GB2312" w:hAnsi="仿宋_GB2312" w:cs="仿宋_GB2312" w:eastAsia="仿宋_GB2312"/>
                <w:sz w:val="20"/>
                <w:color w:val="0000FF"/>
              </w:rPr>
              <w:t>《全球定位系统（</w:t>
            </w:r>
            <w:r>
              <w:rPr>
                <w:rFonts w:ascii="仿宋_GB2312" w:hAnsi="仿宋_GB2312" w:cs="仿宋_GB2312" w:eastAsia="仿宋_GB2312"/>
                <w:sz w:val="20"/>
                <w:color w:val="0000FF"/>
              </w:rPr>
              <w:t>GNSS）测量规范》（GB/T 18314-2024）；</w:t>
            </w:r>
          </w:p>
          <w:p>
            <w:pPr>
              <w:pStyle w:val="null3"/>
              <w:numPr>
                <w:ilvl w:val="0"/>
                <w:numId w:val="1"/>
              </w:numPr>
              <w:jc w:val="both"/>
            </w:pPr>
            <w:r>
              <w:rPr>
                <w:rFonts w:ascii="仿宋_GB2312" w:hAnsi="仿宋_GB2312" w:cs="仿宋_GB2312" w:eastAsia="仿宋_GB2312"/>
                <w:sz w:val="20"/>
                <w:color w:val="0000FF"/>
              </w:rPr>
              <w:t>《公共安全视频监控联网系统信息传输、交换、控制技术要求》（</w:t>
            </w:r>
            <w:r>
              <w:rPr>
                <w:rFonts w:ascii="仿宋_GB2312" w:hAnsi="仿宋_GB2312" w:cs="仿宋_GB2312" w:eastAsia="仿宋_GB2312"/>
                <w:sz w:val="20"/>
                <w:color w:val="0000FF"/>
              </w:rPr>
              <w:t>GB/T28181-2016）；</w:t>
            </w:r>
          </w:p>
          <w:p>
            <w:pPr>
              <w:pStyle w:val="null3"/>
              <w:numPr>
                <w:ilvl w:val="0"/>
                <w:numId w:val="1"/>
              </w:numPr>
              <w:jc w:val="both"/>
            </w:pPr>
            <w:r>
              <w:rPr>
                <w:rFonts w:ascii="仿宋_GB2312" w:hAnsi="仿宋_GB2312" w:cs="仿宋_GB2312" w:eastAsia="仿宋_GB2312"/>
                <w:sz w:val="20"/>
                <w:color w:val="0000FF"/>
              </w:rPr>
              <w:t>国家或行业其他相关规范、强制性标准。</w:t>
            </w:r>
          </w:p>
          <w:p>
            <w:pPr>
              <w:pStyle w:val="null3"/>
              <w:jc w:val="both"/>
            </w:pPr>
            <w:r>
              <w:rPr>
                <w:rFonts w:ascii="仿宋_GB2312" w:hAnsi="仿宋_GB2312" w:cs="仿宋_GB2312" w:eastAsia="仿宋_GB2312"/>
                <w:sz w:val="20"/>
                <w:color w:val="0000FF"/>
              </w:rPr>
              <w:t>四、监测工程量</w:t>
            </w:r>
          </w:p>
          <w:tbl>
            <w:tblPr>
              <w:tblBorders>
                <w:top w:val="none" w:color="000000" w:sz="4"/>
                <w:left w:val="none" w:color="000000" w:sz="4"/>
                <w:bottom w:val="none" w:color="000000" w:sz="4"/>
                <w:right w:val="none" w:color="000000" w:sz="4"/>
                <w:insideH w:val="none"/>
                <w:insideV w:val="none"/>
              </w:tblBorders>
            </w:tblPr>
            <w:tblGrid>
              <w:gridCol w:w="226"/>
              <w:gridCol w:w="226"/>
              <w:gridCol w:w="510"/>
              <w:gridCol w:w="348"/>
              <w:gridCol w:w="631"/>
              <w:gridCol w:w="461"/>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序号</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对象</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内容</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点位数量</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监测次数</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1</w:t>
                  </w:r>
                </w:p>
              </w:tc>
              <w:tc>
                <w:tcPr>
                  <w:tcW w:type="dxa" w:w="2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钟楼</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变形监测</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4台视频监测设备</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单台设备监测</w:t>
                  </w:r>
                  <w:r>
                    <w:rPr>
                      <w:rFonts w:ascii="仿宋_GB2312" w:hAnsi="仿宋_GB2312" w:cs="仿宋_GB2312" w:eastAsia="仿宋_GB2312"/>
                      <w:sz w:val="20"/>
                      <w:color w:val="0000FF"/>
                    </w:rPr>
                    <w:t>114次，共4*114=456次</w:t>
                  </w:r>
                </w:p>
              </w:tc>
              <w:tc>
                <w:tcPr>
                  <w:tcW w:type="dxa" w:w="4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2</w:t>
                  </w:r>
                </w:p>
              </w:tc>
              <w:tc>
                <w:tcPr>
                  <w:tcW w:type="dxa" w:w="226"/>
                  <w:vMerge/>
                  <w:tcBorders>
                    <w:top w:val="none" w:color="000000" w:sz="4"/>
                    <w:left w:val="single" w:color="000000" w:sz="4"/>
                    <w:bottom w:val="single" w:color="000000" w:sz="4"/>
                    <w:right w:val="single" w:color="000000" w:sz="4"/>
                  </w:tcBorders>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土体含水率</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7点</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单点监测</w:t>
                  </w:r>
                  <w:r>
                    <w:rPr>
                      <w:rFonts w:ascii="仿宋_GB2312" w:hAnsi="仿宋_GB2312" w:cs="仿宋_GB2312" w:eastAsia="仿宋_GB2312"/>
                      <w:sz w:val="20"/>
                      <w:color w:val="0000FF"/>
                    </w:rPr>
                    <w:t>114次，共7*114=798点次。</w:t>
                  </w:r>
                </w:p>
              </w:tc>
              <w:tc>
                <w:tcPr>
                  <w:tcW w:type="dxa" w:w="461"/>
                  <w:vMerge/>
                  <w:tcBorders>
                    <w:top w:val="none" w:color="000000" w:sz="4"/>
                    <w:left w:val="single" w:color="000000" w:sz="4"/>
                    <w:bottom w:val="single" w:color="000000" w:sz="4"/>
                    <w:right w:val="single" w:color="000000" w:sz="4"/>
                  </w:tcBorders>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3</w:t>
                  </w:r>
                </w:p>
              </w:tc>
              <w:tc>
                <w:tcPr>
                  <w:tcW w:type="dxa" w:w="226"/>
                  <w:vMerge/>
                  <w:tcBorders>
                    <w:top w:val="none" w:color="000000" w:sz="4"/>
                    <w:left w:val="single" w:color="000000" w:sz="4"/>
                    <w:bottom w:val="single" w:color="000000" w:sz="4"/>
                    <w:right w:val="single" w:color="000000" w:sz="4"/>
                  </w:tcBorders>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振动</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2点</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单点监测</w:t>
                  </w:r>
                  <w:r>
                    <w:rPr>
                      <w:rFonts w:ascii="仿宋_GB2312" w:hAnsi="仿宋_GB2312" w:cs="仿宋_GB2312" w:eastAsia="仿宋_GB2312"/>
                      <w:sz w:val="20"/>
                      <w:color w:val="0000FF"/>
                    </w:rPr>
                    <w:t>114次，共228次</w:t>
                  </w:r>
                </w:p>
              </w:tc>
              <w:tc>
                <w:tcPr>
                  <w:tcW w:type="dxa" w:w="461"/>
                  <w:vMerge/>
                  <w:tcBorders>
                    <w:top w:val="none" w:color="000000" w:sz="4"/>
                    <w:left w:val="single" w:color="000000" w:sz="4"/>
                    <w:bottom w:val="single" w:color="000000" w:sz="4"/>
                    <w:right w:val="single" w:color="000000" w:sz="4"/>
                  </w:tcBorders>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4</w:t>
                  </w:r>
                </w:p>
              </w:tc>
              <w:tc>
                <w:tcPr>
                  <w:tcW w:type="dxa" w:w="226"/>
                  <w:vMerge/>
                  <w:tcBorders>
                    <w:top w:val="none" w:color="000000" w:sz="4"/>
                    <w:left w:val="single" w:color="000000" w:sz="4"/>
                    <w:bottom w:val="single" w:color="000000" w:sz="4"/>
                    <w:right w:val="single" w:color="000000" w:sz="4"/>
                  </w:tcBorders>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人工巡查</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12次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通过目视、敲击等手段检查本体、监测设备设施、周边环境是否存在异常</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4</w:t>
                  </w:r>
                </w:p>
              </w:tc>
              <w:tc>
                <w:tcPr>
                  <w:tcW w:type="dxa" w:w="2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鼓楼</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变形监测</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4台视频监测设备</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单台设备监测</w:t>
                  </w:r>
                  <w:r>
                    <w:rPr>
                      <w:rFonts w:ascii="仿宋_GB2312" w:hAnsi="仿宋_GB2312" w:cs="仿宋_GB2312" w:eastAsia="仿宋_GB2312"/>
                      <w:sz w:val="20"/>
                      <w:color w:val="0000FF"/>
                    </w:rPr>
                    <w:t>114次，共4*114=456次</w:t>
                  </w:r>
                </w:p>
              </w:tc>
              <w:tc>
                <w:tcPr>
                  <w:tcW w:type="dxa" w:w="4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5</w:t>
                  </w:r>
                </w:p>
              </w:tc>
              <w:tc>
                <w:tcPr>
                  <w:tcW w:type="dxa" w:w="226"/>
                  <w:vMerge/>
                  <w:tcBorders>
                    <w:top w:val="none" w:color="000000" w:sz="4"/>
                    <w:left w:val="single" w:color="000000" w:sz="4"/>
                    <w:bottom w:val="single" w:color="000000" w:sz="4"/>
                    <w:right w:val="single" w:color="000000" w:sz="4"/>
                  </w:tcBorders>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振动</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2点</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单点监测</w:t>
                  </w:r>
                  <w:r>
                    <w:rPr>
                      <w:rFonts w:ascii="仿宋_GB2312" w:hAnsi="仿宋_GB2312" w:cs="仿宋_GB2312" w:eastAsia="仿宋_GB2312"/>
                      <w:sz w:val="20"/>
                      <w:color w:val="0000FF"/>
                    </w:rPr>
                    <w:t>114次，共228次</w:t>
                  </w:r>
                </w:p>
              </w:tc>
              <w:tc>
                <w:tcPr>
                  <w:tcW w:type="dxa" w:w="461"/>
                  <w:vMerge/>
                  <w:tcBorders>
                    <w:top w:val="none" w:color="000000" w:sz="4"/>
                    <w:left w:val="single" w:color="000000" w:sz="4"/>
                    <w:bottom w:val="single" w:color="000000" w:sz="4"/>
                    <w:right w:val="single" w:color="000000" w:sz="4"/>
                  </w:tcBorders>
                </w:tcP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6</w:t>
                  </w:r>
                </w:p>
              </w:tc>
              <w:tc>
                <w:tcPr>
                  <w:tcW w:type="dxa" w:w="226"/>
                  <w:vMerge/>
                  <w:tcBorders>
                    <w:top w:val="none" w:color="000000" w:sz="4"/>
                    <w:left w:val="single" w:color="000000" w:sz="4"/>
                    <w:bottom w:val="single" w:color="000000" w:sz="4"/>
                    <w:right w:val="single" w:color="000000" w:sz="4"/>
                  </w:tcBorders>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人工巡查</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12次</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FF"/>
                    </w:rPr>
                    <w:t>通过目视、敲击等手段检查本体、监测设备设施、周边环境是否存在异常</w:t>
                  </w:r>
                </w:p>
              </w:tc>
            </w:tr>
          </w:tbl>
          <w:p>
            <w:pPr>
              <w:pStyle w:val="null3"/>
              <w:jc w:val="both"/>
            </w:pPr>
            <w:r>
              <w:rPr>
                <w:rFonts w:ascii="仿宋_GB2312" w:hAnsi="仿宋_GB2312" w:cs="仿宋_GB2312" w:eastAsia="仿宋_GB2312"/>
                <w:sz w:val="21"/>
                <w:color w:val="0000FF"/>
              </w:rPr>
              <w:t>五、监测成果提交</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）在</w:t>
            </w:r>
            <w:r>
              <w:rPr>
                <w:rFonts w:ascii="仿宋_GB2312" w:hAnsi="仿宋_GB2312" w:cs="仿宋_GB2312" w:eastAsia="仿宋_GB2312"/>
                <w:sz w:val="21"/>
                <w:color w:val="0000FF"/>
              </w:rPr>
              <w:t>PC</w:t>
            </w:r>
            <w:r>
              <w:rPr>
                <w:rFonts w:ascii="仿宋_GB2312" w:hAnsi="仿宋_GB2312" w:cs="仿宋_GB2312" w:eastAsia="仿宋_GB2312"/>
                <w:sz w:val="21"/>
                <w:color w:val="0000FF"/>
              </w:rPr>
              <w:t>端以云平台形式展示自动化监测数据，同时可利用小程序进行快速查询测点及曲线变化情况。</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）监测项目执行过程中按月度编制并提交监测月报。</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）所有监测工作结束后，出具最终监测成果报告，报告包含现场监测资料、计算分析资料、监测曲线、图表、文字报告、</w:t>
            </w:r>
            <w:r>
              <w:rPr>
                <w:rFonts w:ascii="仿宋_GB2312" w:hAnsi="仿宋_GB2312" w:cs="仿宋_GB2312" w:eastAsia="仿宋_GB2312"/>
                <w:sz w:val="21"/>
                <w:color w:val="0000FF"/>
              </w:rPr>
              <w:t>人工巡查记录</w:t>
            </w:r>
            <w:r>
              <w:rPr>
                <w:rFonts w:ascii="仿宋_GB2312" w:hAnsi="仿宋_GB2312" w:cs="仿宋_GB2312" w:eastAsia="仿宋_GB2312"/>
                <w:sz w:val="21"/>
                <w:color w:val="0000FF"/>
              </w:rPr>
              <w:t>等，</w:t>
            </w:r>
            <w:r>
              <w:rPr>
                <w:rFonts w:ascii="仿宋_GB2312" w:hAnsi="仿宋_GB2312" w:cs="仿宋_GB2312" w:eastAsia="仿宋_GB2312"/>
                <w:sz w:val="21"/>
                <w:color w:val="0000FF"/>
              </w:rPr>
              <w:t>并将全部监测资料整理归档。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FF"/>
              </w:rPr>
              <w:t>商务要求</w:t>
            </w:r>
          </w:p>
          <w:p>
            <w:pPr>
              <w:pStyle w:val="null3"/>
              <w:ind w:firstLine="4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服务期限：签订合同后至</w:t>
            </w:r>
            <w:r>
              <w:rPr>
                <w:rFonts w:ascii="仿宋_GB2312" w:hAnsi="仿宋_GB2312" w:cs="仿宋_GB2312" w:eastAsia="仿宋_GB2312"/>
                <w:sz w:val="21"/>
                <w:color w:val="0000FF"/>
              </w:rPr>
              <w:t>202</w:t>
            </w:r>
            <w:r>
              <w:rPr>
                <w:rFonts w:ascii="仿宋_GB2312" w:hAnsi="仿宋_GB2312" w:cs="仿宋_GB2312" w:eastAsia="仿宋_GB2312"/>
                <w:sz w:val="21"/>
                <w:color w:val="0000FF"/>
              </w:rPr>
              <w:t>6</w:t>
            </w:r>
            <w:r>
              <w:rPr>
                <w:rFonts w:ascii="仿宋_GB2312" w:hAnsi="仿宋_GB2312" w:cs="仿宋_GB2312" w:eastAsia="仿宋_GB2312"/>
                <w:sz w:val="21"/>
                <w:color w:val="0000FF"/>
              </w:rPr>
              <w:t>年</w:t>
            </w:r>
            <w:r>
              <w:rPr>
                <w:rFonts w:ascii="仿宋_GB2312" w:hAnsi="仿宋_GB2312" w:cs="仿宋_GB2312" w:eastAsia="仿宋_GB2312"/>
                <w:sz w:val="21"/>
                <w:color w:val="0000FF"/>
              </w:rPr>
              <w:t>12</w:t>
            </w:r>
            <w:r>
              <w:rPr>
                <w:rFonts w:ascii="仿宋_GB2312" w:hAnsi="仿宋_GB2312" w:cs="仿宋_GB2312" w:eastAsia="仿宋_GB2312"/>
                <w:sz w:val="21"/>
                <w:color w:val="0000FF"/>
              </w:rPr>
              <w:t>月</w:t>
            </w:r>
            <w:r>
              <w:rPr>
                <w:rFonts w:ascii="仿宋_GB2312" w:hAnsi="仿宋_GB2312" w:cs="仿宋_GB2312" w:eastAsia="仿宋_GB2312"/>
                <w:sz w:val="21"/>
                <w:color w:val="0000FF"/>
              </w:rPr>
              <w:t>31</w:t>
            </w:r>
            <w:r>
              <w:rPr>
                <w:rFonts w:ascii="仿宋_GB2312" w:hAnsi="仿宋_GB2312" w:cs="仿宋_GB2312" w:eastAsia="仿宋_GB2312"/>
                <w:sz w:val="21"/>
                <w:color w:val="0000FF"/>
              </w:rPr>
              <w:t>日。</w:t>
            </w:r>
          </w:p>
          <w:p>
            <w:pPr>
              <w:pStyle w:val="null3"/>
              <w:ind w:firstLine="420"/>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监测时间及频次：变形监测、含水率监测数据计划采集数据为</w:t>
            </w:r>
            <w:r>
              <w:rPr>
                <w:rFonts w:ascii="仿宋_GB2312" w:hAnsi="仿宋_GB2312" w:cs="仿宋_GB2312" w:eastAsia="仿宋_GB2312"/>
                <w:sz w:val="21"/>
                <w:color w:val="0000FF"/>
              </w:rPr>
              <w:t>114</w:t>
            </w:r>
            <w:r>
              <w:rPr>
                <w:rFonts w:ascii="仿宋_GB2312" w:hAnsi="仿宋_GB2312" w:cs="仿宋_GB2312" w:eastAsia="仿宋_GB2312"/>
                <w:sz w:val="21"/>
                <w:color w:val="0000FF"/>
              </w:rPr>
              <w:t>次</w:t>
            </w:r>
            <w:r>
              <w:rPr>
                <w:rFonts w:ascii="仿宋_GB2312" w:hAnsi="仿宋_GB2312" w:cs="仿宋_GB2312" w:eastAsia="仿宋_GB2312"/>
                <w:sz w:val="21"/>
                <w:color w:val="0000FF"/>
              </w:rPr>
              <w:t>，每天不低于</w:t>
            </w:r>
            <w:r>
              <w:rPr>
                <w:rFonts w:ascii="仿宋_GB2312" w:hAnsi="仿宋_GB2312" w:cs="仿宋_GB2312" w:eastAsia="仿宋_GB2312"/>
                <w:sz w:val="21"/>
                <w:color w:val="0000FF"/>
              </w:rPr>
              <w:t>1</w:t>
            </w:r>
            <w:r>
              <w:rPr>
                <w:rFonts w:ascii="仿宋_GB2312" w:hAnsi="仿宋_GB2312" w:cs="仿宋_GB2312" w:eastAsia="仿宋_GB2312"/>
                <w:sz w:val="21"/>
                <w:color w:val="0000FF"/>
              </w:rPr>
              <w:t>次，当监测数据出现异常变化时根据研判情况可加密；振动监测数据一次持续时间为</w:t>
            </w:r>
            <w:r>
              <w:rPr>
                <w:rFonts w:ascii="仿宋_GB2312" w:hAnsi="仿宋_GB2312" w:cs="仿宋_GB2312" w:eastAsia="仿宋_GB2312"/>
                <w:sz w:val="21"/>
                <w:color w:val="0000FF"/>
              </w:rPr>
              <w:t>90</w:t>
            </w:r>
            <w:r>
              <w:rPr>
                <w:rFonts w:ascii="仿宋_GB2312" w:hAnsi="仿宋_GB2312" w:cs="仿宋_GB2312" w:eastAsia="仿宋_GB2312"/>
                <w:sz w:val="21"/>
                <w:color w:val="0000FF"/>
              </w:rPr>
              <w:t>分钟，采集为实时采集，每</w:t>
            </w:r>
            <w:r>
              <w:rPr>
                <w:rFonts w:ascii="仿宋_GB2312" w:hAnsi="仿宋_GB2312" w:cs="仿宋_GB2312" w:eastAsia="仿宋_GB2312"/>
                <w:sz w:val="21"/>
                <w:color w:val="0000FF"/>
              </w:rPr>
              <w:t>5</w:t>
            </w:r>
            <w:r>
              <w:rPr>
                <w:rFonts w:ascii="仿宋_GB2312" w:hAnsi="仿宋_GB2312" w:cs="仿宋_GB2312" w:eastAsia="仿宋_GB2312"/>
                <w:sz w:val="21"/>
                <w:color w:val="0000FF"/>
              </w:rPr>
              <w:t>分钟自动分析一次振动速度幅值；人工巡查</w:t>
            </w:r>
            <w:r>
              <w:rPr>
                <w:rFonts w:ascii="仿宋_GB2312" w:hAnsi="仿宋_GB2312" w:cs="仿宋_GB2312" w:eastAsia="仿宋_GB2312"/>
                <w:sz w:val="21"/>
                <w:color w:val="0000FF"/>
              </w:rPr>
              <w:t>12</w:t>
            </w:r>
            <w:r>
              <w:rPr>
                <w:rFonts w:ascii="仿宋_GB2312" w:hAnsi="仿宋_GB2312" w:cs="仿宋_GB2312" w:eastAsia="仿宋_GB2312"/>
                <w:sz w:val="21"/>
                <w:color w:val="0000FF"/>
              </w:rPr>
              <w:t>次。</w:t>
            </w:r>
          </w:p>
          <w:p>
            <w:pPr>
              <w:pStyle w:val="null3"/>
              <w:ind w:firstLine="420"/>
              <w:jc w:val="both"/>
            </w:pPr>
            <w:r>
              <w:rPr>
                <w:rFonts w:ascii="仿宋_GB2312" w:hAnsi="仿宋_GB2312" w:cs="仿宋_GB2312" w:eastAsia="仿宋_GB2312"/>
                <w:sz w:val="21"/>
                <w:color w:val="0000FF"/>
              </w:rPr>
              <w:t>3.</w:t>
            </w:r>
            <w:r>
              <w:rPr>
                <w:rFonts w:ascii="仿宋_GB2312" w:hAnsi="仿宋_GB2312" w:cs="仿宋_GB2312" w:eastAsia="仿宋_GB2312"/>
                <w:sz w:val="21"/>
                <w:color w:val="0000FF"/>
              </w:rPr>
              <w:t>项目实施地点：采购人指定地点；</w:t>
            </w:r>
          </w:p>
          <w:p>
            <w:pPr>
              <w:pStyle w:val="null3"/>
              <w:ind w:firstLine="420"/>
              <w:jc w:val="both"/>
            </w:pPr>
            <w:r>
              <w:rPr>
                <w:rFonts w:ascii="仿宋_GB2312" w:hAnsi="仿宋_GB2312" w:cs="仿宋_GB2312" w:eastAsia="仿宋_GB2312"/>
                <w:sz w:val="21"/>
                <w:color w:val="0000FF"/>
              </w:rPr>
              <w:t>4.</w:t>
            </w:r>
            <w:r>
              <w:rPr>
                <w:rFonts w:ascii="仿宋_GB2312" w:hAnsi="仿宋_GB2312" w:cs="仿宋_GB2312" w:eastAsia="仿宋_GB2312"/>
                <w:sz w:val="21"/>
                <w:color w:val="0000FF"/>
              </w:rPr>
              <w:t>质量要求：符合国家（或行业）规定标准；</w:t>
            </w:r>
          </w:p>
          <w:p>
            <w:pPr>
              <w:pStyle w:val="null3"/>
              <w:ind w:firstLine="420"/>
              <w:jc w:val="both"/>
            </w:pPr>
            <w:r>
              <w:rPr>
                <w:rFonts w:ascii="仿宋_GB2312" w:hAnsi="仿宋_GB2312" w:cs="仿宋_GB2312" w:eastAsia="仿宋_GB2312"/>
                <w:sz w:val="21"/>
                <w:color w:val="0000FF"/>
              </w:rPr>
              <w:t>5.</w:t>
            </w:r>
            <w:r>
              <w:rPr>
                <w:rFonts w:ascii="仿宋_GB2312" w:hAnsi="仿宋_GB2312" w:cs="仿宋_GB2312" w:eastAsia="仿宋_GB2312"/>
                <w:sz w:val="21"/>
                <w:color w:val="0000FF"/>
              </w:rPr>
              <w:t>付款方式</w:t>
            </w:r>
          </w:p>
          <w:p>
            <w:pPr>
              <w:pStyle w:val="null3"/>
              <w:ind w:firstLine="21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）合同签订后</w:t>
            </w:r>
            <w:r>
              <w:rPr>
                <w:rFonts w:ascii="仿宋_GB2312" w:hAnsi="仿宋_GB2312" w:cs="仿宋_GB2312" w:eastAsia="仿宋_GB2312"/>
                <w:sz w:val="21"/>
                <w:color w:val="0000FF"/>
              </w:rPr>
              <w:t>30</w:t>
            </w:r>
            <w:r>
              <w:rPr>
                <w:rFonts w:ascii="仿宋_GB2312" w:hAnsi="仿宋_GB2312" w:cs="仿宋_GB2312" w:eastAsia="仿宋_GB2312"/>
                <w:sz w:val="21"/>
                <w:color w:val="0000FF"/>
              </w:rPr>
              <w:t>日内</w:t>
            </w:r>
            <w:r>
              <w:rPr>
                <w:rFonts w:ascii="仿宋_GB2312" w:hAnsi="仿宋_GB2312" w:cs="仿宋_GB2312" w:eastAsia="仿宋_GB2312"/>
                <w:sz w:val="21"/>
                <w:color w:val="0000FF"/>
              </w:rPr>
              <w:t>，</w:t>
            </w:r>
            <w:r>
              <w:rPr>
                <w:rFonts w:ascii="仿宋_GB2312" w:hAnsi="仿宋_GB2312" w:cs="仿宋_GB2312" w:eastAsia="仿宋_GB2312"/>
                <w:sz w:val="21"/>
                <w:color w:val="0000FF"/>
              </w:rPr>
              <w:t>乙方提供等额正规发票，甲方收到发票后</w:t>
            </w:r>
            <w:r>
              <w:rPr>
                <w:rFonts w:ascii="仿宋_GB2312" w:hAnsi="仿宋_GB2312" w:cs="仿宋_GB2312" w:eastAsia="仿宋_GB2312"/>
                <w:sz w:val="21"/>
                <w:color w:val="0000FF"/>
              </w:rPr>
              <w:t>30</w:t>
            </w:r>
            <w:r>
              <w:rPr>
                <w:rFonts w:ascii="仿宋_GB2312" w:hAnsi="仿宋_GB2312" w:cs="仿宋_GB2312" w:eastAsia="仿宋_GB2312"/>
                <w:sz w:val="21"/>
                <w:color w:val="0000FF"/>
              </w:rPr>
              <w:t>日内，支付合同总金额的</w:t>
            </w:r>
            <w:r>
              <w:rPr>
                <w:rFonts w:ascii="仿宋_GB2312" w:hAnsi="仿宋_GB2312" w:cs="仿宋_GB2312" w:eastAsia="仿宋_GB2312"/>
                <w:sz w:val="21"/>
                <w:color w:val="0000FF"/>
              </w:rPr>
              <w:t>60%</w:t>
            </w:r>
            <w:r>
              <w:rPr>
                <w:rFonts w:ascii="仿宋_GB2312" w:hAnsi="仿宋_GB2312" w:cs="仿宋_GB2312" w:eastAsia="仿宋_GB2312"/>
                <w:sz w:val="21"/>
                <w:color w:val="0000FF"/>
              </w:rPr>
              <w:t>；</w:t>
            </w:r>
          </w:p>
          <w:p>
            <w:pPr>
              <w:pStyle w:val="null3"/>
              <w:ind w:firstLine="210"/>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本合同约定的全部监测工作结束后，在乙方提供全部工作成果并经甲方验收合格后，乙方提供等额正规发票，甲方收到发票后</w:t>
            </w:r>
            <w:r>
              <w:rPr>
                <w:rFonts w:ascii="仿宋_GB2312" w:hAnsi="仿宋_GB2312" w:cs="仿宋_GB2312" w:eastAsia="仿宋_GB2312"/>
                <w:sz w:val="21"/>
                <w:color w:val="0000FF"/>
              </w:rPr>
              <w:t>30</w:t>
            </w:r>
            <w:r>
              <w:rPr>
                <w:rFonts w:ascii="仿宋_GB2312" w:hAnsi="仿宋_GB2312" w:cs="仿宋_GB2312" w:eastAsia="仿宋_GB2312"/>
                <w:sz w:val="21"/>
                <w:color w:val="0000FF"/>
              </w:rPr>
              <w:t>日内，支付合同总金额的</w:t>
            </w:r>
            <w:r>
              <w:rPr>
                <w:rFonts w:ascii="仿宋_GB2312" w:hAnsi="仿宋_GB2312" w:cs="仿宋_GB2312" w:eastAsia="仿宋_GB2312"/>
                <w:sz w:val="21"/>
                <w:color w:val="0000FF"/>
              </w:rPr>
              <w:t>4</w:t>
            </w:r>
            <w:r>
              <w:rPr>
                <w:rFonts w:ascii="仿宋_GB2312" w:hAnsi="仿宋_GB2312" w:cs="仿宋_GB2312" w:eastAsia="仿宋_GB2312"/>
                <w:sz w:val="21"/>
                <w:color w:val="0000FF"/>
              </w:rPr>
              <w:t>0%</w:t>
            </w:r>
            <w:r>
              <w:rPr>
                <w:rFonts w:ascii="仿宋_GB2312" w:hAnsi="仿宋_GB2312" w:cs="仿宋_GB2312" w:eastAsia="仿宋_GB2312"/>
                <w:sz w:val="21"/>
                <w:color w:val="0000FF"/>
              </w:rPr>
              <w:t>。</w:t>
            </w:r>
          </w:p>
          <w:p>
            <w:pPr>
              <w:pStyle w:val="null3"/>
            </w:pPr>
            <w:r>
              <w:rPr>
                <w:rFonts w:ascii="仿宋_GB2312" w:hAnsi="仿宋_GB2312" w:cs="仿宋_GB2312" w:eastAsia="仿宋_GB2312"/>
                <w:sz w:val="21"/>
                <w:color w:val="0000FF"/>
              </w:rPr>
              <w:t>6.</w:t>
            </w:r>
            <w:r>
              <w:rPr>
                <w:rFonts w:ascii="仿宋_GB2312" w:hAnsi="仿宋_GB2312" w:cs="仿宋_GB2312" w:eastAsia="仿宋_GB2312"/>
                <w:sz w:val="21"/>
                <w:color w:val="0000FF"/>
              </w:rPr>
              <w:t>项目检验与验收</w:t>
            </w:r>
            <w:r>
              <w:rPr>
                <w:rFonts w:ascii="仿宋_GB2312" w:hAnsi="仿宋_GB2312" w:cs="仿宋_GB2312" w:eastAsia="仿宋_GB2312"/>
                <w:sz w:val="21"/>
                <w:color w:val="0000FF"/>
              </w:rPr>
              <w:t>：</w:t>
            </w:r>
            <w:r>
              <w:rPr>
                <w:rFonts w:ascii="仿宋_GB2312" w:hAnsi="仿宋_GB2312" w:cs="仿宋_GB2312" w:eastAsia="仿宋_GB2312"/>
                <w:sz w:val="21"/>
                <w:color w:val="0000FF"/>
              </w:rPr>
              <w:t>按照相关规范进行验收。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和成交供应商共同对项⽬进⾏整体验收。其内容包括：1、符合国家标准、⾏业标准及采购⼈需求。2、验收依据（1）磋商⽂件、投标⽂件、澄清答疑资料（有）；（2）本合同及附件⽂本；（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预付款，合同签订后30日内，乙方提供等额正规发票，甲方收到发票后，达到付款条件起30个工作日内，支付合同总金额的60.0%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进度款，本合同约定的全部监测工作结束后，在乙方提供全部工作成果并经甲方验收合格后，乙方提供等额正规发票，甲方收到发票后，达到付款条件起30个工作日内，支付合同总金额的40.0%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按照合同及附件⽂本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中标单位于开标后提交投标响应客户端生成带水印的投标文件纸质版代理公司，投标文件正本一份，副本二份，电子 U 盘二份。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供应商应是具有独立承担民事责任能力，提供有效的主体资格证明：须具备独立承担民事责任能力的法人、其他组织或自然人，提供营业执照/事业单位法人证书/非企业专业服务机构执业许可证/自然人身份证。（二）财务状况证明：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三）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四）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供应商须具备行政主管部门核发的工程勘察综合类甲级资质和工程测量专业甲级测绘资质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具备“注册土木工程师（岩土）”或“注册测绘师”证书，并在本单位注册或提供相应证明材料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法定代表人证明书或者授权委托书</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法定代表人参加开标时，提供法定代表人证明书；授权代表参加开标时，提供法定代表人授权书；非法人单位参照执行。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承诺并进行电子签章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分项报价表（1）.docx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分项报价表（1）.docx 中小企业声明函 标的清单 服务内容及服务邀请应答表.docx 商务应答表.docx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分项报价表（1）.docx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对本项目的理解程度</w:t>
            </w:r>
          </w:p>
        </w:tc>
        <w:tc>
          <w:tcPr>
            <w:tcW w:type="dxa" w:w="2492"/>
          </w:tcPr>
          <w:p>
            <w:pPr>
              <w:pStyle w:val="null3"/>
            </w:pPr>
            <w:r>
              <w:rPr>
                <w:rFonts w:ascii="仿宋_GB2312" w:hAnsi="仿宋_GB2312" w:cs="仿宋_GB2312" w:eastAsia="仿宋_GB2312"/>
              </w:rPr>
              <w:t>对项目的监测对象的背景监测目的及内容的理解认识深刻、准确并利于项目实施得满分8分，评审内容中有1处内容缺陷扣0.5分，扣完为止；（缺陷是指：内容描述过于简单、条理不清晰、与项目内容不匹配、凭空编造、出现常识性错误、不可能实现的夸大情形、存在不适用项目实际情况、理解不到位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根据采购要求和响应情况，对供应商提供的整体实施方案进行综合评价： 监测内容的全面性、监测方法的合理性、与本项目采购需求的符合性，同时针对项目实施过程中遇到的问题及因素有充分的可行建议和措施，并能完全满足采购文件要求的得15分； 评审内容有一项内容缺陷扣0.5分，扣完为止（缺陷是指：内容表述简略，内容空泛或有遗漏，针对性不足，架构杂乱，逻辑，层级条理不清，适配性不足等情形）。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对项目重点、难点分析</w:t>
            </w:r>
          </w:p>
        </w:tc>
        <w:tc>
          <w:tcPr>
            <w:tcW w:type="dxa" w:w="2492"/>
          </w:tcPr>
          <w:p>
            <w:pPr>
              <w:pStyle w:val="null3"/>
            </w:pPr>
            <w:r>
              <w:rPr>
                <w:rFonts w:ascii="仿宋_GB2312" w:hAnsi="仿宋_GB2312" w:cs="仿宋_GB2312" w:eastAsia="仿宋_GB2312"/>
              </w:rPr>
              <w:t>供应商对项目重点、难点分析全面、准确、透彻，关键重难点并逐一提出具体、可行的应对措施：①监测点位的全覆盖与代表性；②监测数据的真实性与全流程质控；③多源数据融合与深度研判分析；④时效保障与应急响应。方案各部分内容全面详细、阐述条理清晰详尽、符合本项目采购需求得10分；评审内容每缺一项扣2.5分，扣完为止；评审内容有一项内容缺陷扣0.5分（缺陷是指：内容表述简略，缺乏针对性，，针对性不足，逻辑不足，问题难解决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供应商针对本项目保密保证措施、防控措施，有具体的方法及承诺。 保密措施具有针对性，保密承诺内容详细齐全，提供保密承诺或协议书，得7分； 保密措施具有一定针对性，保密承诺内容较齐全，提供保密承诺或协议书，得5分 保密措施缺乏针对性，保密承诺内容简单，提供保密承诺或协议书，得3分； 保密措施简单笼统、缺乏针对性，保密承诺有待优化，提供保密承诺或协议书，得1分。未提供或者保密措施无效得0分。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项目负责人具有相关专业工程师职称计1分，具有相关专业高级工程师及以上技术职称计3分，未提供不计分。 项目负责人具有本科学历的，得1分；硕士研究生及以上学历的，得2分，未提供不得分。 备注：提供证明材料复印件并加盖公章。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1.项目组人员配备达到4人以上，得1分。在此基础上每增加1名成员，得0.5分，本项最高得2分。 2.人员配备中具有全日制本科及以上学历的，每有1人得0.5分，本项满分2分。3.团队成员具有“注册土木工程师（岩土）”或“注册测绘师”证书的，每提供一份得2分，满分4分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监测成果形式及报告承诺</w:t>
            </w:r>
          </w:p>
        </w:tc>
        <w:tc>
          <w:tcPr>
            <w:tcW w:type="dxa" w:w="2492"/>
          </w:tcPr>
          <w:p>
            <w:pPr>
              <w:pStyle w:val="null3"/>
            </w:pPr>
            <w:r>
              <w:rPr>
                <w:rFonts w:ascii="仿宋_GB2312" w:hAnsi="仿宋_GB2312" w:cs="仿宋_GB2312" w:eastAsia="仿宋_GB2312"/>
              </w:rPr>
              <w:t>供应商针对本项目提供监测成果形式及报告承诺，满足服务要求“监测成果提交”1条得1分，满分3分。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提供针对本项目的服务质量保证承诺（承诺内容包括：①健全的质量控制体系、②质量保证措施、③质量控制目标的合理分解，④有质量目标无法实现时的认罚承诺）。承诺满足1项的2分，满分8分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响应时限和应对措施</w:t>
            </w:r>
          </w:p>
        </w:tc>
        <w:tc>
          <w:tcPr>
            <w:tcW w:type="dxa" w:w="2492"/>
          </w:tcPr>
          <w:p>
            <w:pPr>
              <w:pStyle w:val="null3"/>
            </w:pPr>
            <w:r>
              <w:rPr>
                <w:rFonts w:ascii="仿宋_GB2312" w:hAnsi="仿宋_GB2312" w:cs="仿宋_GB2312" w:eastAsia="仿宋_GB2312"/>
              </w:rPr>
              <w:t>对于项目实施过程中出现突发状况，有具体可行的响应时限和应对措施，能保证项目质量并按时提交项目成果，并承诺积极按照采购人提出的要求或意见改进工作，确保项目顺利实施。 ①响应时限：数据异常至预警推送时间≤5分钟得4分；≤15分钟得3分；≤30分钟得2分；≤60分钟得1分；&gt;60分钟或无承诺得0分。②应对措施：监测内容均有专项预案且含阈值分级+处置流程得4分；每缺1项专项预案扣1分；预案无阈值分级或无可操作性每项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设备维护承诺</w:t>
            </w:r>
          </w:p>
        </w:tc>
        <w:tc>
          <w:tcPr>
            <w:tcW w:type="dxa" w:w="2492"/>
          </w:tcPr>
          <w:p>
            <w:pPr>
              <w:pStyle w:val="null3"/>
            </w:pPr>
            <w:r>
              <w:rPr>
                <w:rFonts w:ascii="仿宋_GB2312" w:hAnsi="仿宋_GB2312" w:cs="仿宋_GB2312" w:eastAsia="仿宋_GB2312"/>
              </w:rPr>
              <w:t>提供完善的长效运维巡检服务承诺： 1.管理制度：具有完善的维护管理制度及岗位职责分工承诺得2分； 2.巡检周期：承诺日常巡检周期不低于一月一次承诺得2分； 3.响应时限：承诺设备故障后12小时内到达现场处置的，得1分；承诺6小时内到达的，得2分（本项不累计计分）； 4.台账记录：承诺建立维护记录台账，记录内容须包含维护时间、设备编号、故障现象、处理结果、维护人员等得2分。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7月至今）已完成类似项目业绩（附合同复印件并加盖供应商公章），每提供一个业绩得2分，满分10分。（评审材料：合同复印件，时间以合同签订日期为准，须在响应文件中附有加盖公章的复印件，未按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1、经初审合格的响应文件，其磋商报价为有效磋商报价，并对有效磋商报价进行政策性扣减，并依据扣减后的价格（评审价格）进行价格评审。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磋商报价得分=（投标基准价/磋商最终报价）×价格权值（10%）×100，超出最高限价的报价为无效报价。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