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7B747">
      <w:pPr>
        <w:spacing w:before="91" w:line="360" w:lineRule="auto"/>
        <w:ind w:firstLine="0"/>
        <w:jc w:val="center"/>
        <w:rPr>
          <w:rFonts w:ascii="宋体" w:hAnsi="宋体" w:eastAsia="宋体" w:cs="宋体"/>
          <w:b/>
          <w:color w:val="auto"/>
          <w:sz w:val="24"/>
          <w:szCs w:val="24"/>
        </w:rPr>
      </w:pPr>
      <w:r>
        <w:rPr>
          <w:rFonts w:hint="eastAsia" w:ascii="宋体" w:hAnsi="宋体" w:eastAsia="宋体" w:cs="宋体"/>
          <w:b/>
          <w:color w:val="auto"/>
          <w:sz w:val="24"/>
          <w:szCs w:val="24"/>
        </w:rPr>
        <w:t xml:space="preserve"> 拟签订采购合同文本</w:t>
      </w:r>
    </w:p>
    <w:p w14:paraId="7BE19224">
      <w:pPr>
        <w:spacing w:before="91" w:line="360" w:lineRule="auto"/>
        <w:ind w:firstLine="0"/>
        <w:jc w:val="center"/>
        <w:rPr>
          <w:rFonts w:ascii="宋体" w:hAnsi="宋体" w:eastAsia="宋体" w:cs="宋体"/>
          <w:color w:val="auto"/>
          <w:sz w:val="24"/>
          <w:szCs w:val="24"/>
          <w:u w:val="single"/>
        </w:rPr>
      </w:pPr>
      <w:r>
        <w:rPr>
          <w:rFonts w:hint="eastAsia" w:ascii="宋体" w:hAnsi="宋体" w:eastAsia="宋体" w:cs="宋体"/>
          <w:b/>
          <w:bCs/>
          <w:color w:val="auto"/>
          <w:sz w:val="24"/>
          <w:szCs w:val="24"/>
        </w:rPr>
        <w:t>第一部分 协议书</w:t>
      </w:r>
    </w:p>
    <w:p w14:paraId="5A143AA9">
      <w:pPr>
        <w:adjustRightInd w:val="0"/>
        <w:snapToGrid w:val="0"/>
        <w:spacing w:line="560" w:lineRule="exact"/>
        <w:ind w:firstLine="0"/>
        <w:rPr>
          <w:rFonts w:ascii="宋体" w:hAnsi="宋体" w:eastAsia="宋体" w:cs="宋体"/>
          <w:color w:val="auto"/>
          <w:sz w:val="24"/>
        </w:rPr>
      </w:pPr>
      <w:r>
        <w:rPr>
          <w:rFonts w:ascii="宋体" w:hAnsi="宋体" w:eastAsia="宋体" w:cs="宋体"/>
          <w:color w:val="auto"/>
          <w:sz w:val="24"/>
        </w:rPr>
        <w:t>甲方（采购人）：</w:t>
      </w:r>
      <w:r>
        <w:rPr>
          <w:rFonts w:hint="eastAsia" w:ascii="宋体" w:hAnsi="宋体" w:eastAsia="宋体" w:cs="宋体"/>
          <w:color w:val="auto"/>
          <w:sz w:val="24"/>
        </w:rPr>
        <w:t xml:space="preserve"> </w:t>
      </w:r>
      <w:r>
        <w:rPr>
          <w:rFonts w:ascii="宋体" w:hAnsi="宋体" w:eastAsia="宋体" w:cs="宋体"/>
          <w:color w:val="auto"/>
          <w:sz w:val="24"/>
          <w:u w:val="single"/>
        </w:rPr>
        <w:t>西安市雁塔区市场监督管理局</w:t>
      </w:r>
      <w:r>
        <w:rPr>
          <w:rFonts w:hint="eastAsia" w:ascii="宋体" w:hAnsi="宋体" w:eastAsia="宋体" w:cs="宋体"/>
          <w:color w:val="auto"/>
          <w:sz w:val="24"/>
          <w:u w:val="single"/>
        </w:rPr>
        <w:t xml:space="preserve"> </w:t>
      </w:r>
    </w:p>
    <w:p w14:paraId="267CC832">
      <w:pPr>
        <w:adjustRightInd w:val="0"/>
        <w:snapToGrid w:val="0"/>
        <w:spacing w:line="560" w:lineRule="exact"/>
        <w:ind w:firstLine="0"/>
        <w:rPr>
          <w:rFonts w:ascii="宋体" w:hAnsi="宋体" w:eastAsia="宋体" w:cs="宋体"/>
          <w:color w:val="auto"/>
          <w:sz w:val="24"/>
        </w:rPr>
      </w:pPr>
      <w:r>
        <w:rPr>
          <w:rFonts w:ascii="宋体" w:hAnsi="宋体" w:eastAsia="宋体" w:cs="宋体"/>
          <w:color w:val="auto"/>
          <w:sz w:val="24"/>
        </w:rPr>
        <w:t>乙方（成交供应商）：______________________</w:t>
      </w:r>
    </w:p>
    <w:p w14:paraId="6EA444D5">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依据</w:t>
      </w:r>
      <w:r>
        <w:rPr>
          <w:rFonts w:ascii="宋体" w:hAnsi="宋体" w:eastAsia="宋体" w:cs="宋体"/>
          <w:color w:val="auto"/>
          <w:sz w:val="24"/>
          <w:lang w:val="zh-CN"/>
        </w:rPr>
        <w:t>《中华人民共和国政府采购法》及实施条例、《中华人民共和国民法典》等法律、行政法规，遵循平等、自愿、公平和诚实信用的原则</w:t>
      </w:r>
      <w:r>
        <w:rPr>
          <w:rFonts w:ascii="宋体" w:hAnsi="宋体" w:eastAsia="宋体" w:cs="宋体"/>
          <w:color w:val="auto"/>
          <w:sz w:val="24"/>
        </w:rPr>
        <w:t>，就乙方向甲方提供雁塔区2026年民生实事-电梯安全护航事宜签订本合同，共同信守。</w:t>
      </w:r>
    </w:p>
    <w:p w14:paraId="261BD251">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一、项目概况与服务内容</w:t>
      </w:r>
    </w:p>
    <w:p w14:paraId="284668C3">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（一）项目概况</w:t>
      </w:r>
    </w:p>
    <w:p w14:paraId="2E308C8B">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为全面排查整治电梯安全隐患，规范我区电梯生产、使用、维护保养和检验、检测行为，预防和减少安全事故，保障全区电梯安全稳定运行。根据《中华人民共和国特种设备安全法》等法律法规规章和安全技术规范，结合实际，按照随机抽查、分布合理、重点突出的原则，委托第三方专业机构，对全区电梯安全质量进行监督抽查，重点查找和解决电梯生产、使用、维护保养、检验、检测等环节中存在的问题和风险，整治安全隐患，查处违法行为，规范安全秩序，夯实安全责任，持续提升电梯安全质量水平，促进全区电梯安全形势平稳向好发展。</w:t>
      </w:r>
    </w:p>
    <w:p w14:paraId="64A79589">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（二）服务内容</w:t>
      </w:r>
    </w:p>
    <w:p w14:paraId="3FF2DF4E">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2026年电梯安全质量监督抽查项目计划抽查在用电梯1630台（其中电梯维护保养质量抽查1500台，电梯检验、检测质量抽查130台），抽查电梯单位120家（其中电梯生产单位20家、电梯使用单位100家）。</w:t>
      </w:r>
    </w:p>
    <w:p w14:paraId="7E51EE29">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 xml:space="preserve">1、电梯维护保养质量监督抽查。抽取在用电梯，检查电梯关键部位、主要部件、安全保护装置等电梯安全性能指标，核查电梯安全状况，监督验证电梯维护保养项目落实情况和电梯维护保养质量。 </w:t>
      </w:r>
    </w:p>
    <w:p w14:paraId="3AF1C4BD">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2、电梯检验、检测质量监督抽查。抽取电梯检验检测机构已完成检验、检测的电梯，核查确认电梯检验、检测项目落实情况，监督验证电梯检验、检测质量。</w:t>
      </w:r>
    </w:p>
    <w:p w14:paraId="67F9C2C7">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3、电梯生产单位监督抽查。抽取注册地在雁塔区的电梯生产（制造、安装、改造、修理）单位，依据相关法律法规规章和安全技术规范，检查其行政许可、人员管理、生产档案、“两个规定”及“日管控、周排查、月调度”工作机制落实及证后许可资源条件保持情况，监督验证生产单位质量体系运行情况。</w:t>
      </w:r>
    </w:p>
    <w:p w14:paraId="411CA057">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4、电梯使用单位监督抽查。抽取雁塔区电梯使用单位，依据相关法律法规规章和安全技术规范，检查在用电梯安全管理情况、安全</w:t>
      </w:r>
      <w:bookmarkStart w:id="21" w:name="_GoBack"/>
      <w:bookmarkEnd w:id="21"/>
      <w:r>
        <w:rPr>
          <w:rFonts w:hint="eastAsia" w:ascii="宋体" w:hAnsi="宋体" w:eastAsia="宋体" w:cs="宋体"/>
          <w:color w:val="auto"/>
          <w:sz w:val="24"/>
        </w:rPr>
        <w:t>管理机构设置、安全管理制度落实、安全技术档案建立、“两个规定”及“日管控、周排查、月调度”工作机制落实等情况，监督验证使用单位安全主体责任落实情况。</w:t>
      </w:r>
    </w:p>
    <w:p w14:paraId="032DBB5C">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二、合同金额</w:t>
      </w:r>
    </w:p>
    <w:p w14:paraId="627A51E5">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本项目合同为固定总价，合同总金额为人民币_________元（¥_________），此费用包含乙方提供本合同项下全部服务所需的管理费、保险、税金等一切成本。</w:t>
      </w:r>
    </w:p>
    <w:p w14:paraId="56B0ED2A">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三、服务期限</w:t>
      </w:r>
    </w:p>
    <w:p w14:paraId="77F0FB96">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自____年__月__日起至____年__月__日止，共计</w:t>
      </w:r>
      <w:r>
        <w:rPr>
          <w:rFonts w:hint="eastAsia" w:ascii="宋体" w:hAnsi="宋体" w:eastAsia="宋体" w:cs="宋体"/>
          <w:color w:val="auto"/>
          <w:sz w:val="24"/>
          <w:u w:val="single"/>
        </w:rPr>
        <w:t xml:space="preserve">  </w:t>
      </w:r>
      <w:r>
        <w:rPr>
          <w:rFonts w:ascii="宋体" w:hAnsi="宋体" w:eastAsia="宋体" w:cs="宋体"/>
          <w:color w:val="auto"/>
          <w:sz w:val="24"/>
        </w:rPr>
        <w:t>个月。</w:t>
      </w:r>
    </w:p>
    <w:p w14:paraId="591DF631">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四、服务要求</w:t>
      </w:r>
    </w:p>
    <w:p w14:paraId="08D92729">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（一）</w:t>
      </w:r>
      <w:r>
        <w:rPr>
          <w:rFonts w:ascii="宋体" w:hAnsi="宋体" w:eastAsia="宋体" w:cs="宋体"/>
          <w:color w:val="auto"/>
          <w:sz w:val="24"/>
        </w:rPr>
        <w:t>合同签订后，供应商须全面启动上述服务。服务时段与采购单位工 作时间保持一致，确保工作日全时段服务覆盖。</w:t>
      </w:r>
    </w:p>
    <w:p w14:paraId="0A46F367">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（二）</w:t>
      </w:r>
      <w:r>
        <w:rPr>
          <w:rFonts w:ascii="宋体" w:hAnsi="宋体" w:eastAsia="宋体" w:cs="宋体"/>
          <w:color w:val="auto"/>
          <w:sz w:val="24"/>
        </w:rPr>
        <w:t>服务行为规范</w:t>
      </w:r>
    </w:p>
    <w:p w14:paraId="3F1E70E9">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服务过程中应态度良好、用语规范。</w:t>
      </w:r>
    </w:p>
    <w:p w14:paraId="598FAB12">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（三）</w:t>
      </w:r>
      <w:r>
        <w:rPr>
          <w:rFonts w:ascii="宋体" w:hAnsi="宋体" w:eastAsia="宋体" w:cs="宋体"/>
          <w:color w:val="auto"/>
          <w:sz w:val="24"/>
        </w:rPr>
        <w:t>保密义务</w:t>
      </w:r>
    </w:p>
    <w:p w14:paraId="0C4FB8D9">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供应商须签署保密协议，严格保守工作中接触的一切敏感信息(包 括但不限于</w:t>
      </w:r>
      <w:r>
        <w:rPr>
          <w:rFonts w:hint="eastAsia" w:ascii="宋体" w:hAnsi="宋体" w:eastAsia="宋体" w:cs="宋体"/>
          <w:color w:val="auto"/>
          <w:sz w:val="24"/>
        </w:rPr>
        <w:t>抽检</w:t>
      </w:r>
      <w:r>
        <w:rPr>
          <w:rFonts w:ascii="宋体" w:hAnsi="宋体" w:eastAsia="宋体" w:cs="宋体"/>
          <w:color w:val="auto"/>
          <w:sz w:val="24"/>
        </w:rPr>
        <w:t>内容、举报人信息、内部工作文件等),严禁泄露或用 于其他目的。</w:t>
      </w:r>
    </w:p>
    <w:p w14:paraId="719FC577">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（四）</w:t>
      </w:r>
      <w:r>
        <w:rPr>
          <w:rFonts w:ascii="宋体" w:hAnsi="宋体" w:eastAsia="宋体" w:cs="宋体"/>
          <w:color w:val="auto"/>
          <w:sz w:val="24"/>
        </w:rPr>
        <w:t>服务连续性与稳定性</w:t>
      </w:r>
    </w:p>
    <w:p w14:paraId="72217CCB">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供应商应建立服务力量储备机制，确保服务不中断。</w:t>
      </w:r>
    </w:p>
    <w:p w14:paraId="56F43A4C">
      <w:pPr>
        <w:adjustRightInd w:val="0"/>
        <w:snapToGrid w:val="0"/>
        <w:spacing w:line="560" w:lineRule="exact"/>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eastAsia="zh-CN"/>
        </w:rPr>
        <w:t>（五）监督抽查严格按照《西安市雁塔区市场监督管理局2026年电梯安全监督抽查工作指南》执行，具体内容详见附件。</w:t>
      </w:r>
    </w:p>
    <w:p w14:paraId="07B18881">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五、款项结算</w:t>
      </w:r>
    </w:p>
    <w:p w14:paraId="25FB815A">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（一）</w:t>
      </w:r>
      <w:r>
        <w:rPr>
          <w:rFonts w:hint="eastAsia" w:ascii="宋体" w:hAnsi="宋体" w:eastAsia="宋体" w:cs="宋体"/>
          <w:color w:val="auto"/>
          <w:sz w:val="24"/>
        </w:rPr>
        <w:t>合同签订后，达到付款条件起30个工作日内，支付合同总金额的40%。</w:t>
      </w:r>
    </w:p>
    <w:p w14:paraId="0373E8EA">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w:t>
      </w:r>
      <w:r>
        <w:rPr>
          <w:rFonts w:hint="eastAsia" w:ascii="宋体" w:hAnsi="宋体" w:eastAsia="宋体" w:cs="宋体"/>
          <w:color w:val="auto"/>
          <w:sz w:val="24"/>
        </w:rPr>
        <w:t>二</w:t>
      </w:r>
      <w:r>
        <w:rPr>
          <w:rFonts w:ascii="宋体" w:hAnsi="宋体" w:eastAsia="宋体" w:cs="宋体"/>
          <w:color w:val="auto"/>
          <w:sz w:val="24"/>
        </w:rPr>
        <w:t>）</w:t>
      </w:r>
      <w:r>
        <w:rPr>
          <w:rFonts w:hint="eastAsia" w:ascii="宋体" w:hAnsi="宋体" w:eastAsia="宋体" w:cs="宋体"/>
          <w:color w:val="auto"/>
          <w:sz w:val="24"/>
        </w:rPr>
        <w:t>项目内容全部完成并通过验收后，达到付款条件起30个工作日内，支付合同总金额的60%。</w:t>
      </w:r>
    </w:p>
    <w:p w14:paraId="3E7E8D62">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（三）甲方履行本合同付款义务，以相关财政资金按时、足额下达至甲方账户为前提，因财政资金未及时下达原因导致的付款延迟，甲方不承担逾期付款违约责任。</w:t>
      </w:r>
    </w:p>
    <w:p w14:paraId="41BAA592">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六、质量验收标准</w:t>
      </w:r>
    </w:p>
    <w:p w14:paraId="0F29AC25">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乙方按时、保质完成甲方交办的各项服务任务即视为已履行合同义务。若甲方事后发现乙方存在未履行、部分履行或虚假陈述的情形，即视为服务不合格，乙方承担相应违约责任。</w:t>
      </w:r>
    </w:p>
    <w:p w14:paraId="769DBE55">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七、双方的权利及义务</w:t>
      </w:r>
    </w:p>
    <w:p w14:paraId="57B68B15">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（一）甲方的权利与义务</w:t>
      </w:r>
    </w:p>
    <w:p w14:paraId="5F21A242">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甲方有权对乙方服务过程进行监督和指导，提出整改意见。</w:t>
      </w:r>
    </w:p>
    <w:p w14:paraId="5FC4ECF8">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甲方应为乙方提供必要的工作条件和工作指导。</w:t>
      </w:r>
    </w:p>
    <w:p w14:paraId="48C9EADE">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甲方有权根据服务质量对乙方进行考核评价。</w:t>
      </w:r>
    </w:p>
    <w:p w14:paraId="70E70ED7">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（二）乙方的权利与义务</w:t>
      </w:r>
    </w:p>
    <w:p w14:paraId="7C127302">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乙方应按本合同约定提供符合条件的服务，并依法与其签订劳动合同、缴纳社会保险。</w:t>
      </w:r>
    </w:p>
    <w:p w14:paraId="6CC5F388">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乙方应建立服务质量保障体系，接受甲方的日常监督和考核。</w:t>
      </w:r>
    </w:p>
    <w:p w14:paraId="7A8C4ADA">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乙方应确保服务的稳定性和连续性。</w:t>
      </w:r>
    </w:p>
    <w:p w14:paraId="032DB600">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乙方应自行承担</w:t>
      </w:r>
      <w:r>
        <w:rPr>
          <w:rFonts w:hint="eastAsia" w:ascii="宋体" w:hAnsi="宋体" w:eastAsia="宋体" w:cs="宋体"/>
          <w:color w:val="auto"/>
          <w:sz w:val="24"/>
        </w:rPr>
        <w:t>本</w:t>
      </w:r>
      <w:r>
        <w:rPr>
          <w:rFonts w:ascii="宋体" w:hAnsi="宋体" w:eastAsia="宋体" w:cs="宋体"/>
          <w:color w:val="auto"/>
          <w:sz w:val="24"/>
        </w:rPr>
        <w:t>服务</w:t>
      </w:r>
      <w:r>
        <w:rPr>
          <w:rFonts w:hint="eastAsia" w:ascii="宋体" w:hAnsi="宋体" w:eastAsia="宋体" w:cs="宋体"/>
          <w:color w:val="auto"/>
          <w:sz w:val="24"/>
        </w:rPr>
        <w:t>项目的一切费用</w:t>
      </w:r>
      <w:r>
        <w:rPr>
          <w:rFonts w:ascii="宋体" w:hAnsi="宋体" w:eastAsia="宋体" w:cs="宋体"/>
          <w:color w:val="auto"/>
          <w:sz w:val="24"/>
        </w:rPr>
        <w:t>。</w:t>
      </w:r>
    </w:p>
    <w:p w14:paraId="15664B14">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乙方不得将本合同项下服务转让或分包给其他单位或个人。</w:t>
      </w:r>
    </w:p>
    <w:p w14:paraId="57A2CC9B">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八、违约责任</w:t>
      </w:r>
    </w:p>
    <w:p w14:paraId="1680342A">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（一）</w:t>
      </w:r>
      <w:r>
        <w:rPr>
          <w:rFonts w:ascii="宋体" w:hAnsi="宋体" w:eastAsia="宋体" w:cs="宋体"/>
          <w:color w:val="auto"/>
          <w:sz w:val="24"/>
        </w:rPr>
        <w:t>供应商未按合同约定履行服务，采购方有权拒付对应期间的全部 服务费。</w:t>
      </w:r>
    </w:p>
    <w:p w14:paraId="687162E7">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（二）</w:t>
      </w:r>
      <w:r>
        <w:rPr>
          <w:rFonts w:ascii="宋体" w:hAnsi="宋体" w:eastAsia="宋体" w:cs="宋体"/>
          <w:color w:val="auto"/>
          <w:sz w:val="24"/>
        </w:rPr>
        <w:t>因供应商服务不到位或虚假履行导致采购方被投诉、追责或产生 任何损失的，供应商承担全部赔偿责任。</w:t>
      </w:r>
    </w:p>
    <w:p w14:paraId="60CD9B0C">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三）在有效服务期内，如供应商在人员配置、作业管理、质量控制、科学高效、便捷服务等各方面不能满足采购文件的相关要求或没有实现响应文件中的相关承诺，甲方有权单方面解除合同，并保留追究违约责任。同时将违约情况上报财政部门列入政府采购失信名单。</w:t>
      </w:r>
    </w:p>
    <w:p w14:paraId="0C456E1F">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九、合同解除</w:t>
      </w:r>
    </w:p>
    <w:p w14:paraId="0033BE25">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（一）经甲乙双方协商一致，可以解除本合同。</w:t>
      </w:r>
    </w:p>
    <w:p w14:paraId="6F34EE83">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（二）乙方有下列情形之一的，甲方有权单方解除合同并追究违约责任：</w:t>
      </w:r>
    </w:p>
    <w:p w14:paraId="3B1EA304">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合同签订后</w:t>
      </w:r>
      <w:r>
        <w:rPr>
          <w:rFonts w:hint="eastAsia" w:ascii="宋体" w:hAnsi="宋体" w:eastAsia="宋体" w:cs="宋体"/>
          <w:color w:val="auto"/>
          <w:sz w:val="24"/>
        </w:rPr>
        <w:t>3</w:t>
      </w:r>
      <w:r>
        <w:rPr>
          <w:rFonts w:ascii="宋体" w:hAnsi="宋体" w:eastAsia="宋体" w:cs="宋体"/>
          <w:color w:val="auto"/>
          <w:sz w:val="24"/>
        </w:rPr>
        <w:t>日内未能全面启动服务的；</w:t>
      </w:r>
    </w:p>
    <w:p w14:paraId="6E27E6F5">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服务过程中出现重大失误或虚假履行，严重影响甲方正常工作的；</w:t>
      </w:r>
    </w:p>
    <w:p w14:paraId="1C3E10CB">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违反保密义务，泄露敏感信息的；</w:t>
      </w:r>
    </w:p>
    <w:p w14:paraId="39056303">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擅自转让或分包合同的。</w:t>
      </w:r>
    </w:p>
    <w:p w14:paraId="2407C600">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（三）因政策调整或财政资金无法保障等原因，甲方有权提前终止合同，按乙方实际服务时间结算费用，不承担违约责任。</w:t>
      </w:r>
    </w:p>
    <w:p w14:paraId="4AD809E6">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十、验收</w:t>
      </w:r>
    </w:p>
    <w:p w14:paraId="5B731B37">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（一）本项目验收费用由乙方自行承担。</w:t>
      </w:r>
    </w:p>
    <w:p w14:paraId="6949EEAC">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（二）验收依据：</w:t>
      </w:r>
    </w:p>
    <w:p w14:paraId="529C0DC0">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本合同及附件；</w:t>
      </w:r>
    </w:p>
    <w:p w14:paraId="27121041">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磋商文件、成交供应商的响应文件及澄清（承诺）函；</w:t>
      </w:r>
    </w:p>
    <w:p w14:paraId="72B6D31E">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国家及行业相应的标准、规范。</w:t>
      </w:r>
    </w:p>
    <w:p w14:paraId="12D16F7B">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十一、合同争议解决的方式</w:t>
      </w:r>
    </w:p>
    <w:p w14:paraId="3CF9D1C8">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本合同在履行过程中发生的争议，由甲、乙双方当事人协商解决，协商不成的，依法向甲方所在地有管辖权的人民法院提起诉讼。</w:t>
      </w:r>
    </w:p>
    <w:p w14:paraId="4F10BB1F">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十二、合同生效及其他</w:t>
      </w:r>
    </w:p>
    <w:p w14:paraId="5B6D2008">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（一）本合同须经甲、乙双方的法定代表人（或授权代理人）签字并加盖本单位公章后正式生效。</w:t>
      </w:r>
    </w:p>
    <w:p w14:paraId="54357DE1">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（二）本合同一式 肆 份，甲乙双方各执 贰 份，具有同等法律效力。</w:t>
      </w:r>
    </w:p>
    <w:p w14:paraId="7B89CD01">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（三）乙方的响应文件和承诺等内容作为本合同附件，与本合同具有同等法律效力。</w:t>
      </w:r>
    </w:p>
    <w:p w14:paraId="796650D4">
      <w:pPr>
        <w:adjustRightInd w:val="0"/>
        <w:snapToGrid w:val="0"/>
        <w:spacing w:line="560" w:lineRule="exact"/>
        <w:ind w:firstLine="480" w:firstLineChars="200"/>
        <w:rPr>
          <w:rFonts w:ascii="宋体" w:hAnsi="宋体" w:eastAsia="宋体" w:cs="宋体"/>
          <w:color w:val="auto"/>
          <w:sz w:val="24"/>
        </w:rPr>
      </w:pPr>
      <w:r>
        <w:rPr>
          <w:rFonts w:ascii="宋体" w:hAnsi="宋体" w:eastAsia="宋体" w:cs="宋体"/>
          <w:color w:val="auto"/>
          <w:sz w:val="24"/>
        </w:rPr>
        <w:t>（四）本合同如有未尽事宜，甲、乙双方协商解决。</w:t>
      </w:r>
    </w:p>
    <w:p w14:paraId="48D2E9F0">
      <w:pPr>
        <w:adjustRightInd w:val="0"/>
        <w:snapToGrid w:val="0"/>
        <w:spacing w:line="560" w:lineRule="exact"/>
        <w:ind w:firstLine="0"/>
        <w:rPr>
          <w:rFonts w:ascii="宋体" w:hAnsi="宋体" w:eastAsia="宋体" w:cs="宋体"/>
          <w:color w:val="auto"/>
          <w:sz w:val="24"/>
        </w:rPr>
      </w:pPr>
    </w:p>
    <w:p w14:paraId="78257526">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采购人(甲方)：        （公章）   供应商(乙方)：          （公章）</w:t>
      </w:r>
    </w:p>
    <w:p w14:paraId="42A129A9">
      <w:pPr>
        <w:adjustRightInd w:val="0"/>
        <w:snapToGrid w:val="0"/>
        <w:spacing w:line="560" w:lineRule="exact"/>
        <w:ind w:firstLine="420" w:firstLineChars="200"/>
        <w:rPr>
          <w:rFonts w:ascii="宋体" w:hAnsi="宋体" w:eastAsia="宋体" w:cs="宋体"/>
          <w:color w:val="auto"/>
          <w:sz w:val="24"/>
        </w:rPr>
      </w:pPr>
      <w:r>
        <w:rPr>
          <w:color w:val="auto"/>
        </w:rPr>
        <w:fldChar w:fldCharType="begin"/>
      </w:r>
      <w:r>
        <w:rPr>
          <w:color w:val="auto"/>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rPr>
        <w:fldChar w:fldCharType="separate"/>
      </w:r>
      <w:r>
        <w:rPr>
          <w:rFonts w:hint="eastAsia" w:ascii="宋体" w:hAnsi="宋体" w:eastAsia="宋体" w:cs="宋体"/>
          <w:color w:val="auto"/>
          <w:sz w:val="24"/>
        </w:rPr>
        <w:t>法定代表人</w:t>
      </w:r>
      <w:r>
        <w:rPr>
          <w:rFonts w:hint="eastAsia" w:ascii="宋体" w:hAnsi="宋体" w:eastAsia="宋体" w:cs="宋体"/>
          <w:color w:val="auto"/>
          <w:sz w:val="24"/>
        </w:rPr>
        <w:fldChar w:fldCharType="end"/>
      </w:r>
      <w:r>
        <w:rPr>
          <w:rFonts w:hint="eastAsia" w:ascii="宋体" w:hAnsi="宋体" w:eastAsia="宋体" w:cs="宋体"/>
          <w:color w:val="auto"/>
          <w:sz w:val="24"/>
        </w:rPr>
        <w:t xml:space="preserve">                       </w:t>
      </w:r>
      <w:r>
        <w:rPr>
          <w:color w:val="auto"/>
        </w:rPr>
        <w:fldChar w:fldCharType="begin"/>
      </w:r>
      <w:r>
        <w:rPr>
          <w:color w:val="auto"/>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rPr>
        <w:fldChar w:fldCharType="separate"/>
      </w:r>
      <w:r>
        <w:rPr>
          <w:rFonts w:hint="eastAsia" w:ascii="宋体" w:hAnsi="宋体" w:eastAsia="宋体" w:cs="宋体"/>
          <w:color w:val="auto"/>
          <w:sz w:val="24"/>
        </w:rPr>
        <w:t>法定代表人</w:t>
      </w:r>
      <w:r>
        <w:rPr>
          <w:rFonts w:hint="eastAsia" w:ascii="宋体" w:hAnsi="宋体" w:eastAsia="宋体" w:cs="宋体"/>
          <w:color w:val="auto"/>
          <w:sz w:val="24"/>
        </w:rPr>
        <w:fldChar w:fldCharType="end"/>
      </w:r>
      <w:r>
        <w:rPr>
          <w:rFonts w:hint="eastAsia" w:ascii="宋体" w:hAnsi="宋体" w:eastAsia="宋体" w:cs="宋体"/>
          <w:color w:val="auto"/>
          <w:sz w:val="24"/>
        </w:rPr>
        <w:t xml:space="preserve">                  </w:t>
      </w:r>
    </w:p>
    <w:p w14:paraId="6A2CE7C4">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或</w:t>
      </w:r>
      <w:r>
        <w:rPr>
          <w:color w:val="auto"/>
        </w:rPr>
        <w:fldChar w:fldCharType="begin"/>
      </w:r>
      <w:r>
        <w:rPr>
          <w:color w:val="auto"/>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rPr>
        <w:fldChar w:fldCharType="separate"/>
      </w:r>
      <w:r>
        <w:rPr>
          <w:rFonts w:hint="eastAsia" w:ascii="宋体" w:hAnsi="宋体" w:eastAsia="宋体" w:cs="宋体"/>
          <w:color w:val="auto"/>
          <w:sz w:val="24"/>
        </w:rPr>
        <w:t>委托代理人</w:t>
      </w:r>
      <w:r>
        <w:rPr>
          <w:rFonts w:hint="eastAsia" w:ascii="宋体" w:hAnsi="宋体" w:eastAsia="宋体" w:cs="宋体"/>
          <w:color w:val="auto"/>
          <w:sz w:val="24"/>
        </w:rPr>
        <w:fldChar w:fldCharType="end"/>
      </w:r>
      <w:r>
        <w:rPr>
          <w:rFonts w:hint="eastAsia" w:ascii="宋体" w:hAnsi="宋体" w:eastAsia="宋体" w:cs="宋体"/>
          <w:color w:val="auto"/>
          <w:sz w:val="24"/>
        </w:rPr>
        <w:t>：（签字或盖章）     或</w:t>
      </w:r>
      <w:r>
        <w:rPr>
          <w:color w:val="auto"/>
        </w:rPr>
        <w:fldChar w:fldCharType="begin"/>
      </w:r>
      <w:r>
        <w:rPr>
          <w:color w:val="auto"/>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rPr>
        <w:fldChar w:fldCharType="separate"/>
      </w:r>
      <w:r>
        <w:rPr>
          <w:rFonts w:hint="eastAsia" w:ascii="宋体" w:hAnsi="宋体" w:eastAsia="宋体" w:cs="宋体"/>
          <w:color w:val="auto"/>
          <w:sz w:val="24"/>
        </w:rPr>
        <w:t>委托代理人</w:t>
      </w:r>
      <w:r>
        <w:rPr>
          <w:rFonts w:hint="eastAsia" w:ascii="宋体" w:hAnsi="宋体" w:eastAsia="宋体" w:cs="宋体"/>
          <w:color w:val="auto"/>
          <w:sz w:val="24"/>
        </w:rPr>
        <w:fldChar w:fldCharType="end"/>
      </w:r>
      <w:r>
        <w:rPr>
          <w:rFonts w:hint="eastAsia" w:ascii="宋体" w:hAnsi="宋体" w:eastAsia="宋体" w:cs="宋体"/>
          <w:color w:val="auto"/>
          <w:sz w:val="24"/>
        </w:rPr>
        <w:t>：    （签字或盖章）</w:t>
      </w:r>
    </w:p>
    <w:p w14:paraId="183FA511">
      <w:pPr>
        <w:adjustRightInd w:val="0"/>
        <w:snapToGrid w:val="0"/>
        <w:spacing w:line="560" w:lineRule="exact"/>
        <w:ind w:firstLine="420" w:firstLineChars="200"/>
        <w:rPr>
          <w:rFonts w:ascii="宋体" w:hAnsi="宋体" w:eastAsia="宋体" w:cs="宋体"/>
          <w:color w:val="auto"/>
          <w:sz w:val="24"/>
        </w:rPr>
      </w:pPr>
      <w:r>
        <w:rPr>
          <w:color w:val="auto"/>
        </w:rPr>
        <w:fldChar w:fldCharType="begin"/>
      </w:r>
      <w:r>
        <w:rPr>
          <w:color w:val="auto"/>
        </w:rPr>
        <w:instrText xml:space="preserve"> HYPERLINK "http://set2.mail.qq.com/cgi-bin/mail_spam?action=check_link&amp;spam=0&amp;url=http%3A%2F%2Fwww%2Ebaidu%2Ecom%2Fs%3Fwd%3D%25E5%25BC%2580%25E6%2588%25B7%25E9%2593%25B6%25E8%25A1%258C%26hl_tag%3Dtextlink%26tn%3DSE_hldp01350_v6v6zkg6" </w:instrText>
      </w:r>
      <w:r>
        <w:rPr>
          <w:color w:val="auto"/>
        </w:rPr>
        <w:fldChar w:fldCharType="separate"/>
      </w:r>
      <w:r>
        <w:rPr>
          <w:rFonts w:hint="eastAsia" w:ascii="宋体" w:hAnsi="宋体" w:eastAsia="宋体" w:cs="宋体"/>
          <w:color w:val="auto"/>
          <w:sz w:val="24"/>
        </w:rPr>
        <w:t>开户银行</w:t>
      </w:r>
      <w:r>
        <w:rPr>
          <w:rFonts w:hint="eastAsia" w:ascii="宋体" w:hAnsi="宋体" w:eastAsia="宋体" w:cs="宋体"/>
          <w:color w:val="auto"/>
          <w:sz w:val="24"/>
        </w:rPr>
        <w:fldChar w:fldCharType="end"/>
      </w:r>
      <w:r>
        <w:rPr>
          <w:rFonts w:hint="eastAsia" w:ascii="宋体" w:hAnsi="宋体" w:eastAsia="宋体" w:cs="宋体"/>
          <w:color w:val="auto"/>
          <w:sz w:val="24"/>
        </w:rPr>
        <w:t xml:space="preserve">：                     </w:t>
      </w:r>
      <w:r>
        <w:rPr>
          <w:color w:val="auto"/>
        </w:rPr>
        <w:fldChar w:fldCharType="begin"/>
      </w:r>
      <w:r>
        <w:rPr>
          <w:color w:val="auto"/>
        </w:rPr>
        <w:instrText xml:space="preserve"> HYPERLINK "http://set2.mail.qq.com/cgi-bin/mail_spam?action=check_link&amp;spam=0&amp;url=http%3A%2F%2Fwww%2Ebaidu%2Ecom%2Fs%3Fwd%3D%25E5%25BC%2580%25E6%2588%25B7%25E9%2593%25B6%25E8%25A1%258C%26hl_tag%3Dtextlink%26tn%3DSE_hldp01350_v6v6zkg6" </w:instrText>
      </w:r>
      <w:r>
        <w:rPr>
          <w:color w:val="auto"/>
        </w:rPr>
        <w:fldChar w:fldCharType="separate"/>
      </w:r>
      <w:r>
        <w:rPr>
          <w:rFonts w:hint="eastAsia" w:ascii="宋体" w:hAnsi="宋体" w:eastAsia="宋体" w:cs="宋体"/>
          <w:color w:val="auto"/>
          <w:sz w:val="24"/>
        </w:rPr>
        <w:t>开户银行</w:t>
      </w:r>
      <w:r>
        <w:rPr>
          <w:rFonts w:hint="eastAsia" w:ascii="宋体" w:hAnsi="宋体" w:eastAsia="宋体" w:cs="宋体"/>
          <w:color w:val="auto"/>
          <w:sz w:val="24"/>
        </w:rPr>
        <w:fldChar w:fldCharType="end"/>
      </w:r>
      <w:r>
        <w:rPr>
          <w:rFonts w:hint="eastAsia" w:ascii="宋体" w:hAnsi="宋体" w:eastAsia="宋体" w:cs="宋体"/>
          <w:color w:val="auto"/>
          <w:sz w:val="24"/>
        </w:rPr>
        <w:t xml:space="preserve">：               </w:t>
      </w:r>
    </w:p>
    <w:p w14:paraId="6B6917AF">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 xml:space="preserve">账    号：                     账   号：               </w:t>
      </w:r>
    </w:p>
    <w:p w14:paraId="40DBE364">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 xml:space="preserve">电    话：                     电    话：               </w:t>
      </w:r>
    </w:p>
    <w:p w14:paraId="7E747CF2">
      <w:pPr>
        <w:adjustRightInd w:val="0"/>
        <w:snapToGrid w:val="0"/>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 xml:space="preserve">地    址：                     地    址：                </w:t>
      </w:r>
    </w:p>
    <w:p w14:paraId="59D95835">
      <w:pPr>
        <w:adjustRightInd w:val="0"/>
        <w:snapToGrid w:val="0"/>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时    间：年月日           时    间：年月日</w:t>
      </w:r>
    </w:p>
    <w:p w14:paraId="2D010BE2">
      <w:pPr>
        <w:rPr>
          <w:rFonts w:hint="eastAsia" w:ascii="宋体" w:hAnsi="宋体" w:eastAsia="宋体" w:cs="宋体"/>
          <w:color w:val="auto"/>
          <w:sz w:val="24"/>
        </w:rPr>
      </w:pPr>
      <w:r>
        <w:rPr>
          <w:rFonts w:hint="eastAsia" w:ascii="宋体" w:hAnsi="宋体" w:eastAsia="宋体" w:cs="宋体"/>
          <w:color w:val="auto"/>
          <w:sz w:val="24"/>
        </w:rPr>
        <w:br w:type="page"/>
      </w:r>
    </w:p>
    <w:p w14:paraId="342ECBF1">
      <w:pPr>
        <w:spacing w:line="720" w:lineRule="exact"/>
        <w:jc w:val="left"/>
        <w:rPr>
          <w:rFonts w:ascii="方正小标宋简体" w:eastAsia="方正小标宋简体"/>
          <w:color w:val="auto"/>
          <w:sz w:val="44"/>
          <w:szCs w:val="44"/>
        </w:rPr>
      </w:pPr>
      <w:r>
        <w:rPr>
          <w:rFonts w:hint="eastAsia" w:ascii="宋体" w:hAnsi="宋体" w:eastAsia="宋体" w:cs="宋体"/>
          <w:color w:val="auto"/>
          <w:sz w:val="24"/>
          <w:lang w:eastAsia="zh-CN"/>
        </w:rPr>
        <w:t>附件：</w:t>
      </w:r>
    </w:p>
    <w:p w14:paraId="3BC4FA90">
      <w:pPr>
        <w:spacing w:line="720" w:lineRule="exact"/>
        <w:jc w:val="center"/>
        <w:rPr>
          <w:rFonts w:ascii="方正小标宋简体" w:eastAsia="方正小标宋简体"/>
          <w:color w:val="auto"/>
          <w:sz w:val="44"/>
          <w:szCs w:val="44"/>
        </w:rPr>
      </w:pPr>
    </w:p>
    <w:p w14:paraId="67F0140B">
      <w:pPr>
        <w:spacing w:line="720" w:lineRule="exact"/>
        <w:jc w:val="center"/>
        <w:rPr>
          <w:rFonts w:ascii="方正小标宋简体" w:eastAsia="方正小标宋简体"/>
          <w:color w:val="auto"/>
          <w:sz w:val="44"/>
          <w:szCs w:val="44"/>
        </w:rPr>
      </w:pPr>
    </w:p>
    <w:p w14:paraId="538F6FB1">
      <w:pPr>
        <w:spacing w:line="720" w:lineRule="exact"/>
        <w:jc w:val="center"/>
        <w:rPr>
          <w:rFonts w:ascii="方正小标宋简体" w:eastAsia="方正小标宋简体"/>
          <w:color w:val="auto"/>
          <w:sz w:val="44"/>
          <w:szCs w:val="44"/>
        </w:rPr>
      </w:pPr>
    </w:p>
    <w:p w14:paraId="18ADCA2A">
      <w:pPr>
        <w:spacing w:line="720" w:lineRule="exact"/>
        <w:jc w:val="center"/>
        <w:rPr>
          <w:rFonts w:ascii="方正小标宋简体" w:eastAsia="方正小标宋简体"/>
          <w:color w:val="auto"/>
          <w:sz w:val="44"/>
          <w:szCs w:val="44"/>
        </w:rPr>
      </w:pPr>
      <w:r>
        <w:rPr>
          <w:rFonts w:hint="eastAsia" w:ascii="方正小标宋简体" w:eastAsia="方正小标宋简体"/>
          <w:color w:val="auto"/>
          <w:sz w:val="44"/>
          <w:szCs w:val="44"/>
        </w:rPr>
        <w:t>2026年电梯安全监督抽查工作指南</w:t>
      </w:r>
    </w:p>
    <w:p w14:paraId="114F3120">
      <w:pPr>
        <w:spacing w:line="560" w:lineRule="exact"/>
        <w:rPr>
          <w:rFonts w:ascii="黑体" w:hAnsi="黑体" w:eastAsia="黑体"/>
          <w:color w:val="auto"/>
          <w:sz w:val="32"/>
          <w:szCs w:val="32"/>
        </w:rPr>
      </w:pPr>
    </w:p>
    <w:p w14:paraId="4DDF4457">
      <w:pPr>
        <w:spacing w:line="560" w:lineRule="exact"/>
        <w:rPr>
          <w:rFonts w:ascii="黑体" w:hAnsi="黑体" w:eastAsia="黑体"/>
          <w:color w:val="auto"/>
          <w:sz w:val="32"/>
          <w:szCs w:val="32"/>
        </w:rPr>
      </w:pPr>
    </w:p>
    <w:p w14:paraId="70F6A695">
      <w:pPr>
        <w:spacing w:line="560" w:lineRule="exact"/>
        <w:rPr>
          <w:rFonts w:ascii="黑体" w:hAnsi="黑体" w:eastAsia="黑体"/>
          <w:color w:val="auto"/>
          <w:sz w:val="32"/>
          <w:szCs w:val="32"/>
        </w:rPr>
      </w:pPr>
    </w:p>
    <w:p w14:paraId="3225FC5D">
      <w:pPr>
        <w:spacing w:line="560" w:lineRule="exact"/>
        <w:rPr>
          <w:rFonts w:ascii="黑体" w:hAnsi="黑体" w:eastAsia="黑体"/>
          <w:color w:val="auto"/>
          <w:sz w:val="32"/>
          <w:szCs w:val="32"/>
        </w:rPr>
      </w:pPr>
    </w:p>
    <w:p w14:paraId="65124C9A">
      <w:pPr>
        <w:spacing w:line="560" w:lineRule="exact"/>
        <w:rPr>
          <w:rFonts w:ascii="黑体" w:hAnsi="黑体" w:eastAsia="黑体"/>
          <w:color w:val="auto"/>
          <w:sz w:val="32"/>
          <w:szCs w:val="32"/>
        </w:rPr>
      </w:pPr>
    </w:p>
    <w:p w14:paraId="2C79C999">
      <w:pPr>
        <w:spacing w:line="560" w:lineRule="exact"/>
        <w:rPr>
          <w:rFonts w:ascii="黑体" w:hAnsi="黑体" w:eastAsia="黑体"/>
          <w:color w:val="auto"/>
          <w:sz w:val="32"/>
          <w:szCs w:val="32"/>
        </w:rPr>
      </w:pPr>
    </w:p>
    <w:p w14:paraId="42D8A0D9">
      <w:pPr>
        <w:spacing w:line="560" w:lineRule="exact"/>
        <w:rPr>
          <w:rFonts w:ascii="黑体" w:hAnsi="黑体" w:eastAsia="黑体"/>
          <w:color w:val="auto"/>
          <w:sz w:val="32"/>
          <w:szCs w:val="32"/>
        </w:rPr>
      </w:pPr>
    </w:p>
    <w:p w14:paraId="719FEBF2">
      <w:pPr>
        <w:spacing w:line="560" w:lineRule="exact"/>
        <w:rPr>
          <w:rFonts w:ascii="黑体" w:hAnsi="黑体" w:eastAsia="黑体"/>
          <w:color w:val="auto"/>
          <w:sz w:val="32"/>
          <w:szCs w:val="32"/>
        </w:rPr>
      </w:pPr>
    </w:p>
    <w:p w14:paraId="1BC9B1FA">
      <w:pPr>
        <w:spacing w:line="560" w:lineRule="exact"/>
        <w:rPr>
          <w:rFonts w:ascii="黑体" w:hAnsi="黑体" w:eastAsia="黑体"/>
          <w:color w:val="auto"/>
          <w:sz w:val="32"/>
          <w:szCs w:val="32"/>
        </w:rPr>
      </w:pPr>
    </w:p>
    <w:p w14:paraId="0CF455A8">
      <w:pPr>
        <w:spacing w:line="560" w:lineRule="exact"/>
        <w:rPr>
          <w:rFonts w:ascii="黑体" w:hAnsi="黑体" w:eastAsia="黑体"/>
          <w:color w:val="auto"/>
          <w:sz w:val="32"/>
          <w:szCs w:val="32"/>
        </w:rPr>
      </w:pPr>
    </w:p>
    <w:p w14:paraId="76CF712D">
      <w:pPr>
        <w:spacing w:line="560" w:lineRule="exact"/>
        <w:rPr>
          <w:rFonts w:ascii="黑体" w:hAnsi="黑体" w:eastAsia="黑体"/>
          <w:color w:val="auto"/>
          <w:sz w:val="32"/>
          <w:szCs w:val="32"/>
        </w:rPr>
      </w:pPr>
    </w:p>
    <w:p w14:paraId="48900525">
      <w:pPr>
        <w:spacing w:line="560" w:lineRule="exact"/>
        <w:jc w:val="center"/>
        <w:rPr>
          <w:rFonts w:ascii="黑体" w:hAnsi="黑体" w:eastAsia="黑体"/>
          <w:color w:val="auto"/>
          <w:sz w:val="32"/>
          <w:szCs w:val="32"/>
        </w:rPr>
      </w:pPr>
      <w:r>
        <w:rPr>
          <w:rFonts w:hint="eastAsia" w:ascii="黑体" w:hAnsi="黑体" w:eastAsia="黑体"/>
          <w:color w:val="auto"/>
          <w:sz w:val="32"/>
          <w:szCs w:val="32"/>
        </w:rPr>
        <w:t>西安市雁塔区市场监督管理局</w:t>
      </w:r>
    </w:p>
    <w:p w14:paraId="16AF8181">
      <w:pPr>
        <w:rPr>
          <w:rFonts w:hint="eastAsia" w:ascii="宋体" w:hAnsi="宋体" w:eastAsia="宋体" w:cs="宋体"/>
          <w:color w:val="auto"/>
          <w:sz w:val="24"/>
          <w:lang w:eastAsia="zh-CN"/>
        </w:rPr>
      </w:pPr>
      <w:r>
        <w:rPr>
          <w:rFonts w:hint="eastAsia" w:ascii="宋体" w:hAnsi="宋体" w:eastAsia="宋体" w:cs="宋体"/>
          <w:color w:val="auto"/>
          <w:sz w:val="24"/>
          <w:lang w:eastAsia="zh-CN"/>
        </w:rPr>
        <w:br w:type="page"/>
      </w:r>
    </w:p>
    <w:p w14:paraId="1B018FE5">
      <w:pPr>
        <w:spacing w:line="620" w:lineRule="exact"/>
        <w:jc w:val="center"/>
        <w:rPr>
          <w:rFonts w:ascii="黑体" w:hAnsi="黑体" w:eastAsia="黑体"/>
          <w:color w:val="auto"/>
          <w:sz w:val="36"/>
          <w:szCs w:val="36"/>
        </w:rPr>
      </w:pPr>
      <w:r>
        <w:rPr>
          <w:rFonts w:hint="eastAsia" w:ascii="黑体" w:hAnsi="黑体" w:eastAsia="黑体"/>
          <w:color w:val="auto"/>
          <w:sz w:val="36"/>
          <w:szCs w:val="36"/>
        </w:rPr>
        <w:t>目   录</w:t>
      </w:r>
    </w:p>
    <w:p w14:paraId="55C65E79">
      <w:pPr>
        <w:spacing w:line="560" w:lineRule="exact"/>
        <w:rPr>
          <w:rFonts w:ascii="黑体" w:hAnsi="黑体" w:eastAsia="黑体"/>
          <w:color w:val="auto"/>
          <w:sz w:val="32"/>
          <w:szCs w:val="32"/>
        </w:rPr>
      </w:pPr>
    </w:p>
    <w:p w14:paraId="251BED59">
      <w:pPr>
        <w:spacing w:line="560" w:lineRule="exact"/>
        <w:rPr>
          <w:rFonts w:ascii="黑体" w:hAnsi="黑体" w:eastAsia="黑体"/>
          <w:color w:val="auto"/>
          <w:sz w:val="32"/>
          <w:szCs w:val="32"/>
        </w:rPr>
      </w:pPr>
    </w:p>
    <w:p w14:paraId="768DEAAC">
      <w:pPr>
        <w:spacing w:line="560" w:lineRule="exact"/>
        <w:jc w:val="center"/>
        <w:rPr>
          <w:rFonts w:ascii="黑体" w:hAnsi="黑体" w:eastAsia="黑体"/>
          <w:color w:val="auto"/>
          <w:sz w:val="32"/>
          <w:szCs w:val="32"/>
        </w:rPr>
      </w:pPr>
      <w:r>
        <w:rPr>
          <w:rFonts w:hint="eastAsia" w:ascii="黑体" w:hAnsi="黑体" w:eastAsia="黑体"/>
          <w:color w:val="auto"/>
          <w:sz w:val="32"/>
          <w:szCs w:val="32"/>
        </w:rPr>
        <w:t>1  监督抽查工作依据···························1</w:t>
      </w:r>
    </w:p>
    <w:p w14:paraId="1B9AEF6E">
      <w:pPr>
        <w:spacing w:line="560" w:lineRule="exact"/>
        <w:jc w:val="center"/>
        <w:rPr>
          <w:rFonts w:ascii="黑体" w:hAnsi="黑体" w:eastAsia="黑体"/>
          <w:color w:val="auto"/>
          <w:sz w:val="32"/>
          <w:szCs w:val="32"/>
        </w:rPr>
      </w:pPr>
      <w:r>
        <w:rPr>
          <w:rFonts w:hint="eastAsia" w:ascii="黑体" w:hAnsi="黑体" w:eastAsia="黑体"/>
          <w:color w:val="auto"/>
          <w:sz w:val="32"/>
          <w:szCs w:val="32"/>
        </w:rPr>
        <w:t>2. 监督抽查文书·······························4</w:t>
      </w:r>
    </w:p>
    <w:p w14:paraId="10A55AC6">
      <w:pPr>
        <w:spacing w:line="560" w:lineRule="exact"/>
        <w:jc w:val="center"/>
        <w:rPr>
          <w:rFonts w:ascii="黑体" w:hAnsi="黑体" w:eastAsia="黑体"/>
          <w:color w:val="auto"/>
          <w:sz w:val="32"/>
          <w:szCs w:val="32"/>
        </w:rPr>
      </w:pPr>
      <w:r>
        <w:rPr>
          <w:rFonts w:hint="eastAsia" w:ascii="黑体" w:hAnsi="黑体" w:eastAsia="黑体"/>
          <w:color w:val="auto"/>
          <w:sz w:val="32"/>
          <w:szCs w:val="32"/>
        </w:rPr>
        <w:t>3. 监督抽查项目、内容与方法要求··············17</w:t>
      </w:r>
    </w:p>
    <w:p w14:paraId="4F366C77">
      <w:pPr>
        <w:rPr>
          <w:rFonts w:hint="eastAsia" w:ascii="宋体" w:hAnsi="宋体" w:eastAsia="宋体" w:cs="宋体"/>
          <w:color w:val="auto"/>
          <w:sz w:val="24"/>
          <w:lang w:eastAsia="zh-CN"/>
        </w:rPr>
      </w:pPr>
      <w:r>
        <w:rPr>
          <w:rFonts w:hint="eastAsia" w:ascii="宋体" w:hAnsi="宋体" w:eastAsia="宋体" w:cs="宋体"/>
          <w:color w:val="auto"/>
          <w:sz w:val="24"/>
          <w:lang w:eastAsia="zh-CN"/>
        </w:rPr>
        <w:br w:type="page"/>
      </w:r>
    </w:p>
    <w:p w14:paraId="6216C2BF">
      <w:pPr>
        <w:spacing w:line="520" w:lineRule="exact"/>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监督抽查工作依据</w:t>
      </w:r>
    </w:p>
    <w:p w14:paraId="2EEB26FD">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1.《中华人民共和国特种设备安全法》</w:t>
      </w:r>
    </w:p>
    <w:p w14:paraId="6B269C09">
      <w:pPr>
        <w:spacing w:line="520" w:lineRule="exact"/>
        <w:ind w:firstLine="480" w:firstLineChars="200"/>
        <w:rPr>
          <w:rFonts w:hint="eastAsia" w:ascii="宋体" w:hAnsi="宋体" w:eastAsia="宋体" w:cs="宋体"/>
          <w:color w:val="auto"/>
          <w:sz w:val="24"/>
          <w:szCs w:val="24"/>
        </w:rPr>
      </w:pPr>
      <w:bookmarkStart w:id="0" w:name="_Toc18417_WPSOffice_Level3"/>
      <w:r>
        <w:rPr>
          <w:rFonts w:hint="eastAsia" w:ascii="宋体" w:hAnsi="宋体" w:eastAsia="宋体" w:cs="宋体"/>
          <w:color w:val="auto"/>
          <w:sz w:val="24"/>
          <w:szCs w:val="24"/>
        </w:rPr>
        <w:t>2.《特种设备安全监察条例》</w:t>
      </w:r>
      <w:bookmarkEnd w:id="0"/>
    </w:p>
    <w:p w14:paraId="1050CAE1">
      <w:pPr>
        <w:spacing w:line="520" w:lineRule="exact"/>
        <w:ind w:firstLine="480" w:firstLineChars="200"/>
        <w:rPr>
          <w:rFonts w:hint="eastAsia" w:ascii="宋体" w:hAnsi="宋体" w:eastAsia="宋体" w:cs="宋体"/>
          <w:color w:val="auto"/>
          <w:sz w:val="24"/>
          <w:szCs w:val="24"/>
        </w:rPr>
      </w:pPr>
      <w:bookmarkStart w:id="1" w:name="_Toc24494_WPSOffice_Level3"/>
      <w:r>
        <w:rPr>
          <w:rFonts w:hint="eastAsia" w:ascii="宋体" w:hAnsi="宋体" w:eastAsia="宋体" w:cs="宋体"/>
          <w:color w:val="auto"/>
          <w:sz w:val="24"/>
          <w:szCs w:val="24"/>
        </w:rPr>
        <w:t>3.《陕西省特种设备安全监察条例》</w:t>
      </w:r>
      <w:bookmarkEnd w:id="1"/>
    </w:p>
    <w:p w14:paraId="361DE358">
      <w:pPr>
        <w:spacing w:line="520" w:lineRule="exact"/>
        <w:ind w:firstLine="480" w:firstLineChars="200"/>
        <w:rPr>
          <w:rFonts w:hint="eastAsia" w:ascii="宋体" w:hAnsi="宋体" w:eastAsia="宋体" w:cs="宋体"/>
          <w:color w:val="auto"/>
          <w:sz w:val="24"/>
          <w:szCs w:val="24"/>
        </w:rPr>
      </w:pPr>
      <w:bookmarkStart w:id="2" w:name="_Toc30858_WPSOffice_Level3"/>
      <w:r>
        <w:rPr>
          <w:rFonts w:hint="eastAsia" w:ascii="宋体" w:hAnsi="宋体" w:eastAsia="宋体" w:cs="宋体"/>
          <w:color w:val="auto"/>
          <w:sz w:val="24"/>
          <w:szCs w:val="24"/>
        </w:rPr>
        <w:t>4.《西安市特种设备安全条例》</w:t>
      </w:r>
      <w:bookmarkEnd w:id="2"/>
    </w:p>
    <w:p w14:paraId="18F149B5">
      <w:pPr>
        <w:spacing w:line="520" w:lineRule="exact"/>
        <w:ind w:firstLine="480" w:firstLineChars="200"/>
        <w:rPr>
          <w:rFonts w:hint="eastAsia" w:ascii="宋体" w:hAnsi="宋体" w:eastAsia="宋体" w:cs="宋体"/>
          <w:color w:val="auto"/>
          <w:sz w:val="24"/>
          <w:szCs w:val="24"/>
        </w:rPr>
      </w:pPr>
      <w:bookmarkStart w:id="3" w:name="_Toc15279_WPSOffice_Level3"/>
      <w:r>
        <w:rPr>
          <w:rFonts w:hint="eastAsia" w:ascii="宋体" w:hAnsi="宋体" w:eastAsia="宋体" w:cs="宋体"/>
          <w:color w:val="auto"/>
          <w:sz w:val="24"/>
          <w:szCs w:val="24"/>
        </w:rPr>
        <w:t>5.《高耗能特种设备节能监督管理办法》</w:t>
      </w:r>
    </w:p>
    <w:p w14:paraId="7CB56F78">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6.《陕西省电梯安全监督管理办法》</w:t>
      </w:r>
    </w:p>
    <w:p w14:paraId="335C016A">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7.《西安市电梯安全管理办法》</w:t>
      </w:r>
    </w:p>
    <w:p w14:paraId="00F2EC0F">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8.《特种设备安全监督检查办法》</w:t>
      </w:r>
    </w:p>
    <w:p w14:paraId="6584A97E">
      <w:pPr>
        <w:widowControl w:val="0"/>
        <w:spacing w:line="520" w:lineRule="exact"/>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9.《特种设备生产单位落实质量安全主体责任监督管理规定》</w:t>
      </w:r>
    </w:p>
    <w:p w14:paraId="4A17D890">
      <w:pPr>
        <w:widowControl w:val="0"/>
        <w:spacing w:line="520" w:lineRule="exact"/>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 《特种设备使用单位落实质量安全主体责任监督管理规定》</w:t>
      </w:r>
    </w:p>
    <w:p w14:paraId="0CD36BF6">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11.《特种设备使用管理规则》TSG 08-2017</w:t>
      </w:r>
    </w:p>
    <w:bookmarkEnd w:id="3"/>
    <w:p w14:paraId="14E20C84">
      <w:pPr>
        <w:spacing w:line="520" w:lineRule="exact"/>
        <w:ind w:firstLine="480" w:firstLineChars="200"/>
        <w:rPr>
          <w:rFonts w:hint="eastAsia" w:ascii="宋体" w:hAnsi="宋体" w:eastAsia="宋体" w:cs="宋体"/>
          <w:color w:val="auto"/>
          <w:sz w:val="24"/>
          <w:szCs w:val="24"/>
        </w:rPr>
      </w:pPr>
      <w:bookmarkStart w:id="4" w:name="_Toc32584_WPSOffice_Level3"/>
      <w:r>
        <w:rPr>
          <w:rFonts w:hint="eastAsia" w:ascii="宋体" w:hAnsi="宋体" w:eastAsia="宋体" w:cs="宋体"/>
          <w:color w:val="auto"/>
          <w:sz w:val="24"/>
          <w:szCs w:val="24"/>
        </w:rPr>
        <w:t>12.</w:t>
      </w:r>
      <w:bookmarkEnd w:id="4"/>
      <w:r>
        <w:rPr>
          <w:rFonts w:hint="eastAsia" w:ascii="宋体" w:hAnsi="宋体" w:eastAsia="宋体" w:cs="宋体"/>
          <w:color w:val="auto"/>
          <w:sz w:val="24"/>
          <w:szCs w:val="24"/>
        </w:rPr>
        <w:t xml:space="preserve">《电梯维护保养规则》TSG T5002-2017 </w:t>
      </w:r>
    </w:p>
    <w:p w14:paraId="5B05B816">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13.《特种设备生产和充装单位许可规则》TSG 07-2019</w:t>
      </w:r>
    </w:p>
    <w:p w14:paraId="5C95B03C">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14.《特种设备检验机构核准规则》TSG Z7001-2021</w:t>
      </w:r>
    </w:p>
    <w:p w14:paraId="3E2D14DC">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15.《特种设备检测机构核准规则》TSG Z7002-2022</w:t>
      </w:r>
    </w:p>
    <w:p w14:paraId="2A3EF67D">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16.《特种设备作业人员考核规则》TSG Z6001-2019</w:t>
      </w:r>
    </w:p>
    <w:p w14:paraId="58D9727B">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17.《电梯监督检验和定期检验规则》TSG T7001-2023</w:t>
      </w:r>
    </w:p>
    <w:p w14:paraId="28CD6FB6">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18.《电梯自行检测规则》TSG T7008-2023</w:t>
      </w:r>
    </w:p>
    <w:p w14:paraId="21A91534">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19.《市场监管总局办公厅关于实施特种设备安全监督检查办法若干问题的意见》（市监特设发〔2022〕59号）</w:t>
      </w:r>
    </w:p>
    <w:p w14:paraId="24189AB7">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 《西安市人民政府关于进一步加强电梯安全管理工作的意见》（市政发〔2016〕17号）</w:t>
      </w:r>
    </w:p>
    <w:p w14:paraId="297B1E5D">
      <w:pPr>
        <w:spacing w:line="240" w:lineRule="auto"/>
        <w:ind w:firstLine="0"/>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4762C44D">
      <w:pPr>
        <w:spacing w:line="620" w:lineRule="exact"/>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监 督 抽 查 文 书</w:t>
      </w:r>
    </w:p>
    <w:p w14:paraId="180FC15C">
      <w:pPr>
        <w:spacing w:line="200" w:lineRule="exact"/>
        <w:ind w:firstLine="0"/>
        <w:jc w:val="center"/>
        <w:rPr>
          <w:rFonts w:hint="eastAsia" w:ascii="宋体" w:hAnsi="宋体" w:eastAsia="宋体" w:cs="宋体"/>
          <w:color w:val="auto"/>
          <w:sz w:val="18"/>
          <w:szCs w:val="18"/>
        </w:rPr>
      </w:pPr>
    </w:p>
    <w:p w14:paraId="70D68D74">
      <w:pPr>
        <w:tabs>
          <w:tab w:val="center" w:pos="4422"/>
          <w:tab w:val="left" w:pos="6630"/>
        </w:tabs>
        <w:spacing w:line="480" w:lineRule="exact"/>
        <w:ind w:firstLine="0"/>
        <w:jc w:val="center"/>
        <w:rPr>
          <w:rFonts w:hint="eastAsia" w:ascii="宋体" w:hAnsi="宋体" w:eastAsia="宋体" w:cs="宋体"/>
          <w:bCs/>
          <w:color w:val="auto"/>
          <w:sz w:val="32"/>
          <w:szCs w:val="32"/>
        </w:rPr>
      </w:pPr>
      <w:bookmarkStart w:id="5" w:name="OLE_LINK16"/>
      <w:r>
        <w:rPr>
          <w:rFonts w:hint="eastAsia" w:ascii="宋体" w:hAnsi="宋体" w:eastAsia="宋体" w:cs="宋体"/>
          <w:bCs/>
          <w:color w:val="auto"/>
          <w:sz w:val="32"/>
          <w:szCs w:val="32"/>
        </w:rPr>
        <w:t>监督抽查不符合项目通知书</w:t>
      </w:r>
      <w:bookmarkEnd w:id="5"/>
      <w:r>
        <w:rPr>
          <w:rFonts w:hint="eastAsia" w:ascii="宋体" w:hAnsi="宋体" w:eastAsia="宋体" w:cs="宋体"/>
          <w:bCs/>
          <w:color w:val="auto"/>
          <w:sz w:val="32"/>
          <w:szCs w:val="32"/>
        </w:rPr>
        <w:t>（1）</w:t>
      </w:r>
    </w:p>
    <w:p w14:paraId="44D80C40">
      <w:pPr>
        <w:spacing w:line="480" w:lineRule="exact"/>
        <w:ind w:firstLine="0"/>
        <w:jc w:val="center"/>
        <w:rPr>
          <w:rFonts w:hint="eastAsia" w:ascii="宋体" w:hAnsi="宋体" w:eastAsia="宋体" w:cs="宋体"/>
          <w:bCs/>
          <w:color w:val="auto"/>
          <w:kern w:val="0"/>
          <w:sz w:val="32"/>
          <w:szCs w:val="32"/>
        </w:rPr>
      </w:pPr>
      <w:r>
        <w:rPr>
          <w:rFonts w:hint="eastAsia" w:ascii="宋体" w:hAnsi="宋体" w:eastAsia="宋体" w:cs="宋体"/>
          <w:color w:val="auto"/>
          <w:kern w:val="0"/>
          <w:sz w:val="32"/>
          <w:szCs w:val="32"/>
        </w:rPr>
        <w:t>（电梯维保质量监督抽查）</w:t>
      </w:r>
    </w:p>
    <w:p w14:paraId="2E9A9174">
      <w:pPr>
        <w:spacing w:line="360" w:lineRule="auto"/>
        <w:ind w:firstLine="0"/>
        <w:jc w:val="center"/>
        <w:rPr>
          <w:rFonts w:hint="eastAsia" w:ascii="宋体" w:hAnsi="宋体" w:eastAsia="宋体" w:cs="宋体"/>
          <w:bCs/>
          <w:color w:val="auto"/>
          <w:kern w:val="0"/>
          <w:sz w:val="24"/>
          <w:szCs w:val="24"/>
          <w:u w:val="single"/>
        </w:rPr>
      </w:pPr>
      <w:r>
        <w:rPr>
          <w:rFonts w:hint="eastAsia" w:ascii="宋体" w:hAnsi="宋体" w:eastAsia="宋体" w:cs="宋体"/>
          <w:color w:val="auto"/>
          <w:kern w:val="0"/>
          <w:sz w:val="24"/>
          <w:szCs w:val="24"/>
        </w:rPr>
        <w:t xml:space="preserve">                                                   编号：</w:t>
      </w:r>
      <w:r>
        <w:rPr>
          <w:rFonts w:hint="eastAsia" w:ascii="宋体" w:hAnsi="宋体" w:eastAsia="宋体" w:cs="宋体"/>
          <w:color w:val="auto"/>
          <w:kern w:val="0"/>
          <w:sz w:val="24"/>
          <w:szCs w:val="24"/>
          <w:u w:val="single"/>
        </w:rPr>
        <w:t xml:space="preserve">             </w:t>
      </w:r>
    </w:p>
    <w:p w14:paraId="776BD602">
      <w:pPr>
        <w:adjustRightInd w:val="0"/>
        <w:snapToGrid w:val="0"/>
        <w:spacing w:line="360" w:lineRule="auto"/>
        <w:ind w:firstLine="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使用单位：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5C1E370C">
      <w:pPr>
        <w:widowControl w:val="0"/>
        <w:spacing w:line="360" w:lineRule="auto"/>
        <w:jc w:val="both"/>
        <w:rPr>
          <w:rFonts w:hint="eastAsia" w:ascii="宋体" w:hAnsi="宋体" w:eastAsia="宋体" w:cs="宋体"/>
          <w:color w:val="auto"/>
          <w:kern w:val="0"/>
          <w:sz w:val="24"/>
          <w:szCs w:val="24"/>
          <w:u w:val="single"/>
          <w:lang w:val="en-US" w:eastAsia="zh-CN" w:bidi="ar-SA"/>
        </w:rPr>
      </w:pPr>
      <w:r>
        <w:rPr>
          <w:rFonts w:hint="eastAsia" w:ascii="宋体" w:hAnsi="宋体" w:eastAsia="宋体" w:cs="宋体"/>
          <w:color w:val="auto"/>
          <w:kern w:val="0"/>
          <w:sz w:val="24"/>
          <w:szCs w:val="24"/>
          <w:lang w:val="en-US" w:eastAsia="zh-CN" w:bidi="ar-SA"/>
        </w:rPr>
        <w:t>维保单位：</w:t>
      </w:r>
      <w:r>
        <w:rPr>
          <w:rFonts w:hint="eastAsia" w:ascii="宋体" w:hAnsi="宋体" w:eastAsia="宋体" w:cs="宋体"/>
          <w:color w:val="auto"/>
          <w:kern w:val="0"/>
          <w:sz w:val="24"/>
          <w:szCs w:val="24"/>
          <w:u w:val="single"/>
          <w:lang w:val="en-US" w:eastAsia="zh-CN" w:bidi="ar-SA"/>
        </w:rPr>
        <w:t xml:space="preserve">                              </w:t>
      </w:r>
    </w:p>
    <w:p w14:paraId="03165099">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受西安市雁塔区市场监督管理局委托，</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r>
        <w:rPr>
          <w:rFonts w:hint="eastAsia" w:ascii="宋体" w:hAnsi="宋体" w:eastAsia="宋体" w:cs="宋体"/>
          <w:color w:val="auto"/>
          <w:kern w:val="0"/>
          <w:sz w:val="24"/>
          <w:szCs w:val="24"/>
          <w:u w:val="single"/>
        </w:rPr>
        <w:t>（监督抽查机构名称）</w:t>
      </w:r>
      <w:r>
        <w:rPr>
          <w:rFonts w:hint="eastAsia" w:ascii="宋体" w:hAnsi="宋体" w:eastAsia="宋体" w:cs="宋体"/>
          <w:color w:val="auto"/>
          <w:kern w:val="0"/>
          <w:sz w:val="24"/>
          <w:szCs w:val="24"/>
        </w:rPr>
        <w:t>监督抽查组对你单位电梯进行监督抽查，抽查电梯注册代码为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产品编号：</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，电梯使用地点位于</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。现将本次检查中发现的问题记录如下，请你单位于</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日前完成整改后将整改结果反馈我机构。</w:t>
      </w:r>
    </w:p>
    <w:tbl>
      <w:tblPr>
        <w:tblStyle w:val="2"/>
        <w:tblW w:w="8787"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787"/>
      </w:tblGrid>
      <w:tr w14:paraId="0AD38E5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2" w:hRule="atLeast"/>
          <w:jc w:val="center"/>
        </w:trPr>
        <w:tc>
          <w:tcPr>
            <w:tcW w:w="8787" w:type="dxa"/>
            <w:vAlign w:val="center"/>
          </w:tcPr>
          <w:p w14:paraId="500FD3E1">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监督抽查发现问题：</w:t>
            </w:r>
          </w:p>
          <w:p w14:paraId="27F847C9">
            <w:pPr>
              <w:adjustRightInd w:val="0"/>
              <w:snapToGrid w:val="0"/>
              <w:spacing w:line="360" w:lineRule="auto"/>
              <w:ind w:firstLine="0"/>
              <w:rPr>
                <w:rFonts w:hint="eastAsia" w:ascii="宋体" w:hAnsi="宋体" w:eastAsia="宋体" w:cs="宋体"/>
                <w:color w:val="auto"/>
                <w:kern w:val="0"/>
                <w:sz w:val="24"/>
                <w:szCs w:val="24"/>
              </w:rPr>
            </w:pPr>
          </w:p>
          <w:p w14:paraId="031B66CE">
            <w:pPr>
              <w:adjustRightInd w:val="0"/>
              <w:snapToGrid w:val="0"/>
              <w:spacing w:line="360" w:lineRule="auto"/>
              <w:ind w:firstLine="0"/>
              <w:rPr>
                <w:rFonts w:hint="eastAsia" w:ascii="宋体" w:hAnsi="宋体" w:eastAsia="宋体" w:cs="宋体"/>
                <w:color w:val="auto"/>
                <w:kern w:val="0"/>
                <w:sz w:val="24"/>
                <w:szCs w:val="24"/>
              </w:rPr>
            </w:pPr>
          </w:p>
          <w:p w14:paraId="1C14137E">
            <w:pPr>
              <w:adjustRightInd w:val="0"/>
              <w:snapToGrid w:val="0"/>
              <w:spacing w:line="360" w:lineRule="auto"/>
              <w:ind w:firstLine="0"/>
              <w:rPr>
                <w:rFonts w:hint="eastAsia" w:ascii="宋体" w:hAnsi="宋体" w:eastAsia="宋体" w:cs="宋体"/>
                <w:color w:val="auto"/>
                <w:kern w:val="0"/>
                <w:sz w:val="24"/>
                <w:szCs w:val="24"/>
              </w:rPr>
            </w:pPr>
          </w:p>
          <w:p w14:paraId="36B62963">
            <w:pPr>
              <w:adjustRightInd w:val="0"/>
              <w:snapToGrid w:val="0"/>
              <w:spacing w:line="360" w:lineRule="auto"/>
              <w:ind w:firstLine="6720" w:firstLineChars="28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（监督抽查机构盖章）</w:t>
            </w:r>
          </w:p>
          <w:p w14:paraId="536C5ADC">
            <w:pPr>
              <w:adjustRightInd w:val="0"/>
              <w:snapToGrid w:val="0"/>
              <w:spacing w:line="360" w:lineRule="auto"/>
              <w:ind w:firstLine="0"/>
              <w:rPr>
                <w:rFonts w:hint="eastAsia" w:ascii="宋体" w:hAnsi="宋体" w:eastAsia="宋体" w:cs="宋体"/>
                <w:color w:val="auto"/>
                <w:kern w:val="0"/>
                <w:sz w:val="24"/>
                <w:szCs w:val="24"/>
              </w:rPr>
            </w:pPr>
          </w:p>
          <w:p w14:paraId="107A81CB">
            <w:pPr>
              <w:adjustRightInd w:val="0"/>
              <w:snapToGri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kern w:val="0"/>
                <w:sz w:val="24"/>
                <w:szCs w:val="24"/>
              </w:rPr>
              <w:t>监督抽查人员：</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bookmarkStart w:id="6" w:name="OLE_LINK7"/>
            <w:r>
              <w:rPr>
                <w:rFonts w:hint="eastAsia" w:ascii="宋体" w:hAnsi="宋体" w:eastAsia="宋体" w:cs="宋体"/>
                <w:color w:val="auto"/>
                <w:kern w:val="0"/>
                <w:sz w:val="24"/>
                <w:szCs w:val="24"/>
              </w:rPr>
              <w:t>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bookmarkEnd w:id="6"/>
          </w:p>
        </w:tc>
      </w:tr>
      <w:tr w14:paraId="05C1064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20" w:hRule="atLeast"/>
          <w:jc w:val="center"/>
        </w:trPr>
        <w:tc>
          <w:tcPr>
            <w:tcW w:w="8787" w:type="dxa"/>
            <w:vAlign w:val="center"/>
          </w:tcPr>
          <w:p w14:paraId="75B28A67">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使用单位现场配合抽查人员签字：            维保单位现场配合抽查人员签字：</w:t>
            </w:r>
          </w:p>
          <w:p w14:paraId="02451DD1">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联系电话：                                          联系电话：</w:t>
            </w:r>
          </w:p>
          <w:p w14:paraId="24C9E5A6">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                      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r w14:paraId="35E9BA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44" w:hRule="atLeast"/>
          <w:jc w:val="center"/>
        </w:trPr>
        <w:tc>
          <w:tcPr>
            <w:tcW w:w="8787" w:type="dxa"/>
            <w:vAlign w:val="center"/>
          </w:tcPr>
          <w:p w14:paraId="0D736347">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整改结果：□以上项目已整改完毕。    □</w:t>
            </w:r>
            <w:r>
              <w:rPr>
                <w:rFonts w:hint="eastAsia" w:ascii="宋体" w:hAnsi="宋体" w:eastAsia="宋体" w:cs="宋体"/>
                <w:color w:val="auto"/>
                <w:kern w:val="0"/>
                <w:sz w:val="24"/>
                <w:szCs w:val="24"/>
                <w:u w:val="single"/>
              </w:rPr>
              <w:t xml:space="preserve">                                 </w:t>
            </w:r>
          </w:p>
          <w:p w14:paraId="006FA2A0">
            <w:pPr>
              <w:spacing w:line="360" w:lineRule="auto"/>
              <w:ind w:firstLine="0"/>
              <w:rPr>
                <w:rFonts w:hint="eastAsia" w:ascii="宋体" w:hAnsi="宋体" w:eastAsia="宋体" w:cs="宋体"/>
                <w:color w:val="auto"/>
                <w:kern w:val="0"/>
                <w:sz w:val="24"/>
                <w:szCs w:val="24"/>
              </w:rPr>
            </w:pPr>
          </w:p>
          <w:p w14:paraId="45F431ED">
            <w:pPr>
              <w:spacing w:line="360" w:lineRule="auto"/>
              <w:ind w:firstLine="0"/>
              <w:rPr>
                <w:rFonts w:hint="eastAsia" w:ascii="宋体" w:hAnsi="宋体" w:eastAsia="宋体" w:cs="宋体"/>
                <w:color w:val="auto"/>
                <w:kern w:val="0"/>
                <w:sz w:val="24"/>
                <w:szCs w:val="24"/>
              </w:rPr>
            </w:pPr>
          </w:p>
          <w:p w14:paraId="7904F28D">
            <w:pPr>
              <w:spacing w:line="360" w:lineRule="auto"/>
              <w:ind w:firstLine="0"/>
              <w:rPr>
                <w:rFonts w:hint="eastAsia" w:ascii="宋体" w:hAnsi="宋体" w:eastAsia="宋体" w:cs="宋体"/>
                <w:color w:val="auto"/>
                <w:kern w:val="0"/>
                <w:sz w:val="24"/>
                <w:szCs w:val="24"/>
              </w:rPr>
            </w:pPr>
          </w:p>
          <w:p w14:paraId="71CB4E93">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使用单位：（签章）                                  维保单位：（签章）</w:t>
            </w:r>
          </w:p>
          <w:p w14:paraId="66C733C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kern w:val="0"/>
                <w:sz w:val="24"/>
                <w:szCs w:val="24"/>
              </w:rPr>
              <w:t>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                      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r w14:paraId="170508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84" w:hRule="atLeast"/>
          <w:jc w:val="center"/>
        </w:trPr>
        <w:tc>
          <w:tcPr>
            <w:tcW w:w="8787" w:type="dxa"/>
            <w:vAlign w:val="center"/>
          </w:tcPr>
          <w:p w14:paraId="2B5EEEF2">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复查结果：</w:t>
            </w:r>
          </w:p>
          <w:p w14:paraId="04C27EE0">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经（□资料□现场）确认（□全部□部分）（□符合□不符合）整改要求。</w:t>
            </w:r>
          </w:p>
          <w:p w14:paraId="31551493">
            <w:pPr>
              <w:adjustRightInd w:val="0"/>
              <w:snapToGrid w:val="0"/>
              <w:spacing w:line="360" w:lineRule="auto"/>
              <w:ind w:firstLine="360" w:firstLineChars="15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不符合项目：</w:t>
            </w:r>
          </w:p>
          <w:p w14:paraId="783606EC">
            <w:pPr>
              <w:spacing w:line="360" w:lineRule="auto"/>
              <w:ind w:firstLine="6720" w:firstLineChars="28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（监督抽查机构盖章）</w:t>
            </w:r>
          </w:p>
          <w:p w14:paraId="64DF7276">
            <w:pPr>
              <w:spacing w:line="360" w:lineRule="auto"/>
              <w:ind w:firstLine="0"/>
              <w:rPr>
                <w:rFonts w:hint="eastAsia" w:ascii="宋体" w:hAnsi="宋体" w:eastAsia="宋体" w:cs="宋体"/>
                <w:color w:val="auto"/>
                <w:kern w:val="0"/>
                <w:sz w:val="24"/>
                <w:szCs w:val="24"/>
              </w:rPr>
            </w:pPr>
          </w:p>
          <w:p w14:paraId="3D486C0A">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监督抽查人员：</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bl>
    <w:p w14:paraId="1AF9FFC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注：1.此通知书被抽查单位、监管部门、监督抽查机构各一份;2.本通知书电子文件(PDF 格式)经数字签名技术签章。根据《中华人民共和国电子签名法》的规定，和手写签名或加盖印章的纸质报告具有同等法律效力。</w:t>
      </w:r>
    </w:p>
    <w:p w14:paraId="29AA6213">
      <w:pPr>
        <w:spacing w:line="480" w:lineRule="exact"/>
        <w:ind w:firstLine="0"/>
        <w:jc w:val="center"/>
        <w:rPr>
          <w:rFonts w:hint="eastAsia" w:ascii="宋体" w:hAnsi="宋体" w:eastAsia="宋体" w:cs="宋体"/>
          <w:color w:val="auto"/>
          <w:kern w:val="0"/>
          <w:sz w:val="32"/>
          <w:szCs w:val="32"/>
        </w:rPr>
      </w:pPr>
      <w:r>
        <w:rPr>
          <w:rFonts w:hint="eastAsia" w:ascii="宋体" w:hAnsi="宋体" w:eastAsia="宋体" w:cs="宋体"/>
          <w:bCs/>
          <w:color w:val="auto"/>
          <w:sz w:val="44"/>
          <w:szCs w:val="44"/>
        </w:rPr>
        <w:br w:type="page"/>
      </w:r>
      <w:r>
        <w:rPr>
          <w:rFonts w:hint="eastAsia" w:ascii="宋体" w:hAnsi="宋体" w:eastAsia="宋体" w:cs="宋体"/>
          <w:bCs/>
          <w:color w:val="auto"/>
          <w:sz w:val="32"/>
          <w:szCs w:val="32"/>
        </w:rPr>
        <w:t>监督抽查不符合项目通知书（2）</w:t>
      </w:r>
    </w:p>
    <w:p w14:paraId="2968095E">
      <w:pPr>
        <w:spacing w:line="480" w:lineRule="exact"/>
        <w:ind w:firstLine="0"/>
        <w:jc w:val="center"/>
        <w:outlineLvl w:val="2"/>
        <w:rPr>
          <w:rFonts w:hint="eastAsia" w:ascii="宋体" w:hAnsi="宋体" w:eastAsia="宋体" w:cs="宋体"/>
          <w:color w:val="auto"/>
          <w:kern w:val="0"/>
          <w:sz w:val="32"/>
          <w:szCs w:val="32"/>
        </w:rPr>
      </w:pPr>
      <w:r>
        <w:rPr>
          <w:rFonts w:hint="eastAsia" w:ascii="宋体" w:hAnsi="宋体" w:eastAsia="宋体" w:cs="宋体"/>
          <w:color w:val="auto"/>
          <w:kern w:val="0"/>
          <w:sz w:val="32"/>
          <w:szCs w:val="32"/>
        </w:rPr>
        <w:t>（</w:t>
      </w:r>
      <w:bookmarkStart w:id="7" w:name="_Hlk197506625"/>
      <w:r>
        <w:rPr>
          <w:rFonts w:hint="eastAsia" w:ascii="宋体" w:hAnsi="宋体" w:eastAsia="宋体" w:cs="宋体"/>
          <w:color w:val="auto"/>
          <w:kern w:val="0"/>
          <w:sz w:val="32"/>
          <w:szCs w:val="32"/>
        </w:rPr>
        <w:t>电梯检验、检测质量监督抽查</w:t>
      </w:r>
      <w:bookmarkEnd w:id="7"/>
      <w:r>
        <w:rPr>
          <w:rFonts w:hint="eastAsia" w:ascii="宋体" w:hAnsi="宋体" w:eastAsia="宋体" w:cs="宋体"/>
          <w:color w:val="auto"/>
          <w:kern w:val="0"/>
          <w:sz w:val="32"/>
          <w:szCs w:val="32"/>
        </w:rPr>
        <w:t>）</w:t>
      </w:r>
    </w:p>
    <w:p w14:paraId="4DF66912">
      <w:pPr>
        <w:adjustRightInd w:val="0"/>
        <w:snapToGrid w:val="0"/>
        <w:spacing w:line="360" w:lineRule="auto"/>
        <w:ind w:firstLine="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使用单位：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048AF6E9">
      <w:pPr>
        <w:widowControl w:val="0"/>
        <w:spacing w:line="360" w:lineRule="auto"/>
        <w:jc w:val="both"/>
        <w:rPr>
          <w:rFonts w:hint="eastAsia" w:ascii="宋体" w:hAnsi="宋体" w:eastAsia="宋体" w:cs="宋体"/>
          <w:color w:val="auto"/>
          <w:kern w:val="0"/>
          <w:sz w:val="24"/>
          <w:szCs w:val="24"/>
          <w:u w:val="single"/>
          <w:lang w:val="en-US" w:eastAsia="zh-CN" w:bidi="ar-SA"/>
        </w:rPr>
      </w:pPr>
      <w:r>
        <w:rPr>
          <w:rFonts w:hint="eastAsia" w:ascii="宋体" w:hAnsi="宋体" w:eastAsia="宋体" w:cs="宋体"/>
          <w:color w:val="auto"/>
          <w:kern w:val="0"/>
          <w:sz w:val="24"/>
          <w:szCs w:val="24"/>
          <w:lang w:val="en-US" w:eastAsia="zh-CN" w:bidi="ar-SA"/>
        </w:rPr>
        <w:t>检验（检测）单位：</w:t>
      </w:r>
      <w:r>
        <w:rPr>
          <w:rFonts w:hint="eastAsia" w:ascii="宋体" w:hAnsi="宋体" w:eastAsia="宋体" w:cs="宋体"/>
          <w:color w:val="auto"/>
          <w:kern w:val="0"/>
          <w:sz w:val="24"/>
          <w:szCs w:val="24"/>
          <w:u w:val="single"/>
          <w:lang w:val="en-US" w:eastAsia="zh-CN" w:bidi="ar-SA"/>
        </w:rPr>
        <w:t xml:space="preserve">                              </w:t>
      </w:r>
    </w:p>
    <w:p w14:paraId="4AE4FB9E">
      <w:pPr>
        <w:spacing w:line="360" w:lineRule="auto"/>
        <w:ind w:firstLine="0"/>
        <w:jc w:val="center"/>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受西安市雁塔区市场监督管理局委托，</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r>
        <w:rPr>
          <w:rFonts w:hint="eastAsia" w:ascii="宋体" w:hAnsi="宋体" w:eastAsia="宋体" w:cs="宋体"/>
          <w:color w:val="auto"/>
          <w:kern w:val="0"/>
          <w:sz w:val="24"/>
          <w:szCs w:val="24"/>
          <w:u w:val="single"/>
        </w:rPr>
        <w:t>（监督抽查机构名称）</w:t>
      </w:r>
      <w:r>
        <w:rPr>
          <w:rFonts w:hint="eastAsia" w:ascii="宋体" w:hAnsi="宋体" w:eastAsia="宋体" w:cs="宋体"/>
          <w:color w:val="auto"/>
          <w:kern w:val="0"/>
          <w:sz w:val="24"/>
          <w:szCs w:val="24"/>
        </w:rPr>
        <w:t>监督抽查                                                编号：</w:t>
      </w:r>
      <w:r>
        <w:rPr>
          <w:rFonts w:hint="eastAsia" w:ascii="宋体" w:hAnsi="宋体" w:eastAsia="宋体" w:cs="宋体"/>
          <w:color w:val="auto"/>
          <w:kern w:val="0"/>
          <w:sz w:val="24"/>
          <w:szCs w:val="24"/>
          <w:u w:val="single"/>
        </w:rPr>
        <w:t xml:space="preserve">           </w:t>
      </w:r>
    </w:p>
    <w:p w14:paraId="1E338C62">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组对你单位电梯检验（检测）工作进行监督抽查，抽查电梯注册代码为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产品编号：</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，电梯使用地点位于</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。现将本次检查中发现的问题记录如下，请你单位于</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日前完成整改后将整改结果反馈我机构。</w:t>
      </w:r>
    </w:p>
    <w:tbl>
      <w:tblPr>
        <w:tblStyle w:val="2"/>
        <w:tblW w:w="8787"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787"/>
      </w:tblGrid>
      <w:tr w14:paraId="108EB90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67" w:hRule="atLeast"/>
          <w:jc w:val="center"/>
        </w:trPr>
        <w:tc>
          <w:tcPr>
            <w:tcW w:w="8787" w:type="dxa"/>
            <w:vAlign w:val="center"/>
          </w:tcPr>
          <w:p w14:paraId="62CAABE2">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监督抽查发现问题：</w:t>
            </w:r>
          </w:p>
          <w:p w14:paraId="448B11B8">
            <w:pPr>
              <w:adjustRightInd w:val="0"/>
              <w:snapToGrid w:val="0"/>
              <w:spacing w:line="360" w:lineRule="auto"/>
              <w:ind w:firstLine="0"/>
              <w:rPr>
                <w:rFonts w:hint="eastAsia" w:ascii="宋体" w:hAnsi="宋体" w:eastAsia="宋体" w:cs="宋体"/>
                <w:color w:val="auto"/>
                <w:kern w:val="0"/>
                <w:sz w:val="24"/>
                <w:szCs w:val="24"/>
              </w:rPr>
            </w:pPr>
          </w:p>
          <w:p w14:paraId="14FC9243">
            <w:pPr>
              <w:widowControl w:val="0"/>
              <w:spacing w:line="360" w:lineRule="auto"/>
              <w:jc w:val="both"/>
              <w:rPr>
                <w:rFonts w:hint="eastAsia" w:ascii="宋体" w:hAnsi="宋体" w:eastAsia="宋体" w:cs="宋体"/>
                <w:color w:val="auto"/>
                <w:kern w:val="2"/>
                <w:sz w:val="24"/>
                <w:szCs w:val="24"/>
                <w:lang w:val="en-US" w:eastAsia="zh-CN" w:bidi="ar-SA"/>
              </w:rPr>
            </w:pPr>
          </w:p>
          <w:p w14:paraId="0AB6024F">
            <w:pPr>
              <w:spacing w:line="360" w:lineRule="auto"/>
              <w:ind w:firstLine="0"/>
              <w:rPr>
                <w:rFonts w:hint="eastAsia" w:ascii="宋体" w:hAnsi="宋体" w:eastAsia="宋体" w:cs="宋体"/>
                <w:color w:val="auto"/>
                <w:sz w:val="24"/>
                <w:szCs w:val="24"/>
              </w:rPr>
            </w:pPr>
          </w:p>
          <w:p w14:paraId="2A1F5587">
            <w:pPr>
              <w:spacing w:line="360" w:lineRule="auto"/>
              <w:ind w:firstLine="0"/>
              <w:rPr>
                <w:rFonts w:hint="eastAsia" w:ascii="宋体" w:hAnsi="宋体" w:eastAsia="宋体" w:cs="宋体"/>
                <w:color w:val="auto"/>
                <w:sz w:val="24"/>
                <w:szCs w:val="24"/>
              </w:rPr>
            </w:pPr>
          </w:p>
          <w:p w14:paraId="09E31642">
            <w:pPr>
              <w:adjustRightInd w:val="0"/>
              <w:snapToGrid w:val="0"/>
              <w:spacing w:line="360" w:lineRule="auto"/>
              <w:ind w:firstLine="6720" w:firstLineChars="2800"/>
              <w:rPr>
                <w:rFonts w:hint="eastAsia" w:ascii="宋体" w:hAnsi="宋体" w:eastAsia="宋体" w:cs="宋体"/>
                <w:color w:val="auto"/>
                <w:sz w:val="24"/>
                <w:szCs w:val="24"/>
              </w:rPr>
            </w:pPr>
            <w:r>
              <w:rPr>
                <w:rFonts w:hint="eastAsia" w:ascii="宋体" w:hAnsi="宋体" w:eastAsia="宋体" w:cs="宋体"/>
                <w:color w:val="auto"/>
                <w:kern w:val="0"/>
                <w:sz w:val="24"/>
                <w:szCs w:val="24"/>
              </w:rPr>
              <w:t>（监督抽查机构盖章）</w:t>
            </w:r>
          </w:p>
          <w:p w14:paraId="714F43C7">
            <w:pPr>
              <w:spacing w:line="360" w:lineRule="auto"/>
              <w:ind w:firstLine="0"/>
              <w:rPr>
                <w:rFonts w:hint="eastAsia" w:ascii="宋体" w:hAnsi="宋体" w:eastAsia="宋体" w:cs="宋体"/>
                <w:color w:val="auto"/>
                <w:sz w:val="24"/>
                <w:szCs w:val="24"/>
              </w:rPr>
            </w:pPr>
          </w:p>
          <w:p w14:paraId="011E5A25">
            <w:pPr>
              <w:adjustRightInd w:val="0"/>
              <w:snapToGri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kern w:val="0"/>
                <w:sz w:val="24"/>
                <w:szCs w:val="24"/>
              </w:rPr>
              <w:t>监督抽查人员：</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r w14:paraId="258197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20" w:hRule="atLeast"/>
          <w:jc w:val="center"/>
        </w:trPr>
        <w:tc>
          <w:tcPr>
            <w:tcW w:w="8787" w:type="dxa"/>
            <w:vAlign w:val="center"/>
          </w:tcPr>
          <w:p w14:paraId="61FCA145">
            <w:pPr>
              <w:adjustRightInd w:val="0"/>
              <w:snapToGrid w:val="0"/>
              <w:spacing w:line="360" w:lineRule="auto"/>
              <w:ind w:firstLine="3840" w:firstLineChars="16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使用单位现场配合抽查人员签字：</w:t>
            </w:r>
          </w:p>
          <w:p w14:paraId="7B6CBBF3">
            <w:pPr>
              <w:adjustRightInd w:val="0"/>
              <w:snapToGrid w:val="0"/>
              <w:spacing w:line="360" w:lineRule="auto"/>
              <w:ind w:firstLine="6240" w:firstLineChars="2600"/>
              <w:rPr>
                <w:rFonts w:hint="eastAsia" w:ascii="宋体" w:hAnsi="宋体" w:eastAsia="宋体" w:cs="宋体"/>
                <w:color w:val="auto"/>
                <w:sz w:val="24"/>
                <w:szCs w:val="24"/>
              </w:rPr>
            </w:pPr>
            <w:r>
              <w:rPr>
                <w:rFonts w:hint="eastAsia" w:ascii="宋体" w:hAnsi="宋体" w:eastAsia="宋体" w:cs="宋体"/>
                <w:color w:val="auto"/>
                <w:kern w:val="0"/>
                <w:sz w:val="24"/>
                <w:szCs w:val="24"/>
              </w:rPr>
              <w:t>联系电话：</w:t>
            </w:r>
          </w:p>
          <w:p w14:paraId="4C984C84">
            <w:pPr>
              <w:adjustRightInd w:val="0"/>
              <w:snapToGrid w:val="0"/>
              <w:spacing w:line="360" w:lineRule="auto"/>
              <w:ind w:firstLine="6240" w:firstLineChars="26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r w14:paraId="15F11C2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01" w:hRule="atLeast"/>
          <w:jc w:val="center"/>
        </w:trPr>
        <w:tc>
          <w:tcPr>
            <w:tcW w:w="8787" w:type="dxa"/>
            <w:vAlign w:val="center"/>
          </w:tcPr>
          <w:p w14:paraId="6DE21CFB">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整改结果：□以上项目已整改完毕。    □</w:t>
            </w:r>
            <w:r>
              <w:rPr>
                <w:rFonts w:hint="eastAsia" w:ascii="宋体" w:hAnsi="宋体" w:eastAsia="宋体" w:cs="宋体"/>
                <w:color w:val="auto"/>
                <w:kern w:val="0"/>
                <w:sz w:val="24"/>
                <w:szCs w:val="24"/>
                <w:u w:val="single"/>
              </w:rPr>
              <w:t xml:space="preserve">                                 </w:t>
            </w:r>
          </w:p>
          <w:p w14:paraId="5DA8804A">
            <w:pPr>
              <w:spacing w:line="360" w:lineRule="auto"/>
              <w:ind w:firstLine="0"/>
              <w:rPr>
                <w:rFonts w:hint="eastAsia" w:ascii="宋体" w:hAnsi="宋体" w:eastAsia="宋体" w:cs="宋体"/>
                <w:color w:val="auto"/>
                <w:kern w:val="0"/>
                <w:sz w:val="24"/>
                <w:szCs w:val="24"/>
              </w:rPr>
            </w:pPr>
          </w:p>
          <w:p w14:paraId="089FCB41">
            <w:pPr>
              <w:spacing w:line="360" w:lineRule="auto"/>
              <w:ind w:firstLine="0"/>
              <w:rPr>
                <w:rFonts w:hint="eastAsia" w:ascii="宋体" w:hAnsi="宋体" w:eastAsia="宋体" w:cs="宋体"/>
                <w:color w:val="auto"/>
                <w:kern w:val="0"/>
                <w:sz w:val="24"/>
                <w:szCs w:val="24"/>
              </w:rPr>
            </w:pPr>
          </w:p>
          <w:p w14:paraId="0676D583">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使用单位：（签章）                       检验机构（检测单位）：（签章）</w:t>
            </w:r>
          </w:p>
          <w:p w14:paraId="0D6EBD7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kern w:val="0"/>
                <w:sz w:val="24"/>
                <w:szCs w:val="24"/>
              </w:rPr>
              <w:t>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                         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r w14:paraId="4FE6028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24" w:hRule="atLeast"/>
          <w:jc w:val="center"/>
        </w:trPr>
        <w:tc>
          <w:tcPr>
            <w:tcW w:w="8787" w:type="dxa"/>
            <w:vAlign w:val="center"/>
          </w:tcPr>
          <w:p w14:paraId="3A918826">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复查结果：</w:t>
            </w:r>
          </w:p>
          <w:p w14:paraId="1CA02086">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经（□资料□现场）确认（□全部□部分）（□符合□不符合）整改要求。</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rPr>
              <w:t xml:space="preserve">                       </w:t>
            </w:r>
          </w:p>
          <w:p w14:paraId="27D3BB8D">
            <w:pPr>
              <w:widowControl w:val="0"/>
              <w:spacing w:line="360" w:lineRule="auto"/>
              <w:ind w:firstLine="405"/>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不符合项目：</w:t>
            </w:r>
          </w:p>
          <w:p w14:paraId="4D2629C6">
            <w:pPr>
              <w:spacing w:line="360" w:lineRule="auto"/>
              <w:ind w:firstLine="0"/>
              <w:rPr>
                <w:rFonts w:hint="eastAsia" w:ascii="宋体" w:hAnsi="宋体" w:eastAsia="宋体" w:cs="宋体"/>
                <w:color w:val="auto"/>
                <w:sz w:val="24"/>
                <w:szCs w:val="24"/>
              </w:rPr>
            </w:pPr>
          </w:p>
          <w:p w14:paraId="2B1DF85A">
            <w:pPr>
              <w:spacing w:line="360" w:lineRule="auto"/>
              <w:ind w:firstLine="6960" w:firstLineChars="2900"/>
              <w:rPr>
                <w:rFonts w:hint="eastAsia" w:ascii="宋体" w:hAnsi="宋体" w:eastAsia="宋体" w:cs="宋体"/>
                <w:color w:val="auto"/>
                <w:sz w:val="24"/>
                <w:szCs w:val="24"/>
              </w:rPr>
            </w:pPr>
            <w:r>
              <w:rPr>
                <w:rFonts w:hint="eastAsia" w:ascii="宋体" w:hAnsi="宋体" w:eastAsia="宋体" w:cs="宋体"/>
                <w:color w:val="auto"/>
                <w:kern w:val="0"/>
                <w:sz w:val="24"/>
                <w:szCs w:val="24"/>
              </w:rPr>
              <w:t>（监督抽查机构盖章）</w:t>
            </w:r>
          </w:p>
          <w:p w14:paraId="5B7A87D3">
            <w:pPr>
              <w:spacing w:line="360" w:lineRule="auto"/>
              <w:ind w:firstLine="0"/>
              <w:rPr>
                <w:rFonts w:hint="eastAsia" w:ascii="宋体" w:hAnsi="宋体" w:eastAsia="宋体" w:cs="宋体"/>
                <w:color w:val="auto"/>
                <w:kern w:val="0"/>
                <w:sz w:val="24"/>
                <w:szCs w:val="24"/>
              </w:rPr>
            </w:pPr>
          </w:p>
          <w:p w14:paraId="0D4662D1">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监督抽查人员：</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bl>
    <w:p w14:paraId="523D1740">
      <w:pPr>
        <w:tabs>
          <w:tab w:val="center" w:pos="4422"/>
          <w:tab w:val="left" w:pos="6630"/>
        </w:tabs>
        <w:spacing w:line="360" w:lineRule="auto"/>
        <w:ind w:firstLine="480" w:firstLineChars="200"/>
        <w:jc w:val="left"/>
        <w:rPr>
          <w:rFonts w:hint="eastAsia" w:ascii="宋体" w:hAnsi="宋体" w:eastAsia="宋体" w:cs="宋体"/>
          <w:color w:val="auto"/>
          <w:kern w:val="0"/>
          <w:sz w:val="32"/>
          <w:szCs w:val="32"/>
        </w:rPr>
      </w:pPr>
      <w:r>
        <w:rPr>
          <w:rFonts w:hint="eastAsia" w:ascii="宋体" w:hAnsi="宋体" w:eastAsia="宋体" w:cs="宋体"/>
          <w:color w:val="auto"/>
          <w:sz w:val="24"/>
          <w:szCs w:val="24"/>
        </w:rPr>
        <w:t>注：1.此通知书被抽查单位、监管部门、监督抽查机构各一份;2.本通知书电子文件(PDF 格式)经数字签名技术签章。根据《中华人民共和国电子签名法》的规定，和手写签名或加盖印章的纸质报告具有同等法律效力。</w:t>
      </w:r>
      <w:r>
        <w:rPr>
          <w:rFonts w:hint="eastAsia" w:ascii="宋体" w:hAnsi="宋体" w:eastAsia="宋体" w:cs="宋体"/>
          <w:bCs/>
          <w:color w:val="auto"/>
          <w:sz w:val="44"/>
          <w:szCs w:val="44"/>
        </w:rPr>
        <w:br w:type="page"/>
      </w:r>
    </w:p>
    <w:p w14:paraId="525E7C41">
      <w:pPr>
        <w:tabs>
          <w:tab w:val="center" w:pos="4422"/>
          <w:tab w:val="left" w:pos="6630"/>
        </w:tabs>
        <w:spacing w:line="480" w:lineRule="exact"/>
        <w:ind w:firstLine="0"/>
        <w:jc w:val="center"/>
        <w:rPr>
          <w:rFonts w:hint="eastAsia" w:ascii="宋体" w:hAnsi="宋体" w:eastAsia="宋体" w:cs="宋体"/>
          <w:bCs/>
          <w:color w:val="auto"/>
          <w:sz w:val="32"/>
          <w:szCs w:val="32"/>
        </w:rPr>
      </w:pPr>
      <w:r>
        <w:rPr>
          <w:rFonts w:hint="eastAsia" w:ascii="宋体" w:hAnsi="宋体" w:eastAsia="宋体" w:cs="宋体"/>
          <w:bCs/>
          <w:color w:val="auto"/>
          <w:sz w:val="32"/>
          <w:szCs w:val="32"/>
        </w:rPr>
        <w:t>监督抽查不符合项目通知书（3）</w:t>
      </w:r>
    </w:p>
    <w:p w14:paraId="576EEBF7">
      <w:pPr>
        <w:spacing w:line="480" w:lineRule="exact"/>
        <w:ind w:firstLine="0"/>
        <w:jc w:val="center"/>
        <w:rPr>
          <w:rFonts w:hint="eastAsia" w:ascii="宋体" w:hAnsi="宋体" w:eastAsia="宋体" w:cs="宋体"/>
          <w:color w:val="auto"/>
          <w:kern w:val="0"/>
          <w:sz w:val="32"/>
          <w:szCs w:val="32"/>
        </w:rPr>
      </w:pPr>
      <w:r>
        <w:rPr>
          <w:rFonts w:hint="eastAsia" w:ascii="宋体" w:hAnsi="宋体" w:eastAsia="宋体" w:cs="宋体"/>
          <w:color w:val="auto"/>
          <w:kern w:val="0"/>
          <w:sz w:val="32"/>
          <w:szCs w:val="32"/>
        </w:rPr>
        <w:t>（</w:t>
      </w:r>
      <w:bookmarkStart w:id="8" w:name="_Hlk197506780"/>
      <w:r>
        <w:rPr>
          <w:rFonts w:hint="eastAsia" w:ascii="宋体" w:hAnsi="宋体" w:eastAsia="宋体" w:cs="宋体"/>
          <w:color w:val="auto"/>
          <w:kern w:val="0"/>
          <w:sz w:val="32"/>
          <w:szCs w:val="32"/>
        </w:rPr>
        <w:t>电梯生产、使用单位监督抽查</w:t>
      </w:r>
      <w:bookmarkEnd w:id="8"/>
      <w:r>
        <w:rPr>
          <w:rFonts w:hint="eastAsia" w:ascii="宋体" w:hAnsi="宋体" w:eastAsia="宋体" w:cs="宋体"/>
          <w:color w:val="auto"/>
          <w:kern w:val="0"/>
          <w:sz w:val="32"/>
          <w:szCs w:val="32"/>
        </w:rPr>
        <w:t>）</w:t>
      </w:r>
    </w:p>
    <w:p w14:paraId="5D01D3AF">
      <w:pPr>
        <w:spacing w:line="360" w:lineRule="auto"/>
        <w:ind w:firstLine="0"/>
        <w:jc w:val="center"/>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 xml:space="preserve">                                                      编号：</w:t>
      </w:r>
      <w:r>
        <w:rPr>
          <w:rFonts w:hint="eastAsia" w:ascii="宋体" w:hAnsi="宋体" w:eastAsia="宋体" w:cs="宋体"/>
          <w:color w:val="auto"/>
          <w:kern w:val="0"/>
          <w:sz w:val="24"/>
          <w:szCs w:val="24"/>
          <w:u w:val="single"/>
        </w:rPr>
        <w:t xml:space="preserve">           </w:t>
      </w:r>
    </w:p>
    <w:p w14:paraId="5A6F4217">
      <w:pPr>
        <w:adjustRightInd w:val="0"/>
        <w:snapToGrid w:val="0"/>
        <w:spacing w:line="360" w:lineRule="auto"/>
        <w:ind w:firstLine="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电梯生产（使用）单位：</w:t>
      </w:r>
      <w:r>
        <w:rPr>
          <w:rFonts w:hint="eastAsia" w:ascii="宋体" w:hAnsi="宋体" w:eastAsia="宋体" w:cs="宋体"/>
          <w:color w:val="auto"/>
          <w:kern w:val="0"/>
          <w:sz w:val="24"/>
          <w:szCs w:val="24"/>
          <w:u w:val="single"/>
        </w:rPr>
        <w:t xml:space="preserve">                            </w:t>
      </w:r>
    </w:p>
    <w:p w14:paraId="6DDA6E28">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受西安市雁塔区市场监督管理局委托，</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r>
        <w:rPr>
          <w:rFonts w:hint="eastAsia" w:ascii="宋体" w:hAnsi="宋体" w:eastAsia="宋体" w:cs="宋体"/>
          <w:color w:val="auto"/>
          <w:kern w:val="0"/>
          <w:sz w:val="24"/>
          <w:szCs w:val="24"/>
          <w:u w:val="single"/>
        </w:rPr>
        <w:t>（监督抽查机构名称）</w:t>
      </w:r>
      <w:r>
        <w:rPr>
          <w:rFonts w:hint="eastAsia" w:ascii="宋体" w:hAnsi="宋体" w:eastAsia="宋体" w:cs="宋体"/>
          <w:color w:val="auto"/>
          <w:kern w:val="0"/>
          <w:sz w:val="24"/>
          <w:szCs w:val="24"/>
        </w:rPr>
        <w:t>监督抽查组对你单位进行监督抽查，现将本次检查中发现的问题记录如下，请你单位于</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日前完成整改后将整改结果反馈我机构。</w:t>
      </w:r>
    </w:p>
    <w:tbl>
      <w:tblPr>
        <w:tblStyle w:val="2"/>
        <w:tblW w:w="8787"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787"/>
      </w:tblGrid>
      <w:tr w14:paraId="0D3D59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8" w:hRule="atLeast"/>
          <w:jc w:val="center"/>
        </w:trPr>
        <w:tc>
          <w:tcPr>
            <w:tcW w:w="8787" w:type="dxa"/>
            <w:vAlign w:val="center"/>
          </w:tcPr>
          <w:p w14:paraId="1B2BD9F3">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监督抽查发现问题：</w:t>
            </w:r>
          </w:p>
          <w:p w14:paraId="1DA1F892">
            <w:pPr>
              <w:widowControl w:val="0"/>
              <w:spacing w:line="360" w:lineRule="auto"/>
              <w:jc w:val="both"/>
              <w:rPr>
                <w:rFonts w:hint="eastAsia" w:ascii="宋体" w:hAnsi="宋体" w:eastAsia="宋体" w:cs="宋体"/>
                <w:color w:val="auto"/>
                <w:kern w:val="2"/>
                <w:sz w:val="24"/>
                <w:szCs w:val="24"/>
                <w:lang w:val="en-US" w:eastAsia="zh-CN" w:bidi="ar-SA"/>
              </w:rPr>
            </w:pPr>
          </w:p>
          <w:p w14:paraId="63A59758">
            <w:pPr>
              <w:spacing w:line="360" w:lineRule="auto"/>
              <w:ind w:firstLine="0"/>
              <w:rPr>
                <w:rFonts w:hint="eastAsia" w:ascii="宋体" w:hAnsi="宋体" w:eastAsia="宋体" w:cs="宋体"/>
                <w:color w:val="auto"/>
                <w:sz w:val="24"/>
                <w:szCs w:val="24"/>
              </w:rPr>
            </w:pPr>
          </w:p>
          <w:p w14:paraId="278A3D13">
            <w:pPr>
              <w:spacing w:line="360" w:lineRule="auto"/>
              <w:ind w:firstLine="0"/>
              <w:rPr>
                <w:rFonts w:hint="eastAsia" w:ascii="宋体" w:hAnsi="宋体" w:eastAsia="宋体" w:cs="宋体"/>
                <w:color w:val="auto"/>
                <w:sz w:val="24"/>
                <w:szCs w:val="24"/>
              </w:rPr>
            </w:pPr>
          </w:p>
          <w:p w14:paraId="0D92C7CB">
            <w:pPr>
              <w:spacing w:line="360" w:lineRule="auto"/>
              <w:ind w:firstLine="0"/>
              <w:rPr>
                <w:rFonts w:hint="eastAsia" w:ascii="宋体" w:hAnsi="宋体" w:eastAsia="宋体" w:cs="宋体"/>
                <w:color w:val="auto"/>
                <w:sz w:val="24"/>
                <w:szCs w:val="24"/>
              </w:rPr>
            </w:pPr>
          </w:p>
          <w:p w14:paraId="14D7C378">
            <w:pPr>
              <w:spacing w:line="360" w:lineRule="auto"/>
              <w:ind w:firstLine="0"/>
              <w:rPr>
                <w:rFonts w:hint="eastAsia" w:ascii="宋体" w:hAnsi="宋体" w:eastAsia="宋体" w:cs="宋体"/>
                <w:color w:val="auto"/>
                <w:sz w:val="24"/>
                <w:szCs w:val="24"/>
              </w:rPr>
            </w:pPr>
          </w:p>
          <w:p w14:paraId="7B7572EE">
            <w:pPr>
              <w:adjustRightInd w:val="0"/>
              <w:snapToGrid w:val="0"/>
              <w:spacing w:line="360" w:lineRule="auto"/>
              <w:ind w:firstLine="7440" w:firstLineChars="3100"/>
              <w:rPr>
                <w:rFonts w:hint="eastAsia" w:ascii="宋体" w:hAnsi="宋体" w:eastAsia="宋体" w:cs="宋体"/>
                <w:color w:val="auto"/>
                <w:sz w:val="24"/>
                <w:szCs w:val="24"/>
              </w:rPr>
            </w:pPr>
            <w:r>
              <w:rPr>
                <w:rFonts w:hint="eastAsia" w:ascii="宋体" w:hAnsi="宋体" w:eastAsia="宋体" w:cs="宋体"/>
                <w:color w:val="auto"/>
                <w:kern w:val="0"/>
                <w:sz w:val="24"/>
                <w:szCs w:val="24"/>
              </w:rPr>
              <w:t>（监督抽查机构盖章）</w:t>
            </w:r>
          </w:p>
          <w:p w14:paraId="7FD4F6ED">
            <w:pPr>
              <w:spacing w:line="360" w:lineRule="auto"/>
              <w:ind w:firstLine="0"/>
              <w:rPr>
                <w:rFonts w:hint="eastAsia" w:ascii="宋体" w:hAnsi="宋体" w:eastAsia="宋体" w:cs="宋体"/>
                <w:color w:val="auto"/>
                <w:sz w:val="24"/>
                <w:szCs w:val="24"/>
              </w:rPr>
            </w:pPr>
          </w:p>
          <w:p w14:paraId="310CDFAE">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监督抽查人员：</w:t>
            </w:r>
            <w:r>
              <w:rPr>
                <w:rFonts w:hint="eastAsia" w:ascii="宋体" w:hAnsi="宋体" w:eastAsia="宋体" w:cs="宋体"/>
                <w:color w:val="auto"/>
                <w:kern w:val="0"/>
                <w:sz w:val="24"/>
                <w:szCs w:val="24"/>
                <w:u w:val="single"/>
              </w:rPr>
              <w:t>　　　　　　　　　</w:t>
            </w:r>
            <w:r>
              <w:rPr>
                <w:rFonts w:hint="eastAsia" w:ascii="宋体" w:hAnsi="宋体" w:eastAsia="宋体" w:cs="宋体"/>
                <w:color w:val="auto"/>
                <w:kern w:val="0"/>
                <w:sz w:val="24"/>
                <w:szCs w:val="24"/>
              </w:rPr>
              <w:t xml:space="preserve">                     </w:t>
            </w:r>
            <w:bookmarkStart w:id="9" w:name="OLE_LINK8"/>
            <w:r>
              <w:rPr>
                <w:rFonts w:hint="eastAsia" w:ascii="宋体" w:hAnsi="宋体" w:eastAsia="宋体" w:cs="宋体"/>
                <w:color w:val="auto"/>
                <w:kern w:val="0"/>
                <w:sz w:val="24"/>
                <w:szCs w:val="24"/>
              </w:rPr>
              <w:t>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bookmarkEnd w:id="9"/>
          </w:p>
        </w:tc>
      </w:tr>
      <w:tr w14:paraId="2FF52A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20" w:hRule="atLeast"/>
          <w:jc w:val="center"/>
        </w:trPr>
        <w:tc>
          <w:tcPr>
            <w:tcW w:w="8787" w:type="dxa"/>
            <w:vAlign w:val="center"/>
          </w:tcPr>
          <w:p w14:paraId="283ED5A9">
            <w:pPr>
              <w:adjustRightInd w:val="0"/>
              <w:snapToGrid w:val="0"/>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kern w:val="0"/>
                <w:sz w:val="24"/>
                <w:szCs w:val="24"/>
              </w:rPr>
              <w:t>被抽查单位现场配合人员签字：</w:t>
            </w:r>
          </w:p>
          <w:p w14:paraId="5DE55682">
            <w:pPr>
              <w:adjustRightInd w:val="0"/>
              <w:snapToGrid w:val="0"/>
              <w:spacing w:line="360" w:lineRule="auto"/>
              <w:ind w:firstLine="6480" w:firstLineChars="27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联系电话：</w:t>
            </w:r>
          </w:p>
          <w:p w14:paraId="66A8189D">
            <w:pPr>
              <w:adjustRightInd w:val="0"/>
              <w:snapToGrid w:val="0"/>
              <w:spacing w:line="360" w:lineRule="auto"/>
              <w:ind w:firstLine="6480" w:firstLineChars="27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r w14:paraId="336BC83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84" w:hRule="atLeast"/>
          <w:jc w:val="center"/>
        </w:trPr>
        <w:tc>
          <w:tcPr>
            <w:tcW w:w="8787" w:type="dxa"/>
            <w:vAlign w:val="center"/>
          </w:tcPr>
          <w:p w14:paraId="3946BDF0">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整改结果：□以上项目已整改完毕。    □</w:t>
            </w:r>
            <w:r>
              <w:rPr>
                <w:rFonts w:hint="eastAsia" w:ascii="宋体" w:hAnsi="宋体" w:eastAsia="宋体" w:cs="宋体"/>
                <w:color w:val="auto"/>
                <w:kern w:val="0"/>
                <w:sz w:val="24"/>
                <w:szCs w:val="24"/>
                <w:u w:val="single"/>
              </w:rPr>
              <w:t xml:space="preserve">                                 </w:t>
            </w:r>
          </w:p>
          <w:p w14:paraId="7605A76A">
            <w:pPr>
              <w:spacing w:line="360" w:lineRule="auto"/>
              <w:ind w:firstLine="0"/>
              <w:rPr>
                <w:rFonts w:hint="eastAsia" w:ascii="宋体" w:hAnsi="宋体" w:eastAsia="宋体" w:cs="宋体"/>
                <w:color w:val="auto"/>
                <w:kern w:val="0"/>
                <w:sz w:val="24"/>
                <w:szCs w:val="24"/>
              </w:rPr>
            </w:pPr>
          </w:p>
          <w:p w14:paraId="4CF67C7A">
            <w:pPr>
              <w:spacing w:line="360" w:lineRule="auto"/>
              <w:ind w:firstLine="0"/>
              <w:rPr>
                <w:rFonts w:hint="eastAsia" w:ascii="宋体" w:hAnsi="宋体" w:eastAsia="宋体" w:cs="宋体"/>
                <w:color w:val="auto"/>
                <w:kern w:val="0"/>
                <w:sz w:val="24"/>
                <w:szCs w:val="24"/>
              </w:rPr>
            </w:pPr>
          </w:p>
          <w:p w14:paraId="418920E8">
            <w:pPr>
              <w:spacing w:line="360" w:lineRule="auto"/>
              <w:ind w:firstLine="6240" w:firstLineChars="26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被抽查单位：（签章）</w:t>
            </w:r>
          </w:p>
          <w:p w14:paraId="32FD4258">
            <w:pPr>
              <w:spacing w:line="360" w:lineRule="auto"/>
              <w:ind w:firstLine="0"/>
              <w:rPr>
                <w:rFonts w:hint="eastAsia" w:ascii="宋体" w:hAnsi="宋体" w:eastAsia="宋体" w:cs="宋体"/>
                <w:color w:val="auto"/>
                <w:kern w:val="0"/>
                <w:sz w:val="24"/>
                <w:szCs w:val="24"/>
              </w:rPr>
            </w:pPr>
          </w:p>
          <w:p w14:paraId="57B87BE4">
            <w:pPr>
              <w:adjustRightInd w:val="0"/>
              <w:snapToGrid w:val="0"/>
              <w:spacing w:line="360" w:lineRule="auto"/>
              <w:ind w:firstLine="1440" w:firstLineChars="6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                                          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r w14:paraId="69CCF27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08" w:hRule="atLeast"/>
          <w:jc w:val="center"/>
        </w:trPr>
        <w:tc>
          <w:tcPr>
            <w:tcW w:w="8787" w:type="dxa"/>
            <w:vAlign w:val="center"/>
          </w:tcPr>
          <w:p w14:paraId="6190DAE2">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复查结果：</w:t>
            </w:r>
          </w:p>
          <w:p w14:paraId="2DFE61AB">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经（□资料□现场）确认（□全部□部分）（□符合□不符合）整改要求。</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rPr>
              <w:t xml:space="preserve">                       </w:t>
            </w:r>
          </w:p>
          <w:p w14:paraId="248EA80B">
            <w:pPr>
              <w:widowControl w:val="0"/>
              <w:spacing w:line="360" w:lineRule="auto"/>
              <w:ind w:firstLine="405"/>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不符合项目：</w:t>
            </w:r>
          </w:p>
          <w:p w14:paraId="44CBD0F9">
            <w:pPr>
              <w:spacing w:line="360" w:lineRule="auto"/>
              <w:ind w:firstLine="0"/>
              <w:rPr>
                <w:rFonts w:hint="eastAsia" w:ascii="宋体" w:hAnsi="宋体" w:eastAsia="宋体" w:cs="宋体"/>
                <w:color w:val="auto"/>
                <w:sz w:val="24"/>
                <w:szCs w:val="24"/>
              </w:rPr>
            </w:pPr>
          </w:p>
          <w:p w14:paraId="5E613285">
            <w:pPr>
              <w:spacing w:line="360" w:lineRule="auto"/>
              <w:ind w:firstLine="0"/>
              <w:rPr>
                <w:rFonts w:hint="eastAsia" w:ascii="宋体" w:hAnsi="宋体" w:eastAsia="宋体" w:cs="宋体"/>
                <w:color w:val="auto"/>
                <w:kern w:val="0"/>
                <w:sz w:val="24"/>
                <w:szCs w:val="24"/>
              </w:rPr>
            </w:pPr>
          </w:p>
          <w:p w14:paraId="734A1693">
            <w:pPr>
              <w:spacing w:line="360" w:lineRule="auto"/>
              <w:ind w:firstLine="6960" w:firstLineChars="2900"/>
              <w:rPr>
                <w:rFonts w:hint="eastAsia" w:ascii="宋体" w:hAnsi="宋体" w:eastAsia="宋体" w:cs="宋体"/>
                <w:color w:val="auto"/>
                <w:sz w:val="24"/>
                <w:szCs w:val="24"/>
              </w:rPr>
            </w:pPr>
            <w:r>
              <w:rPr>
                <w:rFonts w:hint="eastAsia" w:ascii="宋体" w:hAnsi="宋体" w:eastAsia="宋体" w:cs="宋体"/>
                <w:color w:val="auto"/>
                <w:kern w:val="0"/>
                <w:sz w:val="24"/>
                <w:szCs w:val="24"/>
              </w:rPr>
              <w:t>（监督抽查机构盖章）</w:t>
            </w:r>
          </w:p>
          <w:p w14:paraId="12C20061">
            <w:pPr>
              <w:spacing w:line="360" w:lineRule="auto"/>
              <w:ind w:firstLine="0"/>
              <w:rPr>
                <w:rFonts w:hint="eastAsia" w:ascii="宋体" w:hAnsi="宋体" w:eastAsia="宋体" w:cs="宋体"/>
                <w:color w:val="auto"/>
                <w:kern w:val="0"/>
                <w:sz w:val="24"/>
                <w:szCs w:val="24"/>
              </w:rPr>
            </w:pPr>
          </w:p>
          <w:p w14:paraId="3A954E5D">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监督抽查人员：</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c>
      </w:tr>
    </w:tbl>
    <w:p w14:paraId="3758BF50">
      <w:pPr>
        <w:tabs>
          <w:tab w:val="center" w:pos="4422"/>
          <w:tab w:val="left" w:pos="6630"/>
        </w:tabs>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注：1.此通知书被抽查单位、监管部门、监督抽查机构各一份;2.本通知书电子文件(PDF 格式)经数字签名技术签章。根据《中华人民共和国电子签名法》的规定，和手写签名或加盖印章的纸质报告具有同等法律效力。</w:t>
      </w:r>
    </w:p>
    <w:p w14:paraId="07CA7DF4">
      <w:pPr>
        <w:spacing w:line="240" w:lineRule="auto"/>
        <w:ind w:firstLine="0"/>
        <w:rPr>
          <w:rFonts w:hint="eastAsia" w:ascii="宋体" w:hAnsi="宋体" w:eastAsia="宋体" w:cs="宋体"/>
          <w:bCs/>
          <w:color w:val="auto"/>
          <w:sz w:val="32"/>
          <w:szCs w:val="32"/>
        </w:rPr>
      </w:pPr>
      <w:r>
        <w:rPr>
          <w:rFonts w:hint="eastAsia" w:ascii="宋体" w:hAnsi="宋体" w:eastAsia="宋体" w:cs="宋体"/>
          <w:bCs/>
          <w:color w:val="auto"/>
          <w:sz w:val="32"/>
          <w:szCs w:val="32"/>
        </w:rPr>
        <w:br w:type="page"/>
      </w:r>
    </w:p>
    <w:p w14:paraId="06772ED4">
      <w:pPr>
        <w:tabs>
          <w:tab w:val="center" w:pos="4422"/>
          <w:tab w:val="left" w:pos="6630"/>
        </w:tabs>
        <w:spacing w:line="480" w:lineRule="exact"/>
        <w:ind w:firstLine="0"/>
        <w:jc w:val="center"/>
        <w:rPr>
          <w:rFonts w:hint="eastAsia" w:ascii="宋体" w:hAnsi="宋体" w:eastAsia="宋体" w:cs="宋体"/>
          <w:color w:val="auto"/>
          <w:kern w:val="0"/>
          <w:sz w:val="32"/>
          <w:szCs w:val="32"/>
        </w:rPr>
      </w:pPr>
      <w:r>
        <w:rPr>
          <w:rFonts w:hint="eastAsia" w:ascii="宋体" w:hAnsi="宋体" w:eastAsia="宋体" w:cs="宋体"/>
          <w:bCs/>
          <w:color w:val="auto"/>
          <w:sz w:val="32"/>
          <w:szCs w:val="32"/>
        </w:rPr>
        <w:t>监督抽查不符合项目通知书（4）</w:t>
      </w:r>
    </w:p>
    <w:p w14:paraId="5A9F33A1">
      <w:pPr>
        <w:spacing w:line="480" w:lineRule="exact"/>
        <w:ind w:firstLine="0"/>
        <w:jc w:val="center"/>
        <w:outlineLvl w:val="2"/>
        <w:rPr>
          <w:rFonts w:hint="eastAsia" w:ascii="宋体" w:hAnsi="宋体" w:eastAsia="宋体" w:cs="宋体"/>
          <w:color w:val="auto"/>
          <w:kern w:val="0"/>
          <w:sz w:val="32"/>
          <w:szCs w:val="32"/>
        </w:rPr>
      </w:pPr>
      <w:r>
        <w:rPr>
          <w:rFonts w:hint="eastAsia" w:ascii="宋体" w:hAnsi="宋体" w:eastAsia="宋体" w:cs="宋体"/>
          <w:color w:val="auto"/>
          <w:kern w:val="0"/>
          <w:sz w:val="32"/>
          <w:szCs w:val="32"/>
        </w:rPr>
        <w:t>（电梯检验、检测机构监督抽查）</w:t>
      </w:r>
    </w:p>
    <w:p w14:paraId="37C1F9F4">
      <w:pPr>
        <w:spacing w:line="360" w:lineRule="auto"/>
        <w:ind w:firstLine="0"/>
        <w:jc w:val="center"/>
        <w:rPr>
          <w:rFonts w:hint="eastAsia" w:ascii="宋体" w:hAnsi="宋体" w:eastAsia="宋体" w:cs="宋体"/>
          <w:color w:val="auto"/>
          <w:kern w:val="0"/>
          <w:szCs w:val="32"/>
          <w:u w:val="single"/>
        </w:rPr>
      </w:pPr>
      <w:r>
        <w:rPr>
          <w:rFonts w:hint="eastAsia" w:ascii="宋体" w:hAnsi="宋体" w:eastAsia="宋体" w:cs="宋体"/>
          <w:color w:val="auto"/>
          <w:kern w:val="0"/>
          <w:szCs w:val="32"/>
        </w:rPr>
        <w:t xml:space="preserve">                                                编号：</w:t>
      </w:r>
      <w:r>
        <w:rPr>
          <w:rFonts w:hint="eastAsia" w:ascii="宋体" w:hAnsi="宋体" w:eastAsia="宋体" w:cs="宋体"/>
          <w:color w:val="auto"/>
          <w:kern w:val="0"/>
          <w:szCs w:val="32"/>
          <w:u w:val="single"/>
        </w:rPr>
        <w:t xml:space="preserve">           </w:t>
      </w:r>
    </w:p>
    <w:p w14:paraId="01EDFFD1">
      <w:pPr>
        <w:widowControl w:val="0"/>
        <w:spacing w:line="360" w:lineRule="auto"/>
        <w:jc w:val="both"/>
        <w:rPr>
          <w:rFonts w:hint="eastAsia" w:ascii="宋体" w:hAnsi="宋体" w:eastAsia="宋体" w:cs="宋体"/>
          <w:color w:val="auto"/>
          <w:kern w:val="0"/>
          <w:sz w:val="21"/>
          <w:szCs w:val="21"/>
          <w:u w:val="single"/>
          <w:lang w:val="en-US" w:eastAsia="zh-CN" w:bidi="ar-SA"/>
        </w:rPr>
      </w:pPr>
      <w:r>
        <w:rPr>
          <w:rFonts w:hint="eastAsia" w:ascii="宋体" w:hAnsi="宋体" w:eastAsia="宋体" w:cs="宋体"/>
          <w:color w:val="auto"/>
          <w:kern w:val="0"/>
          <w:sz w:val="21"/>
          <w:szCs w:val="21"/>
          <w:lang w:val="en-US" w:eastAsia="zh-CN" w:bidi="ar-SA"/>
        </w:rPr>
        <w:t>检验（检测）单位：</w:t>
      </w:r>
      <w:r>
        <w:rPr>
          <w:rFonts w:hint="eastAsia" w:ascii="宋体" w:hAnsi="宋体" w:eastAsia="宋体" w:cs="宋体"/>
          <w:color w:val="auto"/>
          <w:kern w:val="0"/>
          <w:sz w:val="21"/>
          <w:szCs w:val="21"/>
          <w:u w:val="single"/>
          <w:lang w:val="en-US" w:eastAsia="zh-CN" w:bidi="ar-SA"/>
        </w:rPr>
        <w:t xml:space="preserve">                              </w:t>
      </w:r>
    </w:p>
    <w:p w14:paraId="7CBB3F78">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kern w:val="0"/>
        </w:rPr>
        <w:t>受西安市雁塔区市场监督管理局委托，</w:t>
      </w:r>
      <w:r>
        <w:rPr>
          <w:rFonts w:hint="eastAsia" w:ascii="宋体" w:hAnsi="宋体" w:eastAsia="宋体" w:cs="宋体"/>
          <w:color w:val="auto"/>
          <w:kern w:val="0"/>
          <w:u w:val="single"/>
        </w:rPr>
        <w:t xml:space="preserve">      </w:t>
      </w:r>
      <w:r>
        <w:rPr>
          <w:rFonts w:hint="eastAsia" w:ascii="宋体" w:hAnsi="宋体" w:eastAsia="宋体" w:cs="宋体"/>
          <w:color w:val="auto"/>
          <w:kern w:val="0"/>
        </w:rPr>
        <w:t>年</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w:t>
      </w:r>
      <w:r>
        <w:rPr>
          <w:rFonts w:hint="eastAsia" w:ascii="宋体" w:hAnsi="宋体" w:eastAsia="宋体" w:cs="宋体"/>
          <w:color w:val="auto"/>
          <w:kern w:val="0"/>
          <w:u w:val="single"/>
        </w:rPr>
        <w:t>（监督抽查机构名称）</w:t>
      </w:r>
      <w:r>
        <w:rPr>
          <w:rFonts w:hint="eastAsia" w:ascii="宋体" w:hAnsi="宋体" w:eastAsia="宋体" w:cs="宋体"/>
          <w:color w:val="auto"/>
          <w:kern w:val="0"/>
        </w:rPr>
        <w:t>监督抽查组对你单位</w:t>
      </w:r>
      <w:r>
        <w:rPr>
          <w:rFonts w:hint="eastAsia" w:ascii="宋体" w:hAnsi="宋体" w:eastAsia="宋体" w:cs="宋体"/>
          <w:color w:val="auto"/>
          <w:kern w:val="0"/>
          <w:u w:val="single"/>
        </w:rPr>
        <w:t xml:space="preserve">                </w:t>
      </w:r>
      <w:r>
        <w:rPr>
          <w:rFonts w:hint="eastAsia" w:ascii="宋体" w:hAnsi="宋体" w:eastAsia="宋体" w:cs="宋体"/>
          <w:color w:val="auto"/>
          <w:kern w:val="0"/>
        </w:rPr>
        <w:t>检验（检测）工作进行监督抽查，现将本次检查中发现的问题记录如下，请你单位于</w:t>
      </w:r>
      <w:r>
        <w:rPr>
          <w:rFonts w:hint="eastAsia" w:ascii="宋体" w:hAnsi="宋体" w:eastAsia="宋体" w:cs="宋体"/>
          <w:color w:val="auto"/>
          <w:kern w:val="0"/>
          <w:u w:val="single"/>
        </w:rPr>
        <w:t xml:space="preserve">      </w:t>
      </w:r>
      <w:r>
        <w:rPr>
          <w:rFonts w:hint="eastAsia" w:ascii="宋体" w:hAnsi="宋体" w:eastAsia="宋体" w:cs="宋体"/>
          <w:color w:val="auto"/>
          <w:kern w:val="0"/>
        </w:rPr>
        <w:t>年</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日前完成整改后将整改结果反馈我机构。</w:t>
      </w:r>
    </w:p>
    <w:tbl>
      <w:tblPr>
        <w:tblStyle w:val="2"/>
        <w:tblW w:w="8787"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787"/>
      </w:tblGrid>
      <w:tr w14:paraId="3648B2F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8" w:hRule="atLeast"/>
          <w:jc w:val="center"/>
        </w:trPr>
        <w:tc>
          <w:tcPr>
            <w:tcW w:w="8787" w:type="dxa"/>
            <w:vAlign w:val="center"/>
          </w:tcPr>
          <w:p w14:paraId="7DCB8FC1">
            <w:pPr>
              <w:spacing w:line="360" w:lineRule="auto"/>
              <w:ind w:firstLine="0"/>
              <w:outlineLvl w:val="2"/>
              <w:rPr>
                <w:rFonts w:hint="eastAsia" w:ascii="宋体" w:hAnsi="宋体" w:eastAsia="宋体" w:cs="宋体"/>
                <w:color w:val="auto"/>
              </w:rPr>
            </w:pPr>
            <w:r>
              <w:rPr>
                <w:rFonts w:hint="eastAsia" w:ascii="宋体" w:hAnsi="宋体" w:eastAsia="宋体" w:cs="宋体"/>
                <w:color w:val="auto"/>
              </w:rPr>
              <w:t>监督抽查发现问题：</w:t>
            </w:r>
          </w:p>
          <w:p w14:paraId="392CACD5">
            <w:pPr>
              <w:adjustRightInd w:val="0"/>
              <w:snapToGrid w:val="0"/>
              <w:spacing w:line="360" w:lineRule="auto"/>
              <w:ind w:firstLine="0"/>
              <w:rPr>
                <w:rFonts w:hint="eastAsia" w:ascii="宋体" w:hAnsi="宋体" w:eastAsia="宋体" w:cs="宋体"/>
                <w:color w:val="auto"/>
                <w:kern w:val="0"/>
              </w:rPr>
            </w:pPr>
          </w:p>
          <w:p w14:paraId="351A0280">
            <w:pPr>
              <w:adjustRightInd w:val="0"/>
              <w:snapToGrid w:val="0"/>
              <w:spacing w:line="360" w:lineRule="auto"/>
              <w:ind w:firstLine="0"/>
              <w:rPr>
                <w:rFonts w:hint="eastAsia" w:ascii="宋体" w:hAnsi="宋体" w:eastAsia="宋体" w:cs="宋体"/>
                <w:color w:val="auto"/>
                <w:kern w:val="0"/>
              </w:rPr>
            </w:pPr>
          </w:p>
          <w:p w14:paraId="5A037C85">
            <w:pPr>
              <w:adjustRightInd w:val="0"/>
              <w:snapToGrid w:val="0"/>
              <w:spacing w:line="360" w:lineRule="auto"/>
              <w:ind w:firstLine="0"/>
              <w:rPr>
                <w:rFonts w:hint="eastAsia" w:ascii="宋体" w:hAnsi="宋体" w:eastAsia="宋体" w:cs="宋体"/>
                <w:color w:val="auto"/>
                <w:kern w:val="0"/>
              </w:rPr>
            </w:pPr>
          </w:p>
          <w:p w14:paraId="752C87B7">
            <w:pPr>
              <w:widowControl w:val="0"/>
              <w:spacing w:line="360" w:lineRule="auto"/>
              <w:jc w:val="both"/>
              <w:rPr>
                <w:rFonts w:hint="eastAsia" w:ascii="宋体" w:hAnsi="宋体" w:eastAsia="宋体" w:cs="宋体"/>
                <w:color w:val="auto"/>
                <w:kern w:val="2"/>
                <w:sz w:val="21"/>
                <w:szCs w:val="21"/>
                <w:lang w:val="en-US" w:eastAsia="zh-CN" w:bidi="ar-SA"/>
              </w:rPr>
            </w:pPr>
          </w:p>
          <w:p w14:paraId="6D3EAD66">
            <w:pPr>
              <w:spacing w:line="360" w:lineRule="auto"/>
              <w:ind w:firstLine="0"/>
              <w:rPr>
                <w:rFonts w:hint="eastAsia" w:ascii="宋体" w:hAnsi="宋体" w:eastAsia="宋体" w:cs="宋体"/>
                <w:color w:val="auto"/>
              </w:rPr>
            </w:pPr>
          </w:p>
          <w:p w14:paraId="202AB87F">
            <w:pPr>
              <w:adjustRightInd w:val="0"/>
              <w:snapToGrid w:val="0"/>
              <w:spacing w:line="360" w:lineRule="auto"/>
              <w:ind w:firstLine="6090" w:firstLineChars="2900"/>
              <w:rPr>
                <w:rFonts w:hint="eastAsia" w:ascii="宋体" w:hAnsi="宋体" w:eastAsia="宋体" w:cs="宋体"/>
                <w:color w:val="auto"/>
              </w:rPr>
            </w:pPr>
            <w:r>
              <w:rPr>
                <w:rFonts w:hint="eastAsia" w:ascii="宋体" w:hAnsi="宋体" w:eastAsia="宋体" w:cs="宋体"/>
                <w:color w:val="auto"/>
                <w:kern w:val="0"/>
              </w:rPr>
              <w:t>（监督抽查机构盖章）</w:t>
            </w:r>
          </w:p>
          <w:p w14:paraId="133BC0B5">
            <w:pPr>
              <w:spacing w:line="360" w:lineRule="auto"/>
              <w:ind w:firstLine="0"/>
              <w:rPr>
                <w:rFonts w:hint="eastAsia" w:ascii="宋体" w:hAnsi="宋体" w:eastAsia="宋体" w:cs="宋体"/>
                <w:color w:val="auto"/>
              </w:rPr>
            </w:pPr>
          </w:p>
          <w:p w14:paraId="1B4CCA0B">
            <w:pPr>
              <w:adjustRightInd w:val="0"/>
              <w:snapToGrid w:val="0"/>
              <w:spacing w:line="360" w:lineRule="auto"/>
              <w:ind w:firstLine="0"/>
              <w:rPr>
                <w:rFonts w:hint="eastAsia" w:ascii="宋体" w:hAnsi="宋体" w:eastAsia="宋体" w:cs="宋体"/>
                <w:color w:val="auto"/>
              </w:rPr>
            </w:pPr>
            <w:r>
              <w:rPr>
                <w:rFonts w:hint="eastAsia" w:ascii="宋体" w:hAnsi="宋体" w:eastAsia="宋体" w:cs="宋体"/>
                <w:color w:val="auto"/>
                <w:kern w:val="0"/>
              </w:rPr>
              <w:t>监督抽查人员：</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日    期：</w:t>
            </w:r>
            <w:r>
              <w:rPr>
                <w:rFonts w:hint="eastAsia" w:ascii="宋体" w:hAnsi="宋体" w:eastAsia="宋体" w:cs="宋体"/>
                <w:color w:val="auto"/>
                <w:kern w:val="0"/>
                <w:u w:val="single"/>
              </w:rPr>
              <w:t xml:space="preserve">      </w:t>
            </w:r>
            <w:r>
              <w:rPr>
                <w:rFonts w:hint="eastAsia" w:ascii="宋体" w:hAnsi="宋体" w:eastAsia="宋体" w:cs="宋体"/>
                <w:color w:val="auto"/>
                <w:kern w:val="0"/>
              </w:rPr>
              <w:t>年</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w:t>
            </w:r>
          </w:p>
        </w:tc>
      </w:tr>
      <w:tr w14:paraId="4025D67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20" w:hRule="atLeast"/>
          <w:jc w:val="center"/>
        </w:trPr>
        <w:tc>
          <w:tcPr>
            <w:tcW w:w="8787" w:type="dxa"/>
            <w:vAlign w:val="center"/>
          </w:tcPr>
          <w:p w14:paraId="5754626F">
            <w:pPr>
              <w:adjustRightInd w:val="0"/>
              <w:snapToGrid w:val="0"/>
              <w:spacing w:line="360" w:lineRule="auto"/>
              <w:ind w:firstLine="3780" w:firstLineChars="1800"/>
              <w:rPr>
                <w:rFonts w:hint="eastAsia" w:ascii="宋体" w:hAnsi="宋体" w:eastAsia="宋体" w:cs="宋体"/>
                <w:color w:val="auto"/>
              </w:rPr>
            </w:pPr>
            <w:r>
              <w:rPr>
                <w:rFonts w:hint="eastAsia" w:ascii="宋体" w:hAnsi="宋体" w:eastAsia="宋体" w:cs="宋体"/>
                <w:color w:val="auto"/>
                <w:kern w:val="0"/>
              </w:rPr>
              <w:t>被抽查单位现场配合人员签字：</w:t>
            </w:r>
          </w:p>
          <w:p w14:paraId="23C6B304">
            <w:pPr>
              <w:adjustRightInd w:val="0"/>
              <w:snapToGrid w:val="0"/>
              <w:spacing w:line="360" w:lineRule="auto"/>
              <w:ind w:firstLine="5670" w:firstLineChars="2700"/>
              <w:rPr>
                <w:rFonts w:hint="eastAsia" w:ascii="宋体" w:hAnsi="宋体" w:eastAsia="宋体" w:cs="宋体"/>
                <w:color w:val="auto"/>
                <w:kern w:val="0"/>
              </w:rPr>
            </w:pPr>
            <w:r>
              <w:rPr>
                <w:rFonts w:hint="eastAsia" w:ascii="宋体" w:hAnsi="宋体" w:eastAsia="宋体" w:cs="宋体"/>
                <w:color w:val="auto"/>
                <w:kern w:val="0"/>
              </w:rPr>
              <w:t>联系电话：</w:t>
            </w:r>
          </w:p>
          <w:p w14:paraId="153F5BC1">
            <w:pPr>
              <w:adjustRightInd w:val="0"/>
              <w:snapToGrid w:val="0"/>
              <w:spacing w:line="360" w:lineRule="auto"/>
              <w:ind w:firstLine="5670" w:firstLineChars="2700"/>
              <w:rPr>
                <w:rFonts w:hint="eastAsia" w:ascii="宋体" w:hAnsi="宋体" w:eastAsia="宋体" w:cs="宋体"/>
                <w:color w:val="auto"/>
                <w:kern w:val="0"/>
              </w:rPr>
            </w:pPr>
            <w:r>
              <w:rPr>
                <w:rFonts w:hint="eastAsia" w:ascii="宋体" w:hAnsi="宋体" w:eastAsia="宋体" w:cs="宋体"/>
                <w:color w:val="auto"/>
                <w:kern w:val="0"/>
              </w:rPr>
              <w:t>日    期：</w:t>
            </w:r>
            <w:r>
              <w:rPr>
                <w:rFonts w:hint="eastAsia" w:ascii="宋体" w:hAnsi="宋体" w:eastAsia="宋体" w:cs="宋体"/>
                <w:color w:val="auto"/>
                <w:kern w:val="0"/>
                <w:u w:val="single"/>
              </w:rPr>
              <w:t xml:space="preserve">      </w:t>
            </w:r>
            <w:r>
              <w:rPr>
                <w:rFonts w:hint="eastAsia" w:ascii="宋体" w:hAnsi="宋体" w:eastAsia="宋体" w:cs="宋体"/>
                <w:color w:val="auto"/>
                <w:kern w:val="0"/>
              </w:rPr>
              <w:t>年</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w:t>
            </w:r>
          </w:p>
        </w:tc>
      </w:tr>
      <w:tr w14:paraId="76CC9A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84" w:hRule="atLeast"/>
          <w:jc w:val="center"/>
        </w:trPr>
        <w:tc>
          <w:tcPr>
            <w:tcW w:w="8787" w:type="dxa"/>
            <w:vAlign w:val="center"/>
          </w:tcPr>
          <w:p w14:paraId="50310F5D">
            <w:pPr>
              <w:spacing w:line="360" w:lineRule="auto"/>
              <w:ind w:firstLine="0"/>
              <w:rPr>
                <w:rFonts w:hint="eastAsia" w:ascii="宋体" w:hAnsi="宋体" w:eastAsia="宋体" w:cs="宋体"/>
                <w:color w:val="auto"/>
                <w:kern w:val="0"/>
              </w:rPr>
            </w:pPr>
            <w:bookmarkStart w:id="10" w:name="OLE_LINK9"/>
            <w:r>
              <w:rPr>
                <w:rFonts w:hint="eastAsia" w:ascii="宋体" w:hAnsi="宋体" w:eastAsia="宋体" w:cs="宋体"/>
                <w:color w:val="auto"/>
                <w:kern w:val="0"/>
              </w:rPr>
              <w:t>整改结果：□以上项目已整改完毕。    □</w:t>
            </w:r>
            <w:r>
              <w:rPr>
                <w:rFonts w:hint="eastAsia" w:ascii="宋体" w:hAnsi="宋体" w:eastAsia="宋体" w:cs="宋体"/>
                <w:color w:val="auto"/>
                <w:kern w:val="0"/>
                <w:u w:val="single"/>
              </w:rPr>
              <w:t xml:space="preserve">                                 </w:t>
            </w:r>
          </w:p>
          <w:p w14:paraId="0DA54105">
            <w:pPr>
              <w:spacing w:line="360" w:lineRule="auto"/>
              <w:ind w:firstLine="0"/>
              <w:rPr>
                <w:rFonts w:hint="eastAsia" w:ascii="宋体" w:hAnsi="宋体" w:eastAsia="宋体" w:cs="宋体"/>
                <w:color w:val="auto"/>
                <w:kern w:val="0"/>
              </w:rPr>
            </w:pPr>
          </w:p>
          <w:p w14:paraId="02E39A9B">
            <w:pPr>
              <w:spacing w:line="360" w:lineRule="auto"/>
              <w:ind w:firstLine="0"/>
              <w:rPr>
                <w:rFonts w:hint="eastAsia" w:ascii="宋体" w:hAnsi="宋体" w:eastAsia="宋体" w:cs="宋体"/>
                <w:color w:val="auto"/>
                <w:kern w:val="0"/>
              </w:rPr>
            </w:pPr>
          </w:p>
          <w:p w14:paraId="2AA774FC">
            <w:pPr>
              <w:spacing w:line="360" w:lineRule="auto"/>
              <w:ind w:firstLine="4410" w:firstLineChars="2100"/>
              <w:rPr>
                <w:rFonts w:hint="eastAsia" w:ascii="宋体" w:hAnsi="宋体" w:eastAsia="宋体" w:cs="宋体"/>
                <w:color w:val="auto"/>
                <w:kern w:val="0"/>
              </w:rPr>
            </w:pPr>
            <w:r>
              <w:rPr>
                <w:rFonts w:hint="eastAsia" w:ascii="宋体" w:hAnsi="宋体" w:eastAsia="宋体" w:cs="宋体"/>
                <w:color w:val="auto"/>
                <w:kern w:val="0"/>
              </w:rPr>
              <w:t>检验机构（检测单位）：（签章）</w:t>
            </w:r>
          </w:p>
          <w:p w14:paraId="6A4A5D5C">
            <w:pPr>
              <w:spacing w:line="360" w:lineRule="auto"/>
              <w:ind w:firstLine="0"/>
              <w:rPr>
                <w:rFonts w:hint="eastAsia" w:ascii="宋体" w:hAnsi="宋体" w:eastAsia="宋体" w:cs="宋体"/>
                <w:color w:val="auto"/>
                <w:kern w:val="0"/>
              </w:rPr>
            </w:pPr>
          </w:p>
          <w:p w14:paraId="313BB306">
            <w:pPr>
              <w:spacing w:line="360" w:lineRule="auto"/>
              <w:ind w:firstLine="0"/>
              <w:rPr>
                <w:rFonts w:hint="eastAsia" w:ascii="宋体" w:hAnsi="宋体" w:eastAsia="宋体" w:cs="宋体"/>
                <w:color w:val="auto"/>
              </w:rPr>
            </w:pPr>
            <w:r>
              <w:rPr>
                <w:rFonts w:hint="eastAsia" w:ascii="宋体" w:hAnsi="宋体" w:eastAsia="宋体" w:cs="宋体"/>
                <w:color w:val="auto"/>
                <w:kern w:val="0"/>
              </w:rPr>
              <w:t xml:space="preserve">                                                      日    期：</w:t>
            </w:r>
            <w:r>
              <w:rPr>
                <w:rFonts w:hint="eastAsia" w:ascii="宋体" w:hAnsi="宋体" w:eastAsia="宋体" w:cs="宋体"/>
                <w:color w:val="auto"/>
                <w:kern w:val="0"/>
                <w:u w:val="single"/>
              </w:rPr>
              <w:t xml:space="preserve">      </w:t>
            </w:r>
            <w:r>
              <w:rPr>
                <w:rFonts w:hint="eastAsia" w:ascii="宋体" w:hAnsi="宋体" w:eastAsia="宋体" w:cs="宋体"/>
                <w:color w:val="auto"/>
                <w:kern w:val="0"/>
              </w:rPr>
              <w:t>年</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w:t>
            </w:r>
            <w:bookmarkEnd w:id="10"/>
          </w:p>
        </w:tc>
      </w:tr>
      <w:tr w14:paraId="6E0BBEE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65" w:hRule="atLeast"/>
          <w:jc w:val="center"/>
        </w:trPr>
        <w:tc>
          <w:tcPr>
            <w:tcW w:w="8787" w:type="dxa"/>
            <w:vAlign w:val="center"/>
          </w:tcPr>
          <w:p w14:paraId="558759AF">
            <w:pPr>
              <w:adjustRightInd w:val="0"/>
              <w:snapToGrid w:val="0"/>
              <w:spacing w:line="360" w:lineRule="auto"/>
              <w:ind w:firstLine="0"/>
              <w:rPr>
                <w:rFonts w:hint="eastAsia" w:ascii="宋体" w:hAnsi="宋体" w:eastAsia="宋体" w:cs="宋体"/>
                <w:color w:val="auto"/>
                <w:kern w:val="0"/>
              </w:rPr>
            </w:pPr>
            <w:r>
              <w:rPr>
                <w:rFonts w:hint="eastAsia" w:ascii="宋体" w:hAnsi="宋体" w:eastAsia="宋体" w:cs="宋体"/>
                <w:color w:val="auto"/>
                <w:kern w:val="0"/>
              </w:rPr>
              <w:t>复查结果：</w:t>
            </w:r>
          </w:p>
          <w:p w14:paraId="5B08BCB0">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经（□资料□现场）确认（□全部□部分）（□符合□不符合）整改要求。</w:t>
            </w:r>
            <w:r>
              <w:rPr>
                <w:rFonts w:hint="eastAsia" w:ascii="宋体" w:hAnsi="宋体" w:eastAsia="宋体" w:cs="宋体"/>
                <w:color w:val="auto"/>
                <w:kern w:val="0"/>
              </w:rPr>
              <w:t xml:space="preserve">   </w:t>
            </w:r>
            <w:r>
              <w:rPr>
                <w:rFonts w:hint="eastAsia" w:ascii="宋体" w:hAnsi="宋体" w:eastAsia="宋体" w:cs="宋体"/>
                <w:color w:val="auto"/>
                <w:kern w:val="0"/>
              </w:rPr>
              <w:t xml:space="preserve">                       </w:t>
            </w:r>
          </w:p>
          <w:p w14:paraId="5DA796D5">
            <w:pPr>
              <w:widowControl w:val="0"/>
              <w:spacing w:line="360" w:lineRule="auto"/>
              <w:ind w:firstLine="405"/>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不符合项目：</w:t>
            </w:r>
          </w:p>
          <w:p w14:paraId="693AB005">
            <w:pPr>
              <w:spacing w:line="360" w:lineRule="auto"/>
              <w:ind w:firstLine="0"/>
              <w:rPr>
                <w:rFonts w:hint="eastAsia" w:ascii="宋体" w:hAnsi="宋体" w:eastAsia="宋体" w:cs="宋体"/>
                <w:color w:val="auto"/>
              </w:rPr>
            </w:pPr>
          </w:p>
          <w:p w14:paraId="5AA73250">
            <w:pPr>
              <w:spacing w:line="360" w:lineRule="auto"/>
              <w:ind w:firstLine="0"/>
              <w:rPr>
                <w:rFonts w:hint="eastAsia" w:ascii="宋体" w:hAnsi="宋体" w:eastAsia="宋体" w:cs="宋体"/>
                <w:color w:val="auto"/>
                <w:kern w:val="0"/>
              </w:rPr>
            </w:pPr>
          </w:p>
          <w:p w14:paraId="4B372E51">
            <w:pPr>
              <w:spacing w:line="360" w:lineRule="auto"/>
              <w:ind w:firstLine="6090" w:firstLineChars="2900"/>
              <w:rPr>
                <w:rFonts w:hint="eastAsia" w:ascii="宋体" w:hAnsi="宋体" w:eastAsia="宋体" w:cs="宋体"/>
                <w:color w:val="auto"/>
              </w:rPr>
            </w:pPr>
            <w:r>
              <w:rPr>
                <w:rFonts w:hint="eastAsia" w:ascii="宋体" w:hAnsi="宋体" w:eastAsia="宋体" w:cs="宋体"/>
                <w:color w:val="auto"/>
                <w:kern w:val="0"/>
              </w:rPr>
              <w:t>（监督抽查机构盖章）</w:t>
            </w:r>
          </w:p>
          <w:p w14:paraId="7A5E7CF8">
            <w:pPr>
              <w:spacing w:line="360" w:lineRule="auto"/>
              <w:ind w:firstLine="0"/>
              <w:rPr>
                <w:rFonts w:hint="eastAsia" w:ascii="宋体" w:hAnsi="宋体" w:eastAsia="宋体" w:cs="宋体"/>
                <w:color w:val="auto"/>
                <w:kern w:val="0"/>
              </w:rPr>
            </w:pPr>
          </w:p>
          <w:p w14:paraId="265B901F">
            <w:pPr>
              <w:spacing w:line="360" w:lineRule="auto"/>
              <w:ind w:firstLine="0"/>
              <w:rPr>
                <w:rFonts w:hint="eastAsia" w:ascii="宋体" w:hAnsi="宋体" w:eastAsia="宋体" w:cs="宋体"/>
                <w:color w:val="auto"/>
                <w:kern w:val="0"/>
              </w:rPr>
            </w:pPr>
            <w:r>
              <w:rPr>
                <w:rFonts w:hint="eastAsia" w:ascii="宋体" w:hAnsi="宋体" w:eastAsia="宋体" w:cs="宋体"/>
                <w:color w:val="auto"/>
                <w:kern w:val="0"/>
              </w:rPr>
              <w:t>监督抽查人员：</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日    期：</w:t>
            </w:r>
            <w:r>
              <w:rPr>
                <w:rFonts w:hint="eastAsia" w:ascii="宋体" w:hAnsi="宋体" w:eastAsia="宋体" w:cs="宋体"/>
                <w:color w:val="auto"/>
                <w:kern w:val="0"/>
                <w:u w:val="single"/>
              </w:rPr>
              <w:t xml:space="preserve">      </w:t>
            </w:r>
            <w:r>
              <w:rPr>
                <w:rFonts w:hint="eastAsia" w:ascii="宋体" w:hAnsi="宋体" w:eastAsia="宋体" w:cs="宋体"/>
                <w:color w:val="auto"/>
                <w:kern w:val="0"/>
              </w:rPr>
              <w:t>年</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w:t>
            </w:r>
          </w:p>
        </w:tc>
      </w:tr>
    </w:tbl>
    <w:p w14:paraId="1EC248B7">
      <w:pPr>
        <w:tabs>
          <w:tab w:val="center" w:pos="4422"/>
          <w:tab w:val="left" w:pos="6630"/>
        </w:tabs>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注：1.此通知书被抽查单位、监管部门、监督抽查机构各一份;2.本通知书电子文件(PDF 格式)经数字签名技术签章。根据《中华人民共和国电子签名法》的规定，和手写签名或加盖印章的纸质报告具有同等法律效力。</w:t>
      </w:r>
    </w:p>
    <w:p w14:paraId="05F893D5">
      <w:pPr>
        <w:tabs>
          <w:tab w:val="center" w:pos="4422"/>
          <w:tab w:val="left" w:pos="6630"/>
        </w:tabs>
        <w:spacing w:line="360" w:lineRule="exact"/>
        <w:ind w:firstLine="0"/>
        <w:jc w:val="center"/>
        <w:rPr>
          <w:rFonts w:hint="eastAsia" w:ascii="宋体" w:hAnsi="宋体" w:eastAsia="宋体" w:cs="宋体"/>
          <w:bCs/>
          <w:color w:val="auto"/>
          <w:sz w:val="32"/>
          <w:szCs w:val="32"/>
        </w:rPr>
      </w:pPr>
      <w:r>
        <w:rPr>
          <w:rFonts w:hint="eastAsia" w:ascii="宋体" w:hAnsi="宋体" w:eastAsia="宋体" w:cs="宋体"/>
          <w:bCs/>
          <w:color w:val="auto"/>
          <w:sz w:val="44"/>
          <w:szCs w:val="44"/>
        </w:rPr>
        <w:br w:type="page"/>
      </w:r>
      <w:bookmarkStart w:id="11" w:name="_Hlk197507149"/>
      <w:r>
        <w:rPr>
          <w:rFonts w:hint="eastAsia" w:ascii="宋体" w:hAnsi="宋体" w:eastAsia="宋体" w:cs="宋体"/>
          <w:bCs/>
          <w:color w:val="auto"/>
          <w:sz w:val="32"/>
          <w:szCs w:val="32"/>
        </w:rPr>
        <w:t>严重事故隐患（重大违法行为）报告单</w:t>
      </w:r>
      <w:bookmarkEnd w:id="11"/>
    </w:p>
    <w:p w14:paraId="37D4B697">
      <w:pPr>
        <w:wordWrap w:val="0"/>
        <w:spacing w:line="360" w:lineRule="auto"/>
        <w:ind w:right="-85" w:firstLine="0"/>
        <w:rPr>
          <w:rFonts w:hint="eastAsia" w:ascii="宋体" w:hAnsi="宋体" w:eastAsia="宋体" w:cs="宋体"/>
          <w:color w:val="auto"/>
          <w:kern w:val="0"/>
          <w:sz w:val="24"/>
          <w:szCs w:val="24"/>
          <w:u w:val="single"/>
        </w:rPr>
      </w:pPr>
      <w:r>
        <w:rPr>
          <w:rFonts w:hint="eastAsia" w:ascii="宋体" w:hAnsi="宋体" w:eastAsia="宋体" w:cs="宋体"/>
          <w:color w:val="auto"/>
          <w:kern w:val="0"/>
          <w:szCs w:val="32"/>
        </w:rPr>
        <w:t xml:space="preserve">        </w:t>
      </w:r>
      <w:r>
        <w:rPr>
          <w:rFonts w:hint="eastAsia" w:ascii="宋体" w:hAnsi="宋体" w:eastAsia="宋体" w:cs="宋体"/>
          <w:color w:val="auto"/>
          <w:kern w:val="0"/>
          <w:sz w:val="24"/>
          <w:szCs w:val="24"/>
        </w:rPr>
        <w:t xml:space="preserve">                                                       编号：</w:t>
      </w:r>
      <w:r>
        <w:rPr>
          <w:rFonts w:hint="eastAsia" w:ascii="宋体" w:hAnsi="宋体" w:eastAsia="宋体" w:cs="宋体"/>
          <w:color w:val="auto"/>
          <w:kern w:val="0"/>
          <w:sz w:val="24"/>
          <w:szCs w:val="24"/>
          <w:u w:val="single"/>
        </w:rPr>
        <w:t xml:space="preserve">               </w:t>
      </w:r>
    </w:p>
    <w:tbl>
      <w:tblPr>
        <w:tblStyle w:val="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2112"/>
        <w:gridCol w:w="3061"/>
        <w:gridCol w:w="1125"/>
        <w:gridCol w:w="2224"/>
      </w:tblGrid>
      <w:tr w14:paraId="62F8D5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2112" w:type="dxa"/>
            <w:vAlign w:val="center"/>
          </w:tcPr>
          <w:p w14:paraId="198EB8CE">
            <w:pPr>
              <w:widowControl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被抽查单位</w:t>
            </w:r>
          </w:p>
        </w:tc>
        <w:tc>
          <w:tcPr>
            <w:tcW w:w="6702" w:type="dxa"/>
            <w:gridSpan w:val="3"/>
            <w:vAlign w:val="center"/>
          </w:tcPr>
          <w:p w14:paraId="35669A8F">
            <w:pPr>
              <w:widowControl w:val="0"/>
              <w:spacing w:line="360" w:lineRule="auto"/>
              <w:jc w:val="center"/>
              <w:rPr>
                <w:rFonts w:hint="eastAsia" w:ascii="宋体" w:hAnsi="宋体" w:eastAsia="宋体" w:cs="宋体"/>
                <w:color w:val="auto"/>
                <w:kern w:val="2"/>
                <w:sz w:val="24"/>
                <w:szCs w:val="24"/>
                <w:lang w:val="en-US" w:eastAsia="zh-CN" w:bidi="ar-SA"/>
              </w:rPr>
            </w:pPr>
          </w:p>
        </w:tc>
      </w:tr>
      <w:tr w14:paraId="0BC9FC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2112" w:type="dxa"/>
            <w:vAlign w:val="center"/>
          </w:tcPr>
          <w:p w14:paraId="1B2AF444">
            <w:pPr>
              <w:widowControl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单位地址</w:t>
            </w:r>
          </w:p>
        </w:tc>
        <w:tc>
          <w:tcPr>
            <w:tcW w:w="6702" w:type="dxa"/>
            <w:gridSpan w:val="3"/>
            <w:vAlign w:val="center"/>
          </w:tcPr>
          <w:p w14:paraId="281EA643">
            <w:pPr>
              <w:widowControl w:val="0"/>
              <w:spacing w:line="360" w:lineRule="auto"/>
              <w:jc w:val="center"/>
              <w:rPr>
                <w:rFonts w:hint="eastAsia" w:ascii="宋体" w:hAnsi="宋体" w:eastAsia="宋体" w:cs="宋体"/>
                <w:color w:val="auto"/>
                <w:kern w:val="2"/>
                <w:sz w:val="24"/>
                <w:szCs w:val="24"/>
                <w:lang w:val="en-US" w:eastAsia="zh-CN" w:bidi="ar-SA"/>
              </w:rPr>
            </w:pPr>
          </w:p>
        </w:tc>
      </w:tr>
      <w:tr w14:paraId="3D4026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2112" w:type="dxa"/>
            <w:vAlign w:val="center"/>
          </w:tcPr>
          <w:p w14:paraId="70364BBF">
            <w:pPr>
              <w:widowControl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现场负责人</w:t>
            </w:r>
          </w:p>
        </w:tc>
        <w:tc>
          <w:tcPr>
            <w:tcW w:w="3224" w:type="dxa"/>
            <w:vAlign w:val="center"/>
          </w:tcPr>
          <w:p w14:paraId="0419BA99">
            <w:pPr>
              <w:widowControl w:val="0"/>
              <w:spacing w:line="360" w:lineRule="auto"/>
              <w:jc w:val="center"/>
              <w:rPr>
                <w:rFonts w:hint="eastAsia" w:ascii="宋体" w:hAnsi="宋体" w:eastAsia="宋体" w:cs="宋体"/>
                <w:color w:val="auto"/>
                <w:kern w:val="2"/>
                <w:sz w:val="24"/>
                <w:szCs w:val="24"/>
                <w:lang w:val="en-US" w:eastAsia="zh-CN" w:bidi="ar-SA"/>
              </w:rPr>
            </w:pPr>
          </w:p>
        </w:tc>
        <w:tc>
          <w:tcPr>
            <w:tcW w:w="1125" w:type="dxa"/>
            <w:vAlign w:val="center"/>
          </w:tcPr>
          <w:p w14:paraId="7EEC0067">
            <w:pPr>
              <w:widowControl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联系方式</w:t>
            </w:r>
          </w:p>
        </w:tc>
        <w:tc>
          <w:tcPr>
            <w:tcW w:w="2353" w:type="dxa"/>
            <w:vAlign w:val="center"/>
          </w:tcPr>
          <w:p w14:paraId="386ED277">
            <w:pPr>
              <w:widowControl w:val="0"/>
              <w:spacing w:line="360" w:lineRule="auto"/>
              <w:jc w:val="center"/>
              <w:rPr>
                <w:rFonts w:hint="eastAsia" w:ascii="宋体" w:hAnsi="宋体" w:eastAsia="宋体" w:cs="宋体"/>
                <w:color w:val="auto"/>
                <w:kern w:val="2"/>
                <w:sz w:val="24"/>
                <w:szCs w:val="24"/>
                <w:lang w:val="en-US" w:eastAsia="zh-CN" w:bidi="ar-SA"/>
              </w:rPr>
            </w:pPr>
          </w:p>
        </w:tc>
      </w:tr>
      <w:tr w14:paraId="2E4BD70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2112" w:type="dxa"/>
            <w:vAlign w:val="center"/>
          </w:tcPr>
          <w:p w14:paraId="49740DB1">
            <w:pPr>
              <w:widowControl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设备注册代码</w:t>
            </w:r>
          </w:p>
        </w:tc>
        <w:tc>
          <w:tcPr>
            <w:tcW w:w="3224" w:type="dxa"/>
            <w:vAlign w:val="center"/>
          </w:tcPr>
          <w:p w14:paraId="6B19E3DA">
            <w:pPr>
              <w:widowControl w:val="0"/>
              <w:spacing w:line="360" w:lineRule="auto"/>
              <w:jc w:val="center"/>
              <w:rPr>
                <w:rFonts w:hint="eastAsia" w:ascii="宋体" w:hAnsi="宋体" w:eastAsia="宋体" w:cs="宋体"/>
                <w:color w:val="auto"/>
                <w:kern w:val="2"/>
                <w:sz w:val="24"/>
                <w:szCs w:val="24"/>
                <w:lang w:val="en-US" w:eastAsia="zh-CN" w:bidi="ar-SA"/>
              </w:rPr>
            </w:pPr>
          </w:p>
        </w:tc>
        <w:tc>
          <w:tcPr>
            <w:tcW w:w="1125" w:type="dxa"/>
            <w:vAlign w:val="center"/>
          </w:tcPr>
          <w:p w14:paraId="6833ABC1">
            <w:pPr>
              <w:widowControl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产品编号</w:t>
            </w:r>
          </w:p>
        </w:tc>
        <w:tc>
          <w:tcPr>
            <w:tcW w:w="2353" w:type="dxa"/>
            <w:vAlign w:val="center"/>
          </w:tcPr>
          <w:p w14:paraId="5556CDF2">
            <w:pPr>
              <w:widowControl w:val="0"/>
              <w:spacing w:line="360" w:lineRule="auto"/>
              <w:jc w:val="center"/>
              <w:rPr>
                <w:rFonts w:hint="eastAsia" w:ascii="宋体" w:hAnsi="宋体" w:eastAsia="宋体" w:cs="宋体"/>
                <w:color w:val="auto"/>
                <w:kern w:val="2"/>
                <w:sz w:val="24"/>
                <w:szCs w:val="24"/>
                <w:lang w:val="en-US" w:eastAsia="zh-CN" w:bidi="ar-SA"/>
              </w:rPr>
            </w:pPr>
          </w:p>
        </w:tc>
      </w:tr>
      <w:tr w14:paraId="32EBEA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2112" w:type="dxa"/>
            <w:vAlign w:val="center"/>
          </w:tcPr>
          <w:p w14:paraId="489B9A20">
            <w:pPr>
              <w:widowControl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设备使用地点</w:t>
            </w:r>
          </w:p>
        </w:tc>
        <w:tc>
          <w:tcPr>
            <w:tcW w:w="6702" w:type="dxa"/>
            <w:gridSpan w:val="3"/>
            <w:vAlign w:val="center"/>
          </w:tcPr>
          <w:p w14:paraId="7CFA3292">
            <w:pPr>
              <w:widowControl w:val="0"/>
              <w:spacing w:line="360" w:lineRule="auto"/>
              <w:jc w:val="center"/>
              <w:rPr>
                <w:rFonts w:hint="eastAsia" w:ascii="宋体" w:hAnsi="宋体" w:eastAsia="宋体" w:cs="宋体"/>
                <w:color w:val="auto"/>
                <w:kern w:val="2"/>
                <w:sz w:val="24"/>
                <w:szCs w:val="24"/>
                <w:lang w:val="en-US" w:eastAsia="zh-CN" w:bidi="ar-SA"/>
              </w:rPr>
            </w:pPr>
          </w:p>
        </w:tc>
      </w:tr>
      <w:tr w14:paraId="334D30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520" w:hRule="atLeast"/>
          <w:jc w:val="center"/>
        </w:trPr>
        <w:tc>
          <w:tcPr>
            <w:tcW w:w="8814" w:type="dxa"/>
            <w:gridSpan w:val="4"/>
            <w:vAlign w:val="center"/>
          </w:tcPr>
          <w:p w14:paraId="31033B0D">
            <w:pPr>
              <w:adjustRightInd w:val="0"/>
              <w:snapToGrid w:val="0"/>
              <w:spacing w:line="360" w:lineRule="auto"/>
              <w:ind w:firstLine="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□严重事故隐患</w:t>
            </w:r>
          </w:p>
          <w:p w14:paraId="65A398AE">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□1.特种设备未取得许可生产、国家明令淘汰、已经报废或者达到报废条件，继续使用的；</w:t>
            </w:r>
          </w:p>
          <w:p w14:paraId="561FD474">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□2.特种设备未经监督检验或者经检验、检测不合格，继续使用的；</w:t>
            </w:r>
          </w:p>
          <w:p w14:paraId="4B0FBE64">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□3.特种设备安全附件、安全保护装置缺失或者失灵，继续使用的；</w:t>
            </w:r>
          </w:p>
          <w:p w14:paraId="148623D4">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□4.特种设备发生过事故或者明显故障，未对其进行全面检查、消除事故隐患，继续使用的；</w:t>
            </w:r>
          </w:p>
          <w:p w14:paraId="0EF865CD">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□5.特种设备超过规定参数、适用范围使用的；</w:t>
            </w:r>
          </w:p>
          <w:p w14:paraId="5FC667A8">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□6.市场监督管理部门认为属于严重事故隐患的其他情形。</w:t>
            </w:r>
          </w:p>
          <w:p w14:paraId="2D03E1C1">
            <w:pPr>
              <w:adjustRightInd w:val="0"/>
              <w:snapToGrid w:val="0"/>
              <w:spacing w:line="360" w:lineRule="auto"/>
              <w:ind w:firstLine="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□重大违法行为</w:t>
            </w:r>
          </w:p>
          <w:p w14:paraId="5E87911B">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□1.未经许可，擅自从事特种设备生产、电梯维护保养的；</w:t>
            </w:r>
          </w:p>
          <w:p w14:paraId="2D35BA2A">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□2.未经核准，擅自从事特种设备检验、检测的；</w:t>
            </w:r>
          </w:p>
          <w:p w14:paraId="415BD389">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□3.特种设备生产单位生产、销售、交付国家明令淘汰的特种设备，或者涂改、倒卖、出租、出借生产许可证的；</w:t>
            </w:r>
          </w:p>
          <w:p w14:paraId="14D7BB73">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□4.特种设备经营单位销售、出租未取得许可生产、未经检验或者检验不合格、国家命令淘汰、已经报废的特种设备；</w:t>
            </w:r>
          </w:p>
          <w:p w14:paraId="1FBA9FE2">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□5.谎报或者瞒报特种设备事故的；</w:t>
            </w:r>
          </w:p>
          <w:p w14:paraId="22F01619">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□6.检验、检测机构和人员出具虚假报告或者严重失实的检验、检测结果和鉴定结论的；</w:t>
            </w:r>
          </w:p>
          <w:p w14:paraId="37A92991">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□7.被检查单位对严重事故隐患不予以整改或者消除的；</w:t>
            </w:r>
          </w:p>
          <w:p w14:paraId="6F02BFF1">
            <w:pPr>
              <w:adjustRightInd w:val="0"/>
              <w:snapToGrid w:val="0"/>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□8.法律、行政法规和部门规章规定的其他重大违法行为。</w:t>
            </w:r>
          </w:p>
          <w:p w14:paraId="3F05B659">
            <w:pPr>
              <w:adjustRightInd w:val="0"/>
              <w:snapToGri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kern w:val="0"/>
                <w:sz w:val="24"/>
                <w:szCs w:val="24"/>
              </w:rPr>
              <w:t>监督抽查中存在严重事故隐患（重大违法行为）记录：</w:t>
            </w:r>
          </w:p>
          <w:p w14:paraId="05735F14">
            <w:pPr>
              <w:spacing w:line="360" w:lineRule="auto"/>
              <w:ind w:firstLine="0"/>
              <w:rPr>
                <w:rFonts w:hint="eastAsia" w:ascii="宋体" w:hAnsi="宋体" w:eastAsia="宋体" w:cs="宋体"/>
                <w:color w:val="auto"/>
                <w:sz w:val="24"/>
                <w:szCs w:val="24"/>
              </w:rPr>
            </w:pPr>
          </w:p>
          <w:p w14:paraId="2213F78C">
            <w:pPr>
              <w:widowControl w:val="0"/>
              <w:spacing w:line="360" w:lineRule="auto"/>
              <w:jc w:val="both"/>
              <w:rPr>
                <w:rFonts w:hint="eastAsia" w:ascii="宋体" w:hAnsi="宋体" w:eastAsia="宋体" w:cs="宋体"/>
                <w:color w:val="auto"/>
                <w:kern w:val="2"/>
                <w:sz w:val="24"/>
                <w:szCs w:val="24"/>
                <w:lang w:val="en-US" w:eastAsia="zh-CN" w:bidi="ar-SA"/>
              </w:rPr>
            </w:pPr>
          </w:p>
          <w:p w14:paraId="2DB1AD1C">
            <w:pPr>
              <w:widowControl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□整改完成前及时采取监护措施，对设备进行监护使用；</w:t>
            </w:r>
          </w:p>
          <w:p w14:paraId="3B63A07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kern w:val="0"/>
                <w:sz w:val="24"/>
                <w:szCs w:val="24"/>
              </w:rPr>
              <w:t>□立即停止使用，进行整改消除隐患，经监督抽查机构复查合格后方可投入使用。</w:t>
            </w:r>
          </w:p>
        </w:tc>
      </w:tr>
      <w:tr w14:paraId="11F6B16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04" w:hRule="atLeast"/>
          <w:jc w:val="center"/>
        </w:trPr>
        <w:tc>
          <w:tcPr>
            <w:tcW w:w="8814" w:type="dxa"/>
            <w:gridSpan w:val="4"/>
            <w:vAlign w:val="center"/>
          </w:tcPr>
          <w:p w14:paraId="4976306B">
            <w:pPr>
              <w:widowControl w:val="0"/>
              <w:spacing w:line="360" w:lineRule="auto"/>
              <w:jc w:val="both"/>
              <w:rPr>
                <w:rFonts w:hint="eastAsia" w:ascii="宋体" w:hAnsi="宋体" w:eastAsia="宋体" w:cs="宋体"/>
                <w:color w:val="auto"/>
                <w:kern w:val="2"/>
                <w:sz w:val="24"/>
                <w:szCs w:val="24"/>
                <w:lang w:val="en-US" w:eastAsia="zh-CN" w:bidi="ar-SA"/>
              </w:rPr>
            </w:pPr>
          </w:p>
          <w:p w14:paraId="6084D618">
            <w:pPr>
              <w:adjustRightInd w:val="0"/>
              <w:snapToGrid w:val="0"/>
              <w:spacing w:line="360" w:lineRule="auto"/>
              <w:ind w:firstLine="6960" w:firstLineChars="29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（监督抽查机构盖章）</w:t>
            </w:r>
          </w:p>
          <w:p w14:paraId="206E4924">
            <w:pPr>
              <w:adjustRightInd w:val="0"/>
              <w:snapToGrid w:val="0"/>
              <w:spacing w:line="360" w:lineRule="auto"/>
              <w:ind w:firstLine="0"/>
              <w:rPr>
                <w:rFonts w:hint="eastAsia" w:ascii="宋体" w:hAnsi="宋体" w:eastAsia="宋体" w:cs="宋体"/>
                <w:color w:val="auto"/>
                <w:sz w:val="24"/>
                <w:szCs w:val="24"/>
              </w:rPr>
            </w:pPr>
          </w:p>
          <w:p w14:paraId="446883F1">
            <w:pPr>
              <w:widowControl/>
              <w:spacing w:line="360" w:lineRule="auto"/>
              <w:ind w:firstLine="0"/>
              <w:jc w:val="left"/>
              <w:rPr>
                <w:rFonts w:hint="eastAsia" w:ascii="宋体" w:hAnsi="宋体" w:eastAsia="宋体" w:cs="宋体"/>
                <w:color w:val="auto"/>
                <w:kern w:val="0"/>
                <w:sz w:val="24"/>
                <w:szCs w:val="24"/>
              </w:rPr>
            </w:pPr>
            <w:bookmarkStart w:id="12" w:name="OLE_LINK10"/>
            <w:r>
              <w:rPr>
                <w:rFonts w:hint="eastAsia" w:ascii="宋体" w:hAnsi="宋体" w:eastAsia="宋体" w:cs="宋体"/>
                <w:color w:val="auto"/>
                <w:kern w:val="0"/>
                <w:sz w:val="24"/>
                <w:szCs w:val="24"/>
              </w:rPr>
              <w:t>监督抽查人员签字：                                   日    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bookmarkEnd w:id="12"/>
          </w:p>
        </w:tc>
      </w:tr>
      <w:tr w14:paraId="47ACEC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20" w:hRule="atLeast"/>
          <w:jc w:val="center"/>
        </w:trPr>
        <w:tc>
          <w:tcPr>
            <w:tcW w:w="8814" w:type="dxa"/>
            <w:gridSpan w:val="4"/>
            <w:vAlign w:val="center"/>
          </w:tcPr>
          <w:p w14:paraId="35073AF2">
            <w:pPr>
              <w:adjustRightInd w:val="0"/>
              <w:snapToGrid w:val="0"/>
              <w:spacing w:line="360" w:lineRule="auto"/>
              <w:ind w:firstLine="3840" w:firstLineChars="16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被抽查单位现场配合抽查人员签字：</w:t>
            </w:r>
          </w:p>
          <w:p w14:paraId="6E52D506">
            <w:pPr>
              <w:adjustRightInd w:val="0"/>
              <w:snapToGrid w:val="0"/>
              <w:spacing w:line="360" w:lineRule="auto"/>
              <w:ind w:firstLine="6480" w:firstLineChars="27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联系电话：</w:t>
            </w:r>
          </w:p>
          <w:p w14:paraId="364FDC67">
            <w:pPr>
              <w:widowControl w:val="0"/>
              <w:spacing w:line="360" w:lineRule="auto"/>
              <w:ind w:firstLine="6480" w:firstLineChars="270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日    期：</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年</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月</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日</w:t>
            </w:r>
          </w:p>
        </w:tc>
      </w:tr>
    </w:tbl>
    <w:p w14:paraId="326E2DC2">
      <w:pPr>
        <w:tabs>
          <w:tab w:val="center" w:pos="4422"/>
          <w:tab w:val="left" w:pos="6630"/>
        </w:tabs>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注：1.此通知书被抽查单位、监管部门、监督抽查机构各一份;2.本通知书电子文件(PDF 格式)经数字签名技术签章。根据《中华人民共和国电子签名法》的规定，和手写签名或加盖印章的纸质报告具有同等法律效力。</w:t>
      </w:r>
    </w:p>
    <w:p w14:paraId="2BF6341D">
      <w:pPr>
        <w:spacing w:line="36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bookmarkStart w:id="13" w:name="_Toc3454_WPSOffice_Level2"/>
      <w:r>
        <w:rPr>
          <w:rFonts w:hint="eastAsia" w:ascii="宋体" w:hAnsi="宋体" w:eastAsia="宋体" w:cs="宋体"/>
          <w:bCs/>
          <w:color w:val="auto"/>
          <w:sz w:val="32"/>
          <w:szCs w:val="32"/>
        </w:rPr>
        <w:t>复查不合格设备报送单</w:t>
      </w:r>
      <w:bookmarkEnd w:id="13"/>
    </w:p>
    <w:p w14:paraId="7C0D0A80">
      <w:pPr>
        <w:spacing w:line="360" w:lineRule="auto"/>
        <w:ind w:firstLine="0"/>
        <w:rPr>
          <w:rFonts w:hint="eastAsia" w:ascii="宋体" w:hAnsi="宋体" w:eastAsia="宋体" w:cs="宋体"/>
          <w:color w:val="auto"/>
          <w:kern w:val="0"/>
          <w:sz w:val="24"/>
          <w:szCs w:val="24"/>
          <w:u w:val="single"/>
        </w:rPr>
      </w:pPr>
    </w:p>
    <w:p w14:paraId="461B15DB">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51BA5783">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根据西安市雁塔区市场监督管理局《2026年雁塔区电梯安全监督抽查工作实施方案》的要求，现将监督抽查不符合设备及相关单位复查不合格情况向你部门报告。</w:t>
      </w:r>
    </w:p>
    <w:tbl>
      <w:tblPr>
        <w:tblStyle w:val="2"/>
        <w:tblW w:w="9493"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57"/>
        <w:gridCol w:w="1880"/>
        <w:gridCol w:w="2633"/>
        <w:gridCol w:w="1984"/>
        <w:gridCol w:w="1265"/>
        <w:gridCol w:w="1074"/>
      </w:tblGrid>
      <w:tr w14:paraId="12E338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57" w:type="dxa"/>
            <w:vAlign w:val="center"/>
          </w:tcPr>
          <w:p w14:paraId="3A1E4FFF">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880" w:type="dxa"/>
            <w:vAlign w:val="center"/>
          </w:tcPr>
          <w:p w14:paraId="60C7A0C2">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受检单位</w:t>
            </w:r>
          </w:p>
        </w:tc>
        <w:tc>
          <w:tcPr>
            <w:tcW w:w="2633" w:type="dxa"/>
            <w:vAlign w:val="center"/>
          </w:tcPr>
          <w:p w14:paraId="488290F5">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设备注册代码</w:t>
            </w:r>
          </w:p>
        </w:tc>
        <w:tc>
          <w:tcPr>
            <w:tcW w:w="1984" w:type="dxa"/>
            <w:vAlign w:val="center"/>
          </w:tcPr>
          <w:p w14:paraId="53462613">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使用地点</w:t>
            </w:r>
          </w:p>
        </w:tc>
        <w:tc>
          <w:tcPr>
            <w:tcW w:w="1265" w:type="dxa"/>
            <w:vAlign w:val="center"/>
          </w:tcPr>
          <w:p w14:paraId="10107604">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复查</w:t>
            </w:r>
          </w:p>
          <w:p w14:paraId="1EF3A7DE">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c>
          <w:tcPr>
            <w:tcW w:w="1074" w:type="dxa"/>
            <w:vAlign w:val="center"/>
          </w:tcPr>
          <w:p w14:paraId="7907998C">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整改</w:t>
            </w:r>
          </w:p>
          <w:p w14:paraId="52CF61E6">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r>
      <w:tr w14:paraId="3618CE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6D5E258E">
            <w:pPr>
              <w:spacing w:line="360" w:lineRule="auto"/>
              <w:ind w:firstLine="0"/>
              <w:jc w:val="center"/>
              <w:outlineLvl w:val="2"/>
              <w:rPr>
                <w:rFonts w:hint="eastAsia" w:ascii="宋体" w:hAnsi="宋体" w:eastAsia="宋体" w:cs="宋体"/>
                <w:color w:val="auto"/>
                <w:sz w:val="24"/>
                <w:szCs w:val="24"/>
              </w:rPr>
            </w:pPr>
          </w:p>
        </w:tc>
        <w:tc>
          <w:tcPr>
            <w:tcW w:w="1880" w:type="dxa"/>
            <w:vAlign w:val="center"/>
          </w:tcPr>
          <w:p w14:paraId="71ACB57C">
            <w:pPr>
              <w:spacing w:line="360" w:lineRule="auto"/>
              <w:ind w:firstLine="0"/>
              <w:jc w:val="center"/>
              <w:outlineLvl w:val="2"/>
              <w:rPr>
                <w:rFonts w:hint="eastAsia" w:ascii="宋体" w:hAnsi="宋体" w:eastAsia="宋体" w:cs="宋体"/>
                <w:color w:val="auto"/>
                <w:sz w:val="24"/>
                <w:szCs w:val="24"/>
              </w:rPr>
            </w:pPr>
          </w:p>
        </w:tc>
        <w:tc>
          <w:tcPr>
            <w:tcW w:w="2633" w:type="dxa"/>
            <w:vAlign w:val="center"/>
          </w:tcPr>
          <w:p w14:paraId="6C6E506F">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00AF9850">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13C9045A">
            <w:pPr>
              <w:spacing w:line="360" w:lineRule="auto"/>
              <w:ind w:firstLine="0"/>
              <w:jc w:val="center"/>
              <w:outlineLvl w:val="2"/>
              <w:rPr>
                <w:rFonts w:hint="eastAsia" w:ascii="宋体" w:hAnsi="宋体" w:eastAsia="宋体" w:cs="宋体"/>
                <w:color w:val="auto"/>
                <w:sz w:val="24"/>
                <w:szCs w:val="24"/>
              </w:rPr>
            </w:pPr>
          </w:p>
        </w:tc>
        <w:tc>
          <w:tcPr>
            <w:tcW w:w="1074" w:type="dxa"/>
            <w:vAlign w:val="center"/>
          </w:tcPr>
          <w:p w14:paraId="56370613">
            <w:pPr>
              <w:spacing w:line="360" w:lineRule="auto"/>
              <w:ind w:firstLine="0"/>
              <w:jc w:val="center"/>
              <w:outlineLvl w:val="2"/>
              <w:rPr>
                <w:rFonts w:hint="eastAsia" w:ascii="宋体" w:hAnsi="宋体" w:eastAsia="宋体" w:cs="宋体"/>
                <w:color w:val="auto"/>
                <w:sz w:val="24"/>
                <w:szCs w:val="24"/>
              </w:rPr>
            </w:pPr>
          </w:p>
        </w:tc>
      </w:tr>
      <w:tr w14:paraId="0B670E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7C79EB7D">
            <w:pPr>
              <w:spacing w:line="360" w:lineRule="auto"/>
              <w:ind w:firstLine="0"/>
              <w:jc w:val="center"/>
              <w:outlineLvl w:val="2"/>
              <w:rPr>
                <w:rFonts w:hint="eastAsia" w:ascii="宋体" w:hAnsi="宋体" w:eastAsia="宋体" w:cs="宋体"/>
                <w:color w:val="auto"/>
                <w:sz w:val="24"/>
                <w:szCs w:val="24"/>
              </w:rPr>
            </w:pPr>
          </w:p>
        </w:tc>
        <w:tc>
          <w:tcPr>
            <w:tcW w:w="1880" w:type="dxa"/>
            <w:vAlign w:val="center"/>
          </w:tcPr>
          <w:p w14:paraId="3AC82A91">
            <w:pPr>
              <w:spacing w:line="360" w:lineRule="auto"/>
              <w:ind w:firstLine="0"/>
              <w:jc w:val="center"/>
              <w:outlineLvl w:val="2"/>
              <w:rPr>
                <w:rFonts w:hint="eastAsia" w:ascii="宋体" w:hAnsi="宋体" w:eastAsia="宋体" w:cs="宋体"/>
                <w:color w:val="auto"/>
                <w:sz w:val="24"/>
                <w:szCs w:val="24"/>
              </w:rPr>
            </w:pPr>
          </w:p>
        </w:tc>
        <w:tc>
          <w:tcPr>
            <w:tcW w:w="2633" w:type="dxa"/>
            <w:vAlign w:val="center"/>
          </w:tcPr>
          <w:p w14:paraId="3B6186E6">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2AA3DBAD">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62A20CB2">
            <w:pPr>
              <w:spacing w:line="360" w:lineRule="auto"/>
              <w:ind w:firstLine="0"/>
              <w:jc w:val="center"/>
              <w:outlineLvl w:val="2"/>
              <w:rPr>
                <w:rFonts w:hint="eastAsia" w:ascii="宋体" w:hAnsi="宋体" w:eastAsia="宋体" w:cs="宋体"/>
                <w:color w:val="auto"/>
                <w:sz w:val="24"/>
                <w:szCs w:val="24"/>
              </w:rPr>
            </w:pPr>
          </w:p>
        </w:tc>
        <w:tc>
          <w:tcPr>
            <w:tcW w:w="1074" w:type="dxa"/>
            <w:vAlign w:val="center"/>
          </w:tcPr>
          <w:p w14:paraId="0B61F9B9">
            <w:pPr>
              <w:spacing w:line="360" w:lineRule="auto"/>
              <w:ind w:firstLine="0"/>
              <w:jc w:val="center"/>
              <w:outlineLvl w:val="2"/>
              <w:rPr>
                <w:rFonts w:hint="eastAsia" w:ascii="宋体" w:hAnsi="宋体" w:eastAsia="宋体" w:cs="宋体"/>
                <w:color w:val="auto"/>
                <w:sz w:val="24"/>
                <w:szCs w:val="24"/>
              </w:rPr>
            </w:pPr>
          </w:p>
        </w:tc>
      </w:tr>
      <w:tr w14:paraId="1D6F5EF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05E7809F">
            <w:pPr>
              <w:spacing w:line="360" w:lineRule="auto"/>
              <w:ind w:firstLine="0"/>
              <w:jc w:val="center"/>
              <w:outlineLvl w:val="2"/>
              <w:rPr>
                <w:rFonts w:hint="eastAsia" w:ascii="宋体" w:hAnsi="宋体" w:eastAsia="宋体" w:cs="宋体"/>
                <w:color w:val="auto"/>
                <w:sz w:val="24"/>
                <w:szCs w:val="24"/>
              </w:rPr>
            </w:pPr>
          </w:p>
        </w:tc>
        <w:tc>
          <w:tcPr>
            <w:tcW w:w="1880" w:type="dxa"/>
            <w:vAlign w:val="center"/>
          </w:tcPr>
          <w:p w14:paraId="09276E22">
            <w:pPr>
              <w:spacing w:line="360" w:lineRule="auto"/>
              <w:ind w:firstLine="0"/>
              <w:jc w:val="center"/>
              <w:outlineLvl w:val="2"/>
              <w:rPr>
                <w:rFonts w:hint="eastAsia" w:ascii="宋体" w:hAnsi="宋体" w:eastAsia="宋体" w:cs="宋体"/>
                <w:color w:val="auto"/>
                <w:sz w:val="24"/>
                <w:szCs w:val="24"/>
              </w:rPr>
            </w:pPr>
          </w:p>
        </w:tc>
        <w:tc>
          <w:tcPr>
            <w:tcW w:w="2633" w:type="dxa"/>
            <w:vAlign w:val="center"/>
          </w:tcPr>
          <w:p w14:paraId="3415F42F">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6B2512D3">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4E66732E">
            <w:pPr>
              <w:spacing w:line="360" w:lineRule="auto"/>
              <w:ind w:firstLine="0"/>
              <w:jc w:val="center"/>
              <w:outlineLvl w:val="2"/>
              <w:rPr>
                <w:rFonts w:hint="eastAsia" w:ascii="宋体" w:hAnsi="宋体" w:eastAsia="宋体" w:cs="宋体"/>
                <w:color w:val="auto"/>
                <w:sz w:val="24"/>
                <w:szCs w:val="24"/>
              </w:rPr>
            </w:pPr>
          </w:p>
        </w:tc>
        <w:tc>
          <w:tcPr>
            <w:tcW w:w="1074" w:type="dxa"/>
            <w:vAlign w:val="center"/>
          </w:tcPr>
          <w:p w14:paraId="54B748F6">
            <w:pPr>
              <w:spacing w:line="360" w:lineRule="auto"/>
              <w:ind w:firstLine="0"/>
              <w:jc w:val="center"/>
              <w:outlineLvl w:val="2"/>
              <w:rPr>
                <w:rFonts w:hint="eastAsia" w:ascii="宋体" w:hAnsi="宋体" w:eastAsia="宋体" w:cs="宋体"/>
                <w:color w:val="auto"/>
                <w:sz w:val="24"/>
                <w:szCs w:val="24"/>
              </w:rPr>
            </w:pPr>
          </w:p>
        </w:tc>
      </w:tr>
      <w:tr w14:paraId="24583D3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5FC99037">
            <w:pPr>
              <w:spacing w:line="360" w:lineRule="auto"/>
              <w:ind w:firstLine="0"/>
              <w:jc w:val="center"/>
              <w:outlineLvl w:val="2"/>
              <w:rPr>
                <w:rFonts w:hint="eastAsia" w:ascii="宋体" w:hAnsi="宋体" w:eastAsia="宋体" w:cs="宋体"/>
                <w:color w:val="auto"/>
                <w:sz w:val="24"/>
                <w:szCs w:val="24"/>
              </w:rPr>
            </w:pPr>
          </w:p>
        </w:tc>
        <w:tc>
          <w:tcPr>
            <w:tcW w:w="1880" w:type="dxa"/>
            <w:vAlign w:val="center"/>
          </w:tcPr>
          <w:p w14:paraId="44401C48">
            <w:pPr>
              <w:spacing w:line="360" w:lineRule="auto"/>
              <w:ind w:firstLine="0"/>
              <w:jc w:val="center"/>
              <w:outlineLvl w:val="2"/>
              <w:rPr>
                <w:rFonts w:hint="eastAsia" w:ascii="宋体" w:hAnsi="宋体" w:eastAsia="宋体" w:cs="宋体"/>
                <w:color w:val="auto"/>
                <w:sz w:val="24"/>
                <w:szCs w:val="24"/>
              </w:rPr>
            </w:pPr>
          </w:p>
        </w:tc>
        <w:tc>
          <w:tcPr>
            <w:tcW w:w="2633" w:type="dxa"/>
            <w:vAlign w:val="center"/>
          </w:tcPr>
          <w:p w14:paraId="62C4DDC9">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4FBE2E3B">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2BE2366B">
            <w:pPr>
              <w:spacing w:line="360" w:lineRule="auto"/>
              <w:ind w:firstLine="0"/>
              <w:jc w:val="center"/>
              <w:outlineLvl w:val="2"/>
              <w:rPr>
                <w:rFonts w:hint="eastAsia" w:ascii="宋体" w:hAnsi="宋体" w:eastAsia="宋体" w:cs="宋体"/>
                <w:color w:val="auto"/>
                <w:sz w:val="24"/>
                <w:szCs w:val="24"/>
              </w:rPr>
            </w:pPr>
          </w:p>
        </w:tc>
        <w:tc>
          <w:tcPr>
            <w:tcW w:w="1074" w:type="dxa"/>
            <w:vAlign w:val="center"/>
          </w:tcPr>
          <w:p w14:paraId="5AAC5E63">
            <w:pPr>
              <w:spacing w:line="360" w:lineRule="auto"/>
              <w:ind w:firstLine="0"/>
              <w:jc w:val="center"/>
              <w:outlineLvl w:val="2"/>
              <w:rPr>
                <w:rFonts w:hint="eastAsia" w:ascii="宋体" w:hAnsi="宋体" w:eastAsia="宋体" w:cs="宋体"/>
                <w:color w:val="auto"/>
                <w:sz w:val="24"/>
                <w:szCs w:val="24"/>
              </w:rPr>
            </w:pPr>
          </w:p>
        </w:tc>
      </w:tr>
      <w:tr w14:paraId="6574FD6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15AE39F6">
            <w:pPr>
              <w:spacing w:line="360" w:lineRule="auto"/>
              <w:ind w:firstLine="0"/>
              <w:jc w:val="center"/>
              <w:outlineLvl w:val="2"/>
              <w:rPr>
                <w:rFonts w:hint="eastAsia" w:ascii="宋体" w:hAnsi="宋体" w:eastAsia="宋体" w:cs="宋体"/>
                <w:color w:val="auto"/>
                <w:sz w:val="24"/>
                <w:szCs w:val="24"/>
              </w:rPr>
            </w:pPr>
          </w:p>
        </w:tc>
        <w:tc>
          <w:tcPr>
            <w:tcW w:w="1880" w:type="dxa"/>
            <w:vAlign w:val="center"/>
          </w:tcPr>
          <w:p w14:paraId="625D769C">
            <w:pPr>
              <w:spacing w:line="360" w:lineRule="auto"/>
              <w:ind w:firstLine="0"/>
              <w:jc w:val="center"/>
              <w:outlineLvl w:val="2"/>
              <w:rPr>
                <w:rFonts w:hint="eastAsia" w:ascii="宋体" w:hAnsi="宋体" w:eastAsia="宋体" w:cs="宋体"/>
                <w:color w:val="auto"/>
                <w:sz w:val="24"/>
                <w:szCs w:val="24"/>
              </w:rPr>
            </w:pPr>
          </w:p>
        </w:tc>
        <w:tc>
          <w:tcPr>
            <w:tcW w:w="2633" w:type="dxa"/>
            <w:vAlign w:val="center"/>
          </w:tcPr>
          <w:p w14:paraId="5E1FA029">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26DFDE7E">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63AA2DC7">
            <w:pPr>
              <w:spacing w:line="360" w:lineRule="auto"/>
              <w:ind w:firstLine="0"/>
              <w:jc w:val="center"/>
              <w:outlineLvl w:val="2"/>
              <w:rPr>
                <w:rFonts w:hint="eastAsia" w:ascii="宋体" w:hAnsi="宋体" w:eastAsia="宋体" w:cs="宋体"/>
                <w:color w:val="auto"/>
                <w:sz w:val="24"/>
                <w:szCs w:val="24"/>
              </w:rPr>
            </w:pPr>
          </w:p>
        </w:tc>
        <w:tc>
          <w:tcPr>
            <w:tcW w:w="1074" w:type="dxa"/>
            <w:vAlign w:val="center"/>
          </w:tcPr>
          <w:p w14:paraId="62167C28">
            <w:pPr>
              <w:spacing w:line="360" w:lineRule="auto"/>
              <w:ind w:firstLine="0"/>
              <w:jc w:val="center"/>
              <w:outlineLvl w:val="2"/>
              <w:rPr>
                <w:rFonts w:hint="eastAsia" w:ascii="宋体" w:hAnsi="宋体" w:eastAsia="宋体" w:cs="宋体"/>
                <w:color w:val="auto"/>
                <w:sz w:val="24"/>
                <w:szCs w:val="24"/>
              </w:rPr>
            </w:pPr>
          </w:p>
        </w:tc>
      </w:tr>
      <w:tr w14:paraId="63C467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27B4AE43">
            <w:pPr>
              <w:spacing w:line="360" w:lineRule="auto"/>
              <w:ind w:firstLine="0"/>
              <w:jc w:val="center"/>
              <w:outlineLvl w:val="2"/>
              <w:rPr>
                <w:rFonts w:hint="eastAsia" w:ascii="宋体" w:hAnsi="宋体" w:eastAsia="宋体" w:cs="宋体"/>
                <w:color w:val="auto"/>
                <w:sz w:val="24"/>
                <w:szCs w:val="24"/>
              </w:rPr>
            </w:pPr>
          </w:p>
        </w:tc>
        <w:tc>
          <w:tcPr>
            <w:tcW w:w="1880" w:type="dxa"/>
            <w:vAlign w:val="center"/>
          </w:tcPr>
          <w:p w14:paraId="47C8E7B9">
            <w:pPr>
              <w:spacing w:line="360" w:lineRule="auto"/>
              <w:ind w:firstLine="0"/>
              <w:jc w:val="center"/>
              <w:outlineLvl w:val="2"/>
              <w:rPr>
                <w:rFonts w:hint="eastAsia" w:ascii="宋体" w:hAnsi="宋体" w:eastAsia="宋体" w:cs="宋体"/>
                <w:color w:val="auto"/>
                <w:sz w:val="24"/>
                <w:szCs w:val="24"/>
              </w:rPr>
            </w:pPr>
          </w:p>
        </w:tc>
        <w:tc>
          <w:tcPr>
            <w:tcW w:w="2633" w:type="dxa"/>
            <w:vAlign w:val="center"/>
          </w:tcPr>
          <w:p w14:paraId="3B0A07D1">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21C4EE95">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7F85CE4C">
            <w:pPr>
              <w:spacing w:line="360" w:lineRule="auto"/>
              <w:ind w:firstLine="0"/>
              <w:jc w:val="center"/>
              <w:outlineLvl w:val="2"/>
              <w:rPr>
                <w:rFonts w:hint="eastAsia" w:ascii="宋体" w:hAnsi="宋体" w:eastAsia="宋体" w:cs="宋体"/>
                <w:color w:val="auto"/>
                <w:sz w:val="24"/>
                <w:szCs w:val="24"/>
              </w:rPr>
            </w:pPr>
          </w:p>
        </w:tc>
        <w:tc>
          <w:tcPr>
            <w:tcW w:w="1074" w:type="dxa"/>
            <w:vAlign w:val="center"/>
          </w:tcPr>
          <w:p w14:paraId="3C6391C6">
            <w:pPr>
              <w:spacing w:line="360" w:lineRule="auto"/>
              <w:ind w:firstLine="0"/>
              <w:jc w:val="center"/>
              <w:outlineLvl w:val="2"/>
              <w:rPr>
                <w:rFonts w:hint="eastAsia" w:ascii="宋体" w:hAnsi="宋体" w:eastAsia="宋体" w:cs="宋体"/>
                <w:color w:val="auto"/>
                <w:sz w:val="24"/>
                <w:szCs w:val="24"/>
              </w:rPr>
            </w:pPr>
          </w:p>
        </w:tc>
      </w:tr>
      <w:tr w14:paraId="25B4BC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6A4F8A88">
            <w:pPr>
              <w:spacing w:line="360" w:lineRule="auto"/>
              <w:ind w:firstLine="0"/>
              <w:jc w:val="center"/>
              <w:outlineLvl w:val="2"/>
              <w:rPr>
                <w:rFonts w:hint="eastAsia" w:ascii="宋体" w:hAnsi="宋体" w:eastAsia="宋体" w:cs="宋体"/>
                <w:color w:val="auto"/>
                <w:sz w:val="24"/>
                <w:szCs w:val="24"/>
              </w:rPr>
            </w:pPr>
          </w:p>
        </w:tc>
        <w:tc>
          <w:tcPr>
            <w:tcW w:w="1880" w:type="dxa"/>
            <w:vAlign w:val="center"/>
          </w:tcPr>
          <w:p w14:paraId="07670DAA">
            <w:pPr>
              <w:spacing w:line="360" w:lineRule="auto"/>
              <w:ind w:firstLine="0"/>
              <w:jc w:val="center"/>
              <w:outlineLvl w:val="2"/>
              <w:rPr>
                <w:rFonts w:hint="eastAsia" w:ascii="宋体" w:hAnsi="宋体" w:eastAsia="宋体" w:cs="宋体"/>
                <w:color w:val="auto"/>
                <w:sz w:val="24"/>
                <w:szCs w:val="24"/>
              </w:rPr>
            </w:pPr>
          </w:p>
        </w:tc>
        <w:tc>
          <w:tcPr>
            <w:tcW w:w="2633" w:type="dxa"/>
            <w:vAlign w:val="center"/>
          </w:tcPr>
          <w:p w14:paraId="20D20494">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6E4E774B">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6F26F65D">
            <w:pPr>
              <w:spacing w:line="360" w:lineRule="auto"/>
              <w:ind w:firstLine="0"/>
              <w:jc w:val="center"/>
              <w:outlineLvl w:val="2"/>
              <w:rPr>
                <w:rFonts w:hint="eastAsia" w:ascii="宋体" w:hAnsi="宋体" w:eastAsia="宋体" w:cs="宋体"/>
                <w:color w:val="auto"/>
                <w:sz w:val="24"/>
                <w:szCs w:val="24"/>
              </w:rPr>
            </w:pPr>
          </w:p>
        </w:tc>
        <w:tc>
          <w:tcPr>
            <w:tcW w:w="1074" w:type="dxa"/>
            <w:vAlign w:val="center"/>
          </w:tcPr>
          <w:p w14:paraId="21D0A211">
            <w:pPr>
              <w:spacing w:line="360" w:lineRule="auto"/>
              <w:ind w:firstLine="0"/>
              <w:jc w:val="center"/>
              <w:outlineLvl w:val="2"/>
              <w:rPr>
                <w:rFonts w:hint="eastAsia" w:ascii="宋体" w:hAnsi="宋体" w:eastAsia="宋体" w:cs="宋体"/>
                <w:color w:val="auto"/>
                <w:sz w:val="24"/>
                <w:szCs w:val="24"/>
              </w:rPr>
            </w:pPr>
          </w:p>
        </w:tc>
      </w:tr>
    </w:tbl>
    <w:p w14:paraId="244F8A43">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附《监督抽查不符合项目通知书》</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份，《整改确认回执》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份，一并上报给你部门。</w:t>
      </w:r>
    </w:p>
    <w:p w14:paraId="3EE6BCDC">
      <w:pPr>
        <w:spacing w:line="360" w:lineRule="auto"/>
        <w:ind w:firstLine="2880" w:firstLineChars="1200"/>
        <w:rPr>
          <w:rFonts w:hint="eastAsia" w:ascii="宋体" w:hAnsi="宋体" w:eastAsia="宋体" w:cs="宋体"/>
          <w:color w:val="auto"/>
          <w:sz w:val="24"/>
          <w:szCs w:val="24"/>
        </w:rPr>
      </w:pPr>
    </w:p>
    <w:p w14:paraId="23F5AEC9">
      <w:pPr>
        <w:spacing w:line="360" w:lineRule="auto"/>
        <w:ind w:firstLine="5040" w:firstLineChars="2100"/>
        <w:rPr>
          <w:rFonts w:hint="eastAsia" w:ascii="宋体" w:hAnsi="宋体" w:eastAsia="宋体" w:cs="宋体"/>
          <w:color w:val="auto"/>
          <w:sz w:val="24"/>
          <w:szCs w:val="24"/>
        </w:rPr>
      </w:pPr>
      <w:r>
        <w:rPr>
          <w:rFonts w:hint="eastAsia" w:ascii="宋体" w:hAnsi="宋体" w:eastAsia="宋体" w:cs="宋体"/>
          <w:color w:val="auto"/>
          <w:sz w:val="24"/>
          <w:szCs w:val="24"/>
        </w:rPr>
        <w:t>（监督抽查机构盖章）</w:t>
      </w:r>
    </w:p>
    <w:p w14:paraId="4707B3AA">
      <w:pPr>
        <w:spacing w:line="360" w:lineRule="auto"/>
        <w:ind w:firstLine="5040" w:firstLineChars="2100"/>
        <w:rPr>
          <w:rFonts w:hint="eastAsia" w:ascii="宋体" w:hAnsi="宋体" w:eastAsia="宋体" w:cs="宋体"/>
          <w:color w:val="auto"/>
          <w:sz w:val="24"/>
          <w:szCs w:val="24"/>
        </w:rPr>
      </w:pPr>
    </w:p>
    <w:p w14:paraId="4446E231">
      <w:pPr>
        <w:spacing w:line="360" w:lineRule="auto"/>
        <w:ind w:firstLine="2880" w:firstLineChars="1200"/>
        <w:jc w:val="righ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93B8F8E">
      <w:pPr>
        <w:spacing w:line="360" w:lineRule="auto"/>
        <w:ind w:firstLine="0"/>
        <w:rPr>
          <w:rFonts w:hint="eastAsia" w:ascii="宋体" w:hAnsi="宋体" w:eastAsia="宋体" w:cs="宋体"/>
          <w:color w:val="auto"/>
          <w:sz w:val="24"/>
          <w:szCs w:val="24"/>
        </w:rPr>
      </w:pPr>
    </w:p>
    <w:p w14:paraId="4B7F344E">
      <w:pPr>
        <w:spacing w:line="360" w:lineRule="auto"/>
        <w:ind w:firstLine="0"/>
        <w:rPr>
          <w:rFonts w:hint="eastAsia" w:ascii="宋体" w:hAnsi="宋体" w:eastAsia="宋体" w:cs="宋体"/>
          <w:color w:val="auto"/>
          <w:sz w:val="24"/>
          <w:szCs w:val="24"/>
        </w:rPr>
      </w:pPr>
    </w:p>
    <w:p w14:paraId="7277E685">
      <w:pPr>
        <w:spacing w:line="360" w:lineRule="auto"/>
        <w:ind w:firstLine="0"/>
        <w:rPr>
          <w:rFonts w:hint="eastAsia" w:ascii="宋体" w:hAnsi="宋体" w:eastAsia="宋体" w:cs="宋体"/>
          <w:color w:val="auto"/>
          <w:sz w:val="24"/>
          <w:szCs w:val="24"/>
        </w:rPr>
      </w:pPr>
    </w:p>
    <w:p w14:paraId="7BA48F11">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注：此报送单接收部门和监督抽查机构各一份。</w:t>
      </w:r>
    </w:p>
    <w:p w14:paraId="4D750254">
      <w:pPr>
        <w:spacing w:line="72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bookmarkStart w:id="14" w:name="_Toc13081_WPSOffice_Level2"/>
      <w:r>
        <w:rPr>
          <w:rFonts w:hint="eastAsia" w:ascii="宋体" w:hAnsi="宋体" w:eastAsia="宋体" w:cs="宋体"/>
          <w:bCs/>
          <w:color w:val="auto"/>
          <w:sz w:val="32"/>
          <w:szCs w:val="32"/>
        </w:rPr>
        <w:t>逾期未申请复查设备报送单</w:t>
      </w:r>
      <w:bookmarkEnd w:id="14"/>
    </w:p>
    <w:p w14:paraId="243E9CCD">
      <w:pPr>
        <w:spacing w:line="360" w:lineRule="auto"/>
        <w:ind w:firstLine="0"/>
        <w:jc w:val="center"/>
        <w:rPr>
          <w:rFonts w:hint="eastAsia" w:ascii="宋体" w:hAnsi="宋体" w:eastAsia="宋体" w:cs="宋体"/>
          <w:bCs/>
          <w:color w:val="auto"/>
          <w:sz w:val="24"/>
          <w:szCs w:val="24"/>
        </w:rPr>
      </w:pPr>
    </w:p>
    <w:p w14:paraId="6C4E7E2C">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7AEE2DEC">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根据西安市雁塔区市场监督管理局《2026年雁塔区电梯安全监督抽查工作实施方案》的要求，现将监督抽查不符合设备逾期未申请复查情况报告你部门：</w:t>
      </w:r>
    </w:p>
    <w:tbl>
      <w:tblPr>
        <w:tblStyle w:val="2"/>
        <w:tblW w:w="910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57"/>
        <w:gridCol w:w="1596"/>
        <w:gridCol w:w="2421"/>
        <w:gridCol w:w="1984"/>
        <w:gridCol w:w="1265"/>
        <w:gridCol w:w="1181"/>
      </w:tblGrid>
      <w:tr w14:paraId="4038FE6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57" w:type="dxa"/>
            <w:vAlign w:val="center"/>
          </w:tcPr>
          <w:p w14:paraId="4D5FCB1B">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596" w:type="dxa"/>
            <w:vAlign w:val="center"/>
          </w:tcPr>
          <w:p w14:paraId="1B8752F4">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受检单位</w:t>
            </w:r>
          </w:p>
        </w:tc>
        <w:tc>
          <w:tcPr>
            <w:tcW w:w="2421" w:type="dxa"/>
            <w:vAlign w:val="center"/>
          </w:tcPr>
          <w:p w14:paraId="2FEF1984">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设备注册代码</w:t>
            </w:r>
          </w:p>
        </w:tc>
        <w:tc>
          <w:tcPr>
            <w:tcW w:w="1984" w:type="dxa"/>
            <w:vAlign w:val="center"/>
          </w:tcPr>
          <w:p w14:paraId="7458F3A6">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使用地点</w:t>
            </w:r>
          </w:p>
        </w:tc>
        <w:tc>
          <w:tcPr>
            <w:tcW w:w="1265" w:type="dxa"/>
            <w:vAlign w:val="center"/>
          </w:tcPr>
          <w:p w14:paraId="31378DB1">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抽查</w:t>
            </w:r>
          </w:p>
          <w:p w14:paraId="6C621716">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c>
          <w:tcPr>
            <w:tcW w:w="1181" w:type="dxa"/>
            <w:vAlign w:val="center"/>
          </w:tcPr>
          <w:p w14:paraId="6101EC07">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整改</w:t>
            </w:r>
          </w:p>
          <w:p w14:paraId="72700BE7">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r>
      <w:tr w14:paraId="03B338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6477C506">
            <w:pPr>
              <w:spacing w:line="360" w:lineRule="auto"/>
              <w:ind w:firstLine="0"/>
              <w:jc w:val="center"/>
              <w:outlineLvl w:val="2"/>
              <w:rPr>
                <w:rFonts w:hint="eastAsia" w:ascii="宋体" w:hAnsi="宋体" w:eastAsia="宋体" w:cs="宋体"/>
                <w:color w:val="auto"/>
                <w:sz w:val="24"/>
                <w:szCs w:val="24"/>
              </w:rPr>
            </w:pPr>
          </w:p>
        </w:tc>
        <w:tc>
          <w:tcPr>
            <w:tcW w:w="1596" w:type="dxa"/>
            <w:vAlign w:val="center"/>
          </w:tcPr>
          <w:p w14:paraId="6362EE3B">
            <w:pPr>
              <w:spacing w:line="360" w:lineRule="auto"/>
              <w:ind w:firstLine="0"/>
              <w:jc w:val="center"/>
              <w:outlineLvl w:val="2"/>
              <w:rPr>
                <w:rFonts w:hint="eastAsia" w:ascii="宋体" w:hAnsi="宋体" w:eastAsia="宋体" w:cs="宋体"/>
                <w:color w:val="auto"/>
                <w:sz w:val="24"/>
                <w:szCs w:val="24"/>
              </w:rPr>
            </w:pPr>
          </w:p>
        </w:tc>
        <w:tc>
          <w:tcPr>
            <w:tcW w:w="2421" w:type="dxa"/>
            <w:vAlign w:val="center"/>
          </w:tcPr>
          <w:p w14:paraId="47F10AC2">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00E0A068">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68237D7C">
            <w:pPr>
              <w:spacing w:line="360" w:lineRule="auto"/>
              <w:ind w:firstLine="0"/>
              <w:jc w:val="center"/>
              <w:outlineLvl w:val="2"/>
              <w:rPr>
                <w:rFonts w:hint="eastAsia" w:ascii="宋体" w:hAnsi="宋体" w:eastAsia="宋体" w:cs="宋体"/>
                <w:color w:val="auto"/>
                <w:sz w:val="24"/>
                <w:szCs w:val="24"/>
              </w:rPr>
            </w:pPr>
          </w:p>
        </w:tc>
        <w:tc>
          <w:tcPr>
            <w:tcW w:w="1181" w:type="dxa"/>
            <w:vAlign w:val="center"/>
          </w:tcPr>
          <w:p w14:paraId="400F8A10">
            <w:pPr>
              <w:spacing w:line="360" w:lineRule="auto"/>
              <w:ind w:firstLine="0"/>
              <w:jc w:val="center"/>
              <w:outlineLvl w:val="2"/>
              <w:rPr>
                <w:rFonts w:hint="eastAsia" w:ascii="宋体" w:hAnsi="宋体" w:eastAsia="宋体" w:cs="宋体"/>
                <w:color w:val="auto"/>
                <w:sz w:val="24"/>
                <w:szCs w:val="24"/>
              </w:rPr>
            </w:pPr>
          </w:p>
        </w:tc>
      </w:tr>
      <w:tr w14:paraId="1CF6D0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13FC3CFE">
            <w:pPr>
              <w:spacing w:line="360" w:lineRule="auto"/>
              <w:ind w:firstLine="0"/>
              <w:jc w:val="center"/>
              <w:outlineLvl w:val="2"/>
              <w:rPr>
                <w:rFonts w:hint="eastAsia" w:ascii="宋体" w:hAnsi="宋体" w:eastAsia="宋体" w:cs="宋体"/>
                <w:color w:val="auto"/>
                <w:sz w:val="24"/>
                <w:szCs w:val="24"/>
              </w:rPr>
            </w:pPr>
          </w:p>
        </w:tc>
        <w:tc>
          <w:tcPr>
            <w:tcW w:w="1596" w:type="dxa"/>
            <w:vAlign w:val="center"/>
          </w:tcPr>
          <w:p w14:paraId="4BBE0025">
            <w:pPr>
              <w:spacing w:line="360" w:lineRule="auto"/>
              <w:ind w:firstLine="0"/>
              <w:jc w:val="center"/>
              <w:outlineLvl w:val="2"/>
              <w:rPr>
                <w:rFonts w:hint="eastAsia" w:ascii="宋体" w:hAnsi="宋体" w:eastAsia="宋体" w:cs="宋体"/>
                <w:color w:val="auto"/>
                <w:sz w:val="24"/>
                <w:szCs w:val="24"/>
              </w:rPr>
            </w:pPr>
          </w:p>
        </w:tc>
        <w:tc>
          <w:tcPr>
            <w:tcW w:w="2421" w:type="dxa"/>
            <w:vAlign w:val="center"/>
          </w:tcPr>
          <w:p w14:paraId="0E2C37E6">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793CB727">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41FA68B6">
            <w:pPr>
              <w:spacing w:line="360" w:lineRule="auto"/>
              <w:ind w:firstLine="0"/>
              <w:jc w:val="center"/>
              <w:outlineLvl w:val="2"/>
              <w:rPr>
                <w:rFonts w:hint="eastAsia" w:ascii="宋体" w:hAnsi="宋体" w:eastAsia="宋体" w:cs="宋体"/>
                <w:color w:val="auto"/>
                <w:sz w:val="24"/>
                <w:szCs w:val="24"/>
              </w:rPr>
            </w:pPr>
          </w:p>
        </w:tc>
        <w:tc>
          <w:tcPr>
            <w:tcW w:w="1181" w:type="dxa"/>
            <w:vAlign w:val="center"/>
          </w:tcPr>
          <w:p w14:paraId="5258955D">
            <w:pPr>
              <w:spacing w:line="360" w:lineRule="auto"/>
              <w:ind w:firstLine="0"/>
              <w:jc w:val="center"/>
              <w:outlineLvl w:val="2"/>
              <w:rPr>
                <w:rFonts w:hint="eastAsia" w:ascii="宋体" w:hAnsi="宋体" w:eastAsia="宋体" w:cs="宋体"/>
                <w:color w:val="auto"/>
                <w:sz w:val="24"/>
                <w:szCs w:val="24"/>
              </w:rPr>
            </w:pPr>
          </w:p>
        </w:tc>
      </w:tr>
      <w:tr w14:paraId="6A55C58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5E88DC7E">
            <w:pPr>
              <w:spacing w:line="360" w:lineRule="auto"/>
              <w:ind w:firstLine="0"/>
              <w:jc w:val="center"/>
              <w:outlineLvl w:val="2"/>
              <w:rPr>
                <w:rFonts w:hint="eastAsia" w:ascii="宋体" w:hAnsi="宋体" w:eastAsia="宋体" w:cs="宋体"/>
                <w:color w:val="auto"/>
                <w:sz w:val="24"/>
                <w:szCs w:val="24"/>
              </w:rPr>
            </w:pPr>
          </w:p>
        </w:tc>
        <w:tc>
          <w:tcPr>
            <w:tcW w:w="1596" w:type="dxa"/>
            <w:vAlign w:val="center"/>
          </w:tcPr>
          <w:p w14:paraId="7266CE7C">
            <w:pPr>
              <w:spacing w:line="360" w:lineRule="auto"/>
              <w:ind w:firstLine="0"/>
              <w:jc w:val="center"/>
              <w:outlineLvl w:val="2"/>
              <w:rPr>
                <w:rFonts w:hint="eastAsia" w:ascii="宋体" w:hAnsi="宋体" w:eastAsia="宋体" w:cs="宋体"/>
                <w:color w:val="auto"/>
                <w:sz w:val="24"/>
                <w:szCs w:val="24"/>
              </w:rPr>
            </w:pPr>
          </w:p>
        </w:tc>
        <w:tc>
          <w:tcPr>
            <w:tcW w:w="2421" w:type="dxa"/>
            <w:vAlign w:val="center"/>
          </w:tcPr>
          <w:p w14:paraId="089FE229">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0BD35AA9">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2146DE51">
            <w:pPr>
              <w:spacing w:line="360" w:lineRule="auto"/>
              <w:ind w:firstLine="0"/>
              <w:jc w:val="center"/>
              <w:outlineLvl w:val="2"/>
              <w:rPr>
                <w:rFonts w:hint="eastAsia" w:ascii="宋体" w:hAnsi="宋体" w:eastAsia="宋体" w:cs="宋体"/>
                <w:color w:val="auto"/>
                <w:sz w:val="24"/>
                <w:szCs w:val="24"/>
              </w:rPr>
            </w:pPr>
          </w:p>
        </w:tc>
        <w:tc>
          <w:tcPr>
            <w:tcW w:w="1181" w:type="dxa"/>
            <w:vAlign w:val="center"/>
          </w:tcPr>
          <w:p w14:paraId="68CAA624">
            <w:pPr>
              <w:spacing w:line="360" w:lineRule="auto"/>
              <w:ind w:firstLine="0"/>
              <w:jc w:val="center"/>
              <w:outlineLvl w:val="2"/>
              <w:rPr>
                <w:rFonts w:hint="eastAsia" w:ascii="宋体" w:hAnsi="宋体" w:eastAsia="宋体" w:cs="宋体"/>
                <w:color w:val="auto"/>
                <w:sz w:val="24"/>
                <w:szCs w:val="24"/>
              </w:rPr>
            </w:pPr>
          </w:p>
        </w:tc>
      </w:tr>
      <w:tr w14:paraId="6132E8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0906FF40">
            <w:pPr>
              <w:spacing w:line="360" w:lineRule="auto"/>
              <w:ind w:firstLine="0"/>
              <w:jc w:val="center"/>
              <w:outlineLvl w:val="2"/>
              <w:rPr>
                <w:rFonts w:hint="eastAsia" w:ascii="宋体" w:hAnsi="宋体" w:eastAsia="宋体" w:cs="宋体"/>
                <w:color w:val="auto"/>
                <w:sz w:val="24"/>
                <w:szCs w:val="24"/>
              </w:rPr>
            </w:pPr>
          </w:p>
        </w:tc>
        <w:tc>
          <w:tcPr>
            <w:tcW w:w="1596" w:type="dxa"/>
            <w:vAlign w:val="center"/>
          </w:tcPr>
          <w:p w14:paraId="0F3A6515">
            <w:pPr>
              <w:spacing w:line="360" w:lineRule="auto"/>
              <w:ind w:firstLine="0"/>
              <w:jc w:val="center"/>
              <w:outlineLvl w:val="2"/>
              <w:rPr>
                <w:rFonts w:hint="eastAsia" w:ascii="宋体" w:hAnsi="宋体" w:eastAsia="宋体" w:cs="宋体"/>
                <w:color w:val="auto"/>
                <w:sz w:val="24"/>
                <w:szCs w:val="24"/>
              </w:rPr>
            </w:pPr>
          </w:p>
        </w:tc>
        <w:tc>
          <w:tcPr>
            <w:tcW w:w="2421" w:type="dxa"/>
            <w:vAlign w:val="center"/>
          </w:tcPr>
          <w:p w14:paraId="7F0A1793">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59F7ED6E">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00AC998E">
            <w:pPr>
              <w:spacing w:line="360" w:lineRule="auto"/>
              <w:ind w:firstLine="0"/>
              <w:jc w:val="center"/>
              <w:outlineLvl w:val="2"/>
              <w:rPr>
                <w:rFonts w:hint="eastAsia" w:ascii="宋体" w:hAnsi="宋体" w:eastAsia="宋体" w:cs="宋体"/>
                <w:color w:val="auto"/>
                <w:sz w:val="24"/>
                <w:szCs w:val="24"/>
              </w:rPr>
            </w:pPr>
          </w:p>
        </w:tc>
        <w:tc>
          <w:tcPr>
            <w:tcW w:w="1181" w:type="dxa"/>
            <w:vAlign w:val="center"/>
          </w:tcPr>
          <w:p w14:paraId="2D3C1F0E">
            <w:pPr>
              <w:spacing w:line="360" w:lineRule="auto"/>
              <w:ind w:firstLine="0"/>
              <w:jc w:val="center"/>
              <w:outlineLvl w:val="2"/>
              <w:rPr>
                <w:rFonts w:hint="eastAsia" w:ascii="宋体" w:hAnsi="宋体" w:eastAsia="宋体" w:cs="宋体"/>
                <w:color w:val="auto"/>
                <w:sz w:val="24"/>
                <w:szCs w:val="24"/>
              </w:rPr>
            </w:pPr>
          </w:p>
        </w:tc>
      </w:tr>
      <w:tr w14:paraId="0BE8BA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02B18682">
            <w:pPr>
              <w:spacing w:line="360" w:lineRule="auto"/>
              <w:ind w:firstLine="0"/>
              <w:jc w:val="center"/>
              <w:outlineLvl w:val="2"/>
              <w:rPr>
                <w:rFonts w:hint="eastAsia" w:ascii="宋体" w:hAnsi="宋体" w:eastAsia="宋体" w:cs="宋体"/>
                <w:color w:val="auto"/>
                <w:sz w:val="24"/>
                <w:szCs w:val="24"/>
              </w:rPr>
            </w:pPr>
          </w:p>
        </w:tc>
        <w:tc>
          <w:tcPr>
            <w:tcW w:w="1596" w:type="dxa"/>
            <w:vAlign w:val="center"/>
          </w:tcPr>
          <w:p w14:paraId="0B461420">
            <w:pPr>
              <w:spacing w:line="360" w:lineRule="auto"/>
              <w:ind w:firstLine="0"/>
              <w:jc w:val="center"/>
              <w:outlineLvl w:val="2"/>
              <w:rPr>
                <w:rFonts w:hint="eastAsia" w:ascii="宋体" w:hAnsi="宋体" w:eastAsia="宋体" w:cs="宋体"/>
                <w:color w:val="auto"/>
                <w:sz w:val="24"/>
                <w:szCs w:val="24"/>
              </w:rPr>
            </w:pPr>
          </w:p>
        </w:tc>
        <w:tc>
          <w:tcPr>
            <w:tcW w:w="2421" w:type="dxa"/>
            <w:vAlign w:val="center"/>
          </w:tcPr>
          <w:p w14:paraId="1B809419">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636205E3">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3C4A368A">
            <w:pPr>
              <w:spacing w:line="360" w:lineRule="auto"/>
              <w:ind w:firstLine="0"/>
              <w:jc w:val="center"/>
              <w:outlineLvl w:val="2"/>
              <w:rPr>
                <w:rFonts w:hint="eastAsia" w:ascii="宋体" w:hAnsi="宋体" w:eastAsia="宋体" w:cs="宋体"/>
                <w:color w:val="auto"/>
                <w:sz w:val="24"/>
                <w:szCs w:val="24"/>
              </w:rPr>
            </w:pPr>
          </w:p>
        </w:tc>
        <w:tc>
          <w:tcPr>
            <w:tcW w:w="1181" w:type="dxa"/>
            <w:vAlign w:val="center"/>
          </w:tcPr>
          <w:p w14:paraId="024BC4CB">
            <w:pPr>
              <w:spacing w:line="360" w:lineRule="auto"/>
              <w:ind w:firstLine="0"/>
              <w:jc w:val="center"/>
              <w:outlineLvl w:val="2"/>
              <w:rPr>
                <w:rFonts w:hint="eastAsia" w:ascii="宋体" w:hAnsi="宋体" w:eastAsia="宋体" w:cs="宋体"/>
                <w:color w:val="auto"/>
                <w:sz w:val="24"/>
                <w:szCs w:val="24"/>
              </w:rPr>
            </w:pPr>
          </w:p>
        </w:tc>
      </w:tr>
      <w:tr w14:paraId="7343044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2F1BB22D">
            <w:pPr>
              <w:spacing w:line="360" w:lineRule="auto"/>
              <w:ind w:firstLine="0"/>
              <w:jc w:val="center"/>
              <w:outlineLvl w:val="2"/>
              <w:rPr>
                <w:rFonts w:hint="eastAsia" w:ascii="宋体" w:hAnsi="宋体" w:eastAsia="宋体" w:cs="宋体"/>
                <w:color w:val="auto"/>
                <w:sz w:val="24"/>
                <w:szCs w:val="24"/>
              </w:rPr>
            </w:pPr>
          </w:p>
        </w:tc>
        <w:tc>
          <w:tcPr>
            <w:tcW w:w="1596" w:type="dxa"/>
            <w:vAlign w:val="center"/>
          </w:tcPr>
          <w:p w14:paraId="7D86CC94">
            <w:pPr>
              <w:spacing w:line="360" w:lineRule="auto"/>
              <w:ind w:firstLine="0"/>
              <w:jc w:val="center"/>
              <w:outlineLvl w:val="2"/>
              <w:rPr>
                <w:rFonts w:hint="eastAsia" w:ascii="宋体" w:hAnsi="宋体" w:eastAsia="宋体" w:cs="宋体"/>
                <w:color w:val="auto"/>
                <w:sz w:val="24"/>
                <w:szCs w:val="24"/>
              </w:rPr>
            </w:pPr>
          </w:p>
        </w:tc>
        <w:tc>
          <w:tcPr>
            <w:tcW w:w="2421" w:type="dxa"/>
            <w:vAlign w:val="center"/>
          </w:tcPr>
          <w:p w14:paraId="573AA206">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1EB7FF2E">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3CC8D670">
            <w:pPr>
              <w:spacing w:line="360" w:lineRule="auto"/>
              <w:ind w:firstLine="0"/>
              <w:jc w:val="center"/>
              <w:outlineLvl w:val="2"/>
              <w:rPr>
                <w:rFonts w:hint="eastAsia" w:ascii="宋体" w:hAnsi="宋体" w:eastAsia="宋体" w:cs="宋体"/>
                <w:color w:val="auto"/>
                <w:sz w:val="24"/>
                <w:szCs w:val="24"/>
              </w:rPr>
            </w:pPr>
          </w:p>
        </w:tc>
        <w:tc>
          <w:tcPr>
            <w:tcW w:w="1181" w:type="dxa"/>
            <w:vAlign w:val="center"/>
          </w:tcPr>
          <w:p w14:paraId="69EE9A15">
            <w:pPr>
              <w:spacing w:line="360" w:lineRule="auto"/>
              <w:ind w:firstLine="0"/>
              <w:jc w:val="center"/>
              <w:outlineLvl w:val="2"/>
              <w:rPr>
                <w:rFonts w:hint="eastAsia" w:ascii="宋体" w:hAnsi="宋体" w:eastAsia="宋体" w:cs="宋体"/>
                <w:color w:val="auto"/>
                <w:sz w:val="24"/>
                <w:szCs w:val="24"/>
              </w:rPr>
            </w:pPr>
          </w:p>
        </w:tc>
      </w:tr>
      <w:tr w14:paraId="6BDFEDB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57" w:type="dxa"/>
            <w:vAlign w:val="center"/>
          </w:tcPr>
          <w:p w14:paraId="49359112">
            <w:pPr>
              <w:spacing w:line="360" w:lineRule="auto"/>
              <w:ind w:firstLine="0"/>
              <w:jc w:val="center"/>
              <w:outlineLvl w:val="2"/>
              <w:rPr>
                <w:rFonts w:hint="eastAsia" w:ascii="宋体" w:hAnsi="宋体" w:eastAsia="宋体" w:cs="宋体"/>
                <w:color w:val="auto"/>
                <w:sz w:val="24"/>
                <w:szCs w:val="24"/>
              </w:rPr>
            </w:pPr>
          </w:p>
        </w:tc>
        <w:tc>
          <w:tcPr>
            <w:tcW w:w="1596" w:type="dxa"/>
            <w:vAlign w:val="center"/>
          </w:tcPr>
          <w:p w14:paraId="08150E26">
            <w:pPr>
              <w:spacing w:line="360" w:lineRule="auto"/>
              <w:ind w:firstLine="0"/>
              <w:jc w:val="center"/>
              <w:outlineLvl w:val="2"/>
              <w:rPr>
                <w:rFonts w:hint="eastAsia" w:ascii="宋体" w:hAnsi="宋体" w:eastAsia="宋体" w:cs="宋体"/>
                <w:color w:val="auto"/>
                <w:sz w:val="24"/>
                <w:szCs w:val="24"/>
              </w:rPr>
            </w:pPr>
          </w:p>
        </w:tc>
        <w:tc>
          <w:tcPr>
            <w:tcW w:w="2421" w:type="dxa"/>
            <w:vAlign w:val="center"/>
          </w:tcPr>
          <w:p w14:paraId="67AAC188">
            <w:pPr>
              <w:spacing w:line="360" w:lineRule="auto"/>
              <w:ind w:firstLine="0"/>
              <w:jc w:val="center"/>
              <w:outlineLvl w:val="2"/>
              <w:rPr>
                <w:rFonts w:hint="eastAsia" w:ascii="宋体" w:hAnsi="宋体" w:eastAsia="宋体" w:cs="宋体"/>
                <w:color w:val="auto"/>
                <w:sz w:val="24"/>
                <w:szCs w:val="24"/>
              </w:rPr>
            </w:pPr>
          </w:p>
        </w:tc>
        <w:tc>
          <w:tcPr>
            <w:tcW w:w="1984" w:type="dxa"/>
            <w:vAlign w:val="center"/>
          </w:tcPr>
          <w:p w14:paraId="5C7E3E73">
            <w:pPr>
              <w:spacing w:line="360" w:lineRule="auto"/>
              <w:ind w:firstLine="0"/>
              <w:jc w:val="center"/>
              <w:outlineLvl w:val="2"/>
              <w:rPr>
                <w:rFonts w:hint="eastAsia" w:ascii="宋体" w:hAnsi="宋体" w:eastAsia="宋体" w:cs="宋体"/>
                <w:color w:val="auto"/>
                <w:sz w:val="24"/>
                <w:szCs w:val="24"/>
              </w:rPr>
            </w:pPr>
          </w:p>
        </w:tc>
        <w:tc>
          <w:tcPr>
            <w:tcW w:w="1265" w:type="dxa"/>
            <w:vAlign w:val="center"/>
          </w:tcPr>
          <w:p w14:paraId="71A3E173">
            <w:pPr>
              <w:spacing w:line="360" w:lineRule="auto"/>
              <w:ind w:firstLine="0"/>
              <w:jc w:val="center"/>
              <w:outlineLvl w:val="2"/>
              <w:rPr>
                <w:rFonts w:hint="eastAsia" w:ascii="宋体" w:hAnsi="宋体" w:eastAsia="宋体" w:cs="宋体"/>
                <w:color w:val="auto"/>
                <w:sz w:val="24"/>
                <w:szCs w:val="24"/>
              </w:rPr>
            </w:pPr>
          </w:p>
        </w:tc>
        <w:tc>
          <w:tcPr>
            <w:tcW w:w="1181" w:type="dxa"/>
            <w:vAlign w:val="center"/>
          </w:tcPr>
          <w:p w14:paraId="5A9A4FA5">
            <w:pPr>
              <w:spacing w:line="360" w:lineRule="auto"/>
              <w:ind w:firstLine="0"/>
              <w:jc w:val="center"/>
              <w:outlineLvl w:val="2"/>
              <w:rPr>
                <w:rFonts w:hint="eastAsia" w:ascii="宋体" w:hAnsi="宋体" w:eastAsia="宋体" w:cs="宋体"/>
                <w:color w:val="auto"/>
                <w:sz w:val="24"/>
                <w:szCs w:val="24"/>
              </w:rPr>
            </w:pPr>
          </w:p>
        </w:tc>
      </w:tr>
    </w:tbl>
    <w:p w14:paraId="49F5DAF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附《监督抽查不符合项目通知书》</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份，一并上报给你部门。</w:t>
      </w:r>
    </w:p>
    <w:p w14:paraId="3C2B6BF0">
      <w:pPr>
        <w:spacing w:line="360" w:lineRule="auto"/>
        <w:ind w:firstLine="0"/>
        <w:rPr>
          <w:rFonts w:hint="eastAsia" w:ascii="宋体" w:hAnsi="宋体" w:eastAsia="宋体" w:cs="宋体"/>
          <w:color w:val="auto"/>
          <w:sz w:val="24"/>
          <w:szCs w:val="24"/>
        </w:rPr>
      </w:pPr>
    </w:p>
    <w:p w14:paraId="023A46FD">
      <w:pPr>
        <w:spacing w:line="360" w:lineRule="auto"/>
        <w:ind w:firstLine="0"/>
        <w:rPr>
          <w:rFonts w:hint="eastAsia" w:ascii="宋体" w:hAnsi="宋体" w:eastAsia="宋体" w:cs="宋体"/>
          <w:color w:val="auto"/>
          <w:sz w:val="24"/>
          <w:szCs w:val="24"/>
        </w:rPr>
      </w:pPr>
    </w:p>
    <w:p w14:paraId="66139E97">
      <w:pPr>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（监督抽查机构盖章）</w:t>
      </w:r>
    </w:p>
    <w:p w14:paraId="0D74FBA1">
      <w:pPr>
        <w:spacing w:line="360" w:lineRule="auto"/>
        <w:ind w:firstLine="5280" w:firstLineChars="2200"/>
        <w:rPr>
          <w:rFonts w:hint="eastAsia" w:ascii="宋体" w:hAnsi="宋体" w:eastAsia="宋体" w:cs="宋体"/>
          <w:color w:val="auto"/>
          <w:sz w:val="24"/>
          <w:szCs w:val="24"/>
        </w:rPr>
      </w:pPr>
    </w:p>
    <w:p w14:paraId="731548B1">
      <w:pPr>
        <w:spacing w:line="360" w:lineRule="auto"/>
        <w:ind w:firstLine="0"/>
        <w:jc w:val="righ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325E796A">
      <w:pPr>
        <w:spacing w:line="360" w:lineRule="auto"/>
        <w:ind w:firstLine="0"/>
        <w:rPr>
          <w:rFonts w:hint="eastAsia" w:ascii="宋体" w:hAnsi="宋体" w:eastAsia="宋体" w:cs="宋体"/>
          <w:color w:val="auto"/>
          <w:sz w:val="24"/>
          <w:szCs w:val="24"/>
        </w:rPr>
      </w:pPr>
    </w:p>
    <w:p w14:paraId="6F3C4B7F">
      <w:pPr>
        <w:spacing w:line="360" w:lineRule="auto"/>
        <w:ind w:firstLine="0"/>
        <w:rPr>
          <w:rFonts w:hint="eastAsia" w:ascii="宋体" w:hAnsi="宋体" w:eastAsia="宋体" w:cs="宋体"/>
          <w:color w:val="auto"/>
          <w:sz w:val="24"/>
          <w:szCs w:val="24"/>
        </w:rPr>
      </w:pPr>
    </w:p>
    <w:p w14:paraId="3D78C789">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注：此报送单接收部门和监督抽查机构各一份。</w:t>
      </w:r>
    </w:p>
    <w:p w14:paraId="4A4134C8">
      <w:pPr>
        <w:spacing w:line="72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r>
        <w:rPr>
          <w:rFonts w:hint="eastAsia" w:ascii="宋体" w:hAnsi="宋体" w:eastAsia="宋体" w:cs="宋体"/>
          <w:bCs/>
          <w:color w:val="auto"/>
          <w:sz w:val="32"/>
          <w:szCs w:val="32"/>
        </w:rPr>
        <w:t>严重事故隐患（重大违法行为）</w:t>
      </w:r>
      <w:r>
        <w:rPr>
          <w:rFonts w:hint="eastAsia" w:ascii="宋体" w:hAnsi="宋体" w:eastAsia="宋体" w:cs="宋体"/>
          <w:color w:val="auto"/>
          <w:sz w:val="32"/>
          <w:szCs w:val="32"/>
        </w:rPr>
        <w:t>汇总表</w:t>
      </w:r>
    </w:p>
    <w:p w14:paraId="6F738CA8">
      <w:pPr>
        <w:spacing w:line="320" w:lineRule="exact"/>
        <w:ind w:firstLine="0"/>
        <w:jc w:val="center"/>
        <w:outlineLvl w:val="2"/>
        <w:rPr>
          <w:rFonts w:hint="eastAsia" w:ascii="宋体" w:hAnsi="宋体" w:eastAsia="宋体" w:cs="宋体"/>
          <w:color w:val="auto"/>
          <w:szCs w:val="21"/>
        </w:rPr>
      </w:pPr>
    </w:p>
    <w:p w14:paraId="0E3D264C">
      <w:pPr>
        <w:spacing w:afterLines="50"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监督抽查机构（盖章）                   填表日期：  年  月  日</w:t>
      </w:r>
    </w:p>
    <w:tbl>
      <w:tblPr>
        <w:tblStyle w:val="2"/>
        <w:tblW w:w="970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94"/>
        <w:gridCol w:w="2268"/>
        <w:gridCol w:w="2977"/>
        <w:gridCol w:w="2835"/>
        <w:gridCol w:w="930"/>
      </w:tblGrid>
      <w:tr w14:paraId="24A9C05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94" w:type="dxa"/>
            <w:vAlign w:val="center"/>
          </w:tcPr>
          <w:p w14:paraId="420EC5B1">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2268" w:type="dxa"/>
            <w:vAlign w:val="center"/>
          </w:tcPr>
          <w:p w14:paraId="08286D66">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受检单位</w:t>
            </w:r>
          </w:p>
        </w:tc>
        <w:tc>
          <w:tcPr>
            <w:tcW w:w="2977" w:type="dxa"/>
            <w:vAlign w:val="center"/>
          </w:tcPr>
          <w:p w14:paraId="6A61DCAA">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注册代码</w:t>
            </w:r>
          </w:p>
        </w:tc>
        <w:tc>
          <w:tcPr>
            <w:tcW w:w="2835" w:type="dxa"/>
            <w:vAlign w:val="center"/>
          </w:tcPr>
          <w:p w14:paraId="17A464FD">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严重隐患、重大问题描述</w:t>
            </w:r>
          </w:p>
        </w:tc>
        <w:tc>
          <w:tcPr>
            <w:tcW w:w="930" w:type="dxa"/>
            <w:vAlign w:val="center"/>
          </w:tcPr>
          <w:p w14:paraId="101F94EE">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附件</w:t>
            </w:r>
          </w:p>
        </w:tc>
      </w:tr>
      <w:tr w14:paraId="22450E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2F72A693">
            <w:pPr>
              <w:spacing w:line="360" w:lineRule="auto"/>
              <w:ind w:firstLine="0"/>
              <w:jc w:val="center"/>
              <w:rPr>
                <w:rFonts w:hint="eastAsia" w:ascii="宋体" w:hAnsi="宋体" w:eastAsia="宋体" w:cs="宋体"/>
                <w:color w:val="auto"/>
                <w:sz w:val="24"/>
                <w:szCs w:val="24"/>
              </w:rPr>
            </w:pPr>
          </w:p>
        </w:tc>
        <w:tc>
          <w:tcPr>
            <w:tcW w:w="2268" w:type="dxa"/>
            <w:vAlign w:val="center"/>
          </w:tcPr>
          <w:p w14:paraId="7C300372">
            <w:pPr>
              <w:spacing w:line="360" w:lineRule="auto"/>
              <w:ind w:firstLine="0"/>
              <w:jc w:val="center"/>
              <w:rPr>
                <w:rFonts w:hint="eastAsia" w:ascii="宋体" w:hAnsi="宋体" w:eastAsia="宋体" w:cs="宋体"/>
                <w:color w:val="auto"/>
                <w:sz w:val="24"/>
                <w:szCs w:val="24"/>
              </w:rPr>
            </w:pPr>
          </w:p>
        </w:tc>
        <w:tc>
          <w:tcPr>
            <w:tcW w:w="2977" w:type="dxa"/>
            <w:vAlign w:val="center"/>
          </w:tcPr>
          <w:p w14:paraId="22133647">
            <w:pPr>
              <w:spacing w:line="360" w:lineRule="auto"/>
              <w:ind w:firstLine="0"/>
              <w:jc w:val="center"/>
              <w:rPr>
                <w:rFonts w:hint="eastAsia" w:ascii="宋体" w:hAnsi="宋体" w:eastAsia="宋体" w:cs="宋体"/>
                <w:color w:val="auto"/>
                <w:sz w:val="24"/>
                <w:szCs w:val="24"/>
              </w:rPr>
            </w:pPr>
          </w:p>
        </w:tc>
        <w:tc>
          <w:tcPr>
            <w:tcW w:w="2835" w:type="dxa"/>
            <w:vAlign w:val="center"/>
          </w:tcPr>
          <w:p w14:paraId="3FD212F4">
            <w:pPr>
              <w:spacing w:line="360" w:lineRule="auto"/>
              <w:ind w:firstLine="0"/>
              <w:jc w:val="center"/>
              <w:rPr>
                <w:rFonts w:hint="eastAsia" w:ascii="宋体" w:hAnsi="宋体" w:eastAsia="宋体" w:cs="宋体"/>
                <w:color w:val="auto"/>
                <w:sz w:val="24"/>
                <w:szCs w:val="24"/>
              </w:rPr>
            </w:pPr>
          </w:p>
        </w:tc>
        <w:tc>
          <w:tcPr>
            <w:tcW w:w="930" w:type="dxa"/>
            <w:vAlign w:val="center"/>
          </w:tcPr>
          <w:p w14:paraId="7AE8079A">
            <w:pPr>
              <w:spacing w:line="360" w:lineRule="auto"/>
              <w:ind w:firstLine="0"/>
              <w:jc w:val="center"/>
              <w:rPr>
                <w:rFonts w:hint="eastAsia" w:ascii="宋体" w:hAnsi="宋体" w:eastAsia="宋体" w:cs="宋体"/>
                <w:color w:val="auto"/>
                <w:sz w:val="24"/>
                <w:szCs w:val="24"/>
              </w:rPr>
            </w:pPr>
          </w:p>
        </w:tc>
      </w:tr>
      <w:tr w14:paraId="61E6C65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5D2F0C0B">
            <w:pPr>
              <w:spacing w:line="360" w:lineRule="auto"/>
              <w:ind w:firstLine="0"/>
              <w:jc w:val="center"/>
              <w:rPr>
                <w:rFonts w:hint="eastAsia" w:ascii="宋体" w:hAnsi="宋体" w:eastAsia="宋体" w:cs="宋体"/>
                <w:color w:val="auto"/>
                <w:sz w:val="24"/>
                <w:szCs w:val="24"/>
              </w:rPr>
            </w:pPr>
          </w:p>
        </w:tc>
        <w:tc>
          <w:tcPr>
            <w:tcW w:w="2268" w:type="dxa"/>
            <w:vAlign w:val="center"/>
          </w:tcPr>
          <w:p w14:paraId="1F8E5392">
            <w:pPr>
              <w:spacing w:line="360" w:lineRule="auto"/>
              <w:ind w:firstLine="0"/>
              <w:jc w:val="center"/>
              <w:rPr>
                <w:rFonts w:hint="eastAsia" w:ascii="宋体" w:hAnsi="宋体" w:eastAsia="宋体" w:cs="宋体"/>
                <w:color w:val="auto"/>
                <w:sz w:val="24"/>
                <w:szCs w:val="24"/>
              </w:rPr>
            </w:pPr>
          </w:p>
        </w:tc>
        <w:tc>
          <w:tcPr>
            <w:tcW w:w="2977" w:type="dxa"/>
            <w:vAlign w:val="center"/>
          </w:tcPr>
          <w:p w14:paraId="603199CF">
            <w:pPr>
              <w:spacing w:line="360" w:lineRule="auto"/>
              <w:ind w:firstLine="0"/>
              <w:jc w:val="center"/>
              <w:rPr>
                <w:rFonts w:hint="eastAsia" w:ascii="宋体" w:hAnsi="宋体" w:eastAsia="宋体" w:cs="宋体"/>
                <w:color w:val="auto"/>
                <w:sz w:val="24"/>
                <w:szCs w:val="24"/>
              </w:rPr>
            </w:pPr>
          </w:p>
        </w:tc>
        <w:tc>
          <w:tcPr>
            <w:tcW w:w="2835" w:type="dxa"/>
            <w:vAlign w:val="center"/>
          </w:tcPr>
          <w:p w14:paraId="1F864856">
            <w:pPr>
              <w:spacing w:line="360" w:lineRule="auto"/>
              <w:ind w:firstLine="0"/>
              <w:jc w:val="center"/>
              <w:rPr>
                <w:rFonts w:hint="eastAsia" w:ascii="宋体" w:hAnsi="宋体" w:eastAsia="宋体" w:cs="宋体"/>
                <w:color w:val="auto"/>
                <w:sz w:val="24"/>
                <w:szCs w:val="24"/>
              </w:rPr>
            </w:pPr>
          </w:p>
        </w:tc>
        <w:tc>
          <w:tcPr>
            <w:tcW w:w="930" w:type="dxa"/>
            <w:vAlign w:val="center"/>
          </w:tcPr>
          <w:p w14:paraId="0EE35F52">
            <w:pPr>
              <w:spacing w:line="360" w:lineRule="auto"/>
              <w:ind w:firstLine="0"/>
              <w:jc w:val="center"/>
              <w:rPr>
                <w:rFonts w:hint="eastAsia" w:ascii="宋体" w:hAnsi="宋体" w:eastAsia="宋体" w:cs="宋体"/>
                <w:color w:val="auto"/>
                <w:sz w:val="24"/>
                <w:szCs w:val="24"/>
              </w:rPr>
            </w:pPr>
          </w:p>
        </w:tc>
      </w:tr>
      <w:tr w14:paraId="47FD41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67866BB5">
            <w:pPr>
              <w:spacing w:line="360" w:lineRule="auto"/>
              <w:ind w:firstLine="0"/>
              <w:jc w:val="center"/>
              <w:rPr>
                <w:rFonts w:hint="eastAsia" w:ascii="宋体" w:hAnsi="宋体" w:eastAsia="宋体" w:cs="宋体"/>
                <w:color w:val="auto"/>
                <w:sz w:val="24"/>
                <w:szCs w:val="24"/>
              </w:rPr>
            </w:pPr>
          </w:p>
        </w:tc>
        <w:tc>
          <w:tcPr>
            <w:tcW w:w="2268" w:type="dxa"/>
            <w:vAlign w:val="center"/>
          </w:tcPr>
          <w:p w14:paraId="1D468B25">
            <w:pPr>
              <w:spacing w:line="360" w:lineRule="auto"/>
              <w:ind w:firstLine="0"/>
              <w:jc w:val="center"/>
              <w:rPr>
                <w:rFonts w:hint="eastAsia" w:ascii="宋体" w:hAnsi="宋体" w:eastAsia="宋体" w:cs="宋体"/>
                <w:color w:val="auto"/>
                <w:sz w:val="24"/>
                <w:szCs w:val="24"/>
              </w:rPr>
            </w:pPr>
          </w:p>
        </w:tc>
        <w:tc>
          <w:tcPr>
            <w:tcW w:w="2977" w:type="dxa"/>
            <w:vAlign w:val="center"/>
          </w:tcPr>
          <w:p w14:paraId="24128CC7">
            <w:pPr>
              <w:spacing w:line="360" w:lineRule="auto"/>
              <w:ind w:firstLine="0"/>
              <w:jc w:val="center"/>
              <w:rPr>
                <w:rFonts w:hint="eastAsia" w:ascii="宋体" w:hAnsi="宋体" w:eastAsia="宋体" w:cs="宋体"/>
                <w:color w:val="auto"/>
                <w:sz w:val="24"/>
                <w:szCs w:val="24"/>
              </w:rPr>
            </w:pPr>
          </w:p>
        </w:tc>
        <w:tc>
          <w:tcPr>
            <w:tcW w:w="2835" w:type="dxa"/>
            <w:vAlign w:val="center"/>
          </w:tcPr>
          <w:p w14:paraId="2F2DFE7D">
            <w:pPr>
              <w:spacing w:line="360" w:lineRule="auto"/>
              <w:ind w:firstLine="0"/>
              <w:jc w:val="center"/>
              <w:rPr>
                <w:rFonts w:hint="eastAsia" w:ascii="宋体" w:hAnsi="宋体" w:eastAsia="宋体" w:cs="宋体"/>
                <w:color w:val="auto"/>
                <w:sz w:val="24"/>
                <w:szCs w:val="24"/>
              </w:rPr>
            </w:pPr>
          </w:p>
        </w:tc>
        <w:tc>
          <w:tcPr>
            <w:tcW w:w="930" w:type="dxa"/>
            <w:vAlign w:val="center"/>
          </w:tcPr>
          <w:p w14:paraId="322DCEA4">
            <w:pPr>
              <w:spacing w:line="360" w:lineRule="auto"/>
              <w:ind w:firstLine="0"/>
              <w:jc w:val="center"/>
              <w:rPr>
                <w:rFonts w:hint="eastAsia" w:ascii="宋体" w:hAnsi="宋体" w:eastAsia="宋体" w:cs="宋体"/>
                <w:color w:val="auto"/>
                <w:sz w:val="24"/>
                <w:szCs w:val="24"/>
              </w:rPr>
            </w:pPr>
          </w:p>
        </w:tc>
      </w:tr>
      <w:tr w14:paraId="5173CCA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2CE98E51">
            <w:pPr>
              <w:spacing w:line="360" w:lineRule="auto"/>
              <w:ind w:firstLine="0"/>
              <w:jc w:val="center"/>
              <w:rPr>
                <w:rFonts w:hint="eastAsia" w:ascii="宋体" w:hAnsi="宋体" w:eastAsia="宋体" w:cs="宋体"/>
                <w:color w:val="auto"/>
                <w:sz w:val="24"/>
                <w:szCs w:val="24"/>
              </w:rPr>
            </w:pPr>
          </w:p>
        </w:tc>
        <w:tc>
          <w:tcPr>
            <w:tcW w:w="2268" w:type="dxa"/>
            <w:vAlign w:val="center"/>
          </w:tcPr>
          <w:p w14:paraId="643596F4">
            <w:pPr>
              <w:spacing w:line="360" w:lineRule="auto"/>
              <w:ind w:firstLine="0"/>
              <w:jc w:val="center"/>
              <w:rPr>
                <w:rFonts w:hint="eastAsia" w:ascii="宋体" w:hAnsi="宋体" w:eastAsia="宋体" w:cs="宋体"/>
                <w:color w:val="auto"/>
                <w:sz w:val="24"/>
                <w:szCs w:val="24"/>
              </w:rPr>
            </w:pPr>
          </w:p>
        </w:tc>
        <w:tc>
          <w:tcPr>
            <w:tcW w:w="2977" w:type="dxa"/>
            <w:vAlign w:val="center"/>
          </w:tcPr>
          <w:p w14:paraId="66439AAF">
            <w:pPr>
              <w:spacing w:line="360" w:lineRule="auto"/>
              <w:ind w:firstLine="0"/>
              <w:jc w:val="center"/>
              <w:rPr>
                <w:rFonts w:hint="eastAsia" w:ascii="宋体" w:hAnsi="宋体" w:eastAsia="宋体" w:cs="宋体"/>
                <w:color w:val="auto"/>
                <w:sz w:val="24"/>
                <w:szCs w:val="24"/>
              </w:rPr>
            </w:pPr>
          </w:p>
        </w:tc>
        <w:tc>
          <w:tcPr>
            <w:tcW w:w="2835" w:type="dxa"/>
            <w:vAlign w:val="center"/>
          </w:tcPr>
          <w:p w14:paraId="5C12DCC1">
            <w:pPr>
              <w:spacing w:line="360" w:lineRule="auto"/>
              <w:ind w:firstLine="0"/>
              <w:jc w:val="center"/>
              <w:rPr>
                <w:rFonts w:hint="eastAsia" w:ascii="宋体" w:hAnsi="宋体" w:eastAsia="宋体" w:cs="宋体"/>
                <w:color w:val="auto"/>
                <w:sz w:val="24"/>
                <w:szCs w:val="24"/>
              </w:rPr>
            </w:pPr>
          </w:p>
        </w:tc>
        <w:tc>
          <w:tcPr>
            <w:tcW w:w="930" w:type="dxa"/>
            <w:vAlign w:val="center"/>
          </w:tcPr>
          <w:p w14:paraId="426E5A2B">
            <w:pPr>
              <w:spacing w:line="360" w:lineRule="auto"/>
              <w:ind w:firstLine="0"/>
              <w:jc w:val="center"/>
              <w:rPr>
                <w:rFonts w:hint="eastAsia" w:ascii="宋体" w:hAnsi="宋体" w:eastAsia="宋体" w:cs="宋体"/>
                <w:color w:val="auto"/>
                <w:sz w:val="24"/>
                <w:szCs w:val="24"/>
              </w:rPr>
            </w:pPr>
          </w:p>
        </w:tc>
      </w:tr>
      <w:tr w14:paraId="6053A75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1EB8C9A8">
            <w:pPr>
              <w:spacing w:line="360" w:lineRule="auto"/>
              <w:ind w:firstLine="0"/>
              <w:jc w:val="center"/>
              <w:rPr>
                <w:rFonts w:hint="eastAsia" w:ascii="宋体" w:hAnsi="宋体" w:eastAsia="宋体" w:cs="宋体"/>
                <w:color w:val="auto"/>
                <w:sz w:val="24"/>
                <w:szCs w:val="24"/>
              </w:rPr>
            </w:pPr>
          </w:p>
        </w:tc>
        <w:tc>
          <w:tcPr>
            <w:tcW w:w="2268" w:type="dxa"/>
            <w:vAlign w:val="center"/>
          </w:tcPr>
          <w:p w14:paraId="76B718A3">
            <w:pPr>
              <w:spacing w:line="360" w:lineRule="auto"/>
              <w:ind w:firstLine="0"/>
              <w:jc w:val="center"/>
              <w:rPr>
                <w:rFonts w:hint="eastAsia" w:ascii="宋体" w:hAnsi="宋体" w:eastAsia="宋体" w:cs="宋体"/>
                <w:color w:val="auto"/>
                <w:sz w:val="24"/>
                <w:szCs w:val="24"/>
              </w:rPr>
            </w:pPr>
          </w:p>
        </w:tc>
        <w:tc>
          <w:tcPr>
            <w:tcW w:w="2977" w:type="dxa"/>
            <w:vAlign w:val="center"/>
          </w:tcPr>
          <w:p w14:paraId="53E980E3">
            <w:pPr>
              <w:spacing w:line="360" w:lineRule="auto"/>
              <w:ind w:firstLine="0"/>
              <w:jc w:val="center"/>
              <w:rPr>
                <w:rFonts w:hint="eastAsia" w:ascii="宋体" w:hAnsi="宋体" w:eastAsia="宋体" w:cs="宋体"/>
                <w:color w:val="auto"/>
                <w:sz w:val="24"/>
                <w:szCs w:val="24"/>
              </w:rPr>
            </w:pPr>
          </w:p>
        </w:tc>
        <w:tc>
          <w:tcPr>
            <w:tcW w:w="2835" w:type="dxa"/>
            <w:vAlign w:val="center"/>
          </w:tcPr>
          <w:p w14:paraId="08A2784D">
            <w:pPr>
              <w:spacing w:line="360" w:lineRule="auto"/>
              <w:ind w:firstLine="0"/>
              <w:jc w:val="center"/>
              <w:rPr>
                <w:rFonts w:hint="eastAsia" w:ascii="宋体" w:hAnsi="宋体" w:eastAsia="宋体" w:cs="宋体"/>
                <w:color w:val="auto"/>
                <w:sz w:val="24"/>
                <w:szCs w:val="24"/>
              </w:rPr>
            </w:pPr>
          </w:p>
        </w:tc>
        <w:tc>
          <w:tcPr>
            <w:tcW w:w="930" w:type="dxa"/>
            <w:vAlign w:val="center"/>
          </w:tcPr>
          <w:p w14:paraId="0897AA5E">
            <w:pPr>
              <w:spacing w:line="360" w:lineRule="auto"/>
              <w:ind w:firstLine="0"/>
              <w:jc w:val="center"/>
              <w:rPr>
                <w:rFonts w:hint="eastAsia" w:ascii="宋体" w:hAnsi="宋体" w:eastAsia="宋体" w:cs="宋体"/>
                <w:color w:val="auto"/>
                <w:sz w:val="24"/>
                <w:szCs w:val="24"/>
              </w:rPr>
            </w:pPr>
          </w:p>
        </w:tc>
      </w:tr>
      <w:tr w14:paraId="7F4B3BD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262C0206">
            <w:pPr>
              <w:spacing w:line="360" w:lineRule="auto"/>
              <w:ind w:firstLine="0"/>
              <w:jc w:val="center"/>
              <w:rPr>
                <w:rFonts w:hint="eastAsia" w:ascii="宋体" w:hAnsi="宋体" w:eastAsia="宋体" w:cs="宋体"/>
                <w:color w:val="auto"/>
                <w:sz w:val="24"/>
                <w:szCs w:val="24"/>
              </w:rPr>
            </w:pPr>
          </w:p>
        </w:tc>
        <w:tc>
          <w:tcPr>
            <w:tcW w:w="2268" w:type="dxa"/>
            <w:vAlign w:val="center"/>
          </w:tcPr>
          <w:p w14:paraId="1EE9B80A">
            <w:pPr>
              <w:spacing w:line="360" w:lineRule="auto"/>
              <w:ind w:firstLine="0"/>
              <w:jc w:val="center"/>
              <w:rPr>
                <w:rFonts w:hint="eastAsia" w:ascii="宋体" w:hAnsi="宋体" w:eastAsia="宋体" w:cs="宋体"/>
                <w:color w:val="auto"/>
                <w:sz w:val="24"/>
                <w:szCs w:val="24"/>
              </w:rPr>
            </w:pPr>
          </w:p>
        </w:tc>
        <w:tc>
          <w:tcPr>
            <w:tcW w:w="2977" w:type="dxa"/>
            <w:vAlign w:val="center"/>
          </w:tcPr>
          <w:p w14:paraId="15481994">
            <w:pPr>
              <w:spacing w:line="360" w:lineRule="auto"/>
              <w:ind w:firstLine="0"/>
              <w:jc w:val="center"/>
              <w:rPr>
                <w:rFonts w:hint="eastAsia" w:ascii="宋体" w:hAnsi="宋体" w:eastAsia="宋体" w:cs="宋体"/>
                <w:color w:val="auto"/>
                <w:sz w:val="24"/>
                <w:szCs w:val="24"/>
              </w:rPr>
            </w:pPr>
          </w:p>
        </w:tc>
        <w:tc>
          <w:tcPr>
            <w:tcW w:w="2835" w:type="dxa"/>
            <w:vAlign w:val="center"/>
          </w:tcPr>
          <w:p w14:paraId="7CA9F289">
            <w:pPr>
              <w:spacing w:line="360" w:lineRule="auto"/>
              <w:ind w:firstLine="0"/>
              <w:jc w:val="center"/>
              <w:rPr>
                <w:rFonts w:hint="eastAsia" w:ascii="宋体" w:hAnsi="宋体" w:eastAsia="宋体" w:cs="宋体"/>
                <w:color w:val="auto"/>
                <w:sz w:val="24"/>
                <w:szCs w:val="24"/>
              </w:rPr>
            </w:pPr>
          </w:p>
        </w:tc>
        <w:tc>
          <w:tcPr>
            <w:tcW w:w="930" w:type="dxa"/>
            <w:vAlign w:val="center"/>
          </w:tcPr>
          <w:p w14:paraId="5561E8D6">
            <w:pPr>
              <w:spacing w:line="360" w:lineRule="auto"/>
              <w:ind w:firstLine="0"/>
              <w:jc w:val="center"/>
              <w:rPr>
                <w:rFonts w:hint="eastAsia" w:ascii="宋体" w:hAnsi="宋体" w:eastAsia="宋体" w:cs="宋体"/>
                <w:color w:val="auto"/>
                <w:sz w:val="24"/>
                <w:szCs w:val="24"/>
              </w:rPr>
            </w:pPr>
          </w:p>
        </w:tc>
      </w:tr>
      <w:tr w14:paraId="207D17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0548998D">
            <w:pPr>
              <w:spacing w:line="360" w:lineRule="auto"/>
              <w:ind w:firstLine="0"/>
              <w:jc w:val="center"/>
              <w:rPr>
                <w:rFonts w:hint="eastAsia" w:ascii="宋体" w:hAnsi="宋体" w:eastAsia="宋体" w:cs="宋体"/>
                <w:color w:val="auto"/>
                <w:sz w:val="24"/>
                <w:szCs w:val="24"/>
              </w:rPr>
            </w:pPr>
          </w:p>
        </w:tc>
        <w:tc>
          <w:tcPr>
            <w:tcW w:w="2268" w:type="dxa"/>
            <w:vAlign w:val="center"/>
          </w:tcPr>
          <w:p w14:paraId="6EA0169A">
            <w:pPr>
              <w:spacing w:line="360" w:lineRule="auto"/>
              <w:ind w:firstLine="0"/>
              <w:jc w:val="center"/>
              <w:rPr>
                <w:rFonts w:hint="eastAsia" w:ascii="宋体" w:hAnsi="宋体" w:eastAsia="宋体" w:cs="宋体"/>
                <w:color w:val="auto"/>
                <w:sz w:val="24"/>
                <w:szCs w:val="24"/>
              </w:rPr>
            </w:pPr>
          </w:p>
        </w:tc>
        <w:tc>
          <w:tcPr>
            <w:tcW w:w="2977" w:type="dxa"/>
            <w:vAlign w:val="center"/>
          </w:tcPr>
          <w:p w14:paraId="0A03CB8A">
            <w:pPr>
              <w:spacing w:line="360" w:lineRule="auto"/>
              <w:ind w:firstLine="0"/>
              <w:jc w:val="center"/>
              <w:rPr>
                <w:rFonts w:hint="eastAsia" w:ascii="宋体" w:hAnsi="宋体" w:eastAsia="宋体" w:cs="宋体"/>
                <w:color w:val="auto"/>
                <w:sz w:val="24"/>
                <w:szCs w:val="24"/>
              </w:rPr>
            </w:pPr>
          </w:p>
        </w:tc>
        <w:tc>
          <w:tcPr>
            <w:tcW w:w="2835" w:type="dxa"/>
            <w:vAlign w:val="center"/>
          </w:tcPr>
          <w:p w14:paraId="44E3F0C6">
            <w:pPr>
              <w:spacing w:line="360" w:lineRule="auto"/>
              <w:ind w:firstLine="0"/>
              <w:jc w:val="center"/>
              <w:rPr>
                <w:rFonts w:hint="eastAsia" w:ascii="宋体" w:hAnsi="宋体" w:eastAsia="宋体" w:cs="宋体"/>
                <w:color w:val="auto"/>
                <w:sz w:val="24"/>
                <w:szCs w:val="24"/>
              </w:rPr>
            </w:pPr>
          </w:p>
        </w:tc>
        <w:tc>
          <w:tcPr>
            <w:tcW w:w="930" w:type="dxa"/>
            <w:vAlign w:val="center"/>
          </w:tcPr>
          <w:p w14:paraId="0A5EACE5">
            <w:pPr>
              <w:spacing w:line="360" w:lineRule="auto"/>
              <w:ind w:firstLine="0"/>
              <w:jc w:val="center"/>
              <w:rPr>
                <w:rFonts w:hint="eastAsia" w:ascii="宋体" w:hAnsi="宋体" w:eastAsia="宋体" w:cs="宋体"/>
                <w:color w:val="auto"/>
                <w:sz w:val="24"/>
                <w:szCs w:val="24"/>
              </w:rPr>
            </w:pPr>
          </w:p>
        </w:tc>
      </w:tr>
      <w:tr w14:paraId="2FF2BB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468FF5DC">
            <w:pPr>
              <w:spacing w:line="360" w:lineRule="auto"/>
              <w:ind w:firstLine="0"/>
              <w:jc w:val="center"/>
              <w:rPr>
                <w:rFonts w:hint="eastAsia" w:ascii="宋体" w:hAnsi="宋体" w:eastAsia="宋体" w:cs="宋体"/>
                <w:color w:val="auto"/>
                <w:sz w:val="24"/>
                <w:szCs w:val="24"/>
              </w:rPr>
            </w:pPr>
          </w:p>
        </w:tc>
        <w:tc>
          <w:tcPr>
            <w:tcW w:w="2268" w:type="dxa"/>
            <w:vAlign w:val="center"/>
          </w:tcPr>
          <w:p w14:paraId="29443D35">
            <w:pPr>
              <w:spacing w:line="360" w:lineRule="auto"/>
              <w:ind w:firstLine="0"/>
              <w:jc w:val="center"/>
              <w:rPr>
                <w:rFonts w:hint="eastAsia" w:ascii="宋体" w:hAnsi="宋体" w:eastAsia="宋体" w:cs="宋体"/>
                <w:color w:val="auto"/>
                <w:sz w:val="24"/>
                <w:szCs w:val="24"/>
              </w:rPr>
            </w:pPr>
          </w:p>
        </w:tc>
        <w:tc>
          <w:tcPr>
            <w:tcW w:w="2977" w:type="dxa"/>
            <w:vAlign w:val="center"/>
          </w:tcPr>
          <w:p w14:paraId="100040D7">
            <w:pPr>
              <w:spacing w:line="360" w:lineRule="auto"/>
              <w:ind w:firstLine="0"/>
              <w:jc w:val="center"/>
              <w:rPr>
                <w:rFonts w:hint="eastAsia" w:ascii="宋体" w:hAnsi="宋体" w:eastAsia="宋体" w:cs="宋体"/>
                <w:color w:val="auto"/>
                <w:sz w:val="24"/>
                <w:szCs w:val="24"/>
              </w:rPr>
            </w:pPr>
          </w:p>
        </w:tc>
        <w:tc>
          <w:tcPr>
            <w:tcW w:w="2835" w:type="dxa"/>
            <w:vAlign w:val="center"/>
          </w:tcPr>
          <w:p w14:paraId="62F432B5">
            <w:pPr>
              <w:spacing w:line="360" w:lineRule="auto"/>
              <w:ind w:firstLine="0"/>
              <w:jc w:val="center"/>
              <w:rPr>
                <w:rFonts w:hint="eastAsia" w:ascii="宋体" w:hAnsi="宋体" w:eastAsia="宋体" w:cs="宋体"/>
                <w:color w:val="auto"/>
                <w:sz w:val="24"/>
                <w:szCs w:val="24"/>
              </w:rPr>
            </w:pPr>
          </w:p>
        </w:tc>
        <w:tc>
          <w:tcPr>
            <w:tcW w:w="930" w:type="dxa"/>
            <w:vAlign w:val="center"/>
          </w:tcPr>
          <w:p w14:paraId="3D88328C">
            <w:pPr>
              <w:spacing w:line="360" w:lineRule="auto"/>
              <w:ind w:firstLine="0"/>
              <w:jc w:val="center"/>
              <w:rPr>
                <w:rFonts w:hint="eastAsia" w:ascii="宋体" w:hAnsi="宋体" w:eastAsia="宋体" w:cs="宋体"/>
                <w:color w:val="auto"/>
                <w:sz w:val="24"/>
                <w:szCs w:val="24"/>
              </w:rPr>
            </w:pPr>
          </w:p>
        </w:tc>
      </w:tr>
      <w:tr w14:paraId="561487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2B674AFD">
            <w:pPr>
              <w:spacing w:line="360" w:lineRule="auto"/>
              <w:ind w:firstLine="0"/>
              <w:jc w:val="center"/>
              <w:rPr>
                <w:rFonts w:hint="eastAsia" w:ascii="宋体" w:hAnsi="宋体" w:eastAsia="宋体" w:cs="宋体"/>
                <w:color w:val="auto"/>
                <w:sz w:val="24"/>
                <w:szCs w:val="24"/>
              </w:rPr>
            </w:pPr>
          </w:p>
        </w:tc>
        <w:tc>
          <w:tcPr>
            <w:tcW w:w="2268" w:type="dxa"/>
            <w:vAlign w:val="center"/>
          </w:tcPr>
          <w:p w14:paraId="3E50F480">
            <w:pPr>
              <w:spacing w:line="360" w:lineRule="auto"/>
              <w:ind w:firstLine="0"/>
              <w:jc w:val="center"/>
              <w:rPr>
                <w:rFonts w:hint="eastAsia" w:ascii="宋体" w:hAnsi="宋体" w:eastAsia="宋体" w:cs="宋体"/>
                <w:color w:val="auto"/>
                <w:sz w:val="24"/>
                <w:szCs w:val="24"/>
              </w:rPr>
            </w:pPr>
          </w:p>
        </w:tc>
        <w:tc>
          <w:tcPr>
            <w:tcW w:w="2977" w:type="dxa"/>
            <w:vAlign w:val="center"/>
          </w:tcPr>
          <w:p w14:paraId="57307AB2">
            <w:pPr>
              <w:spacing w:line="360" w:lineRule="auto"/>
              <w:ind w:firstLine="0"/>
              <w:jc w:val="center"/>
              <w:rPr>
                <w:rFonts w:hint="eastAsia" w:ascii="宋体" w:hAnsi="宋体" w:eastAsia="宋体" w:cs="宋体"/>
                <w:color w:val="auto"/>
                <w:sz w:val="24"/>
                <w:szCs w:val="24"/>
              </w:rPr>
            </w:pPr>
          </w:p>
        </w:tc>
        <w:tc>
          <w:tcPr>
            <w:tcW w:w="2835" w:type="dxa"/>
            <w:vAlign w:val="center"/>
          </w:tcPr>
          <w:p w14:paraId="60A38242">
            <w:pPr>
              <w:spacing w:line="360" w:lineRule="auto"/>
              <w:ind w:firstLine="0"/>
              <w:jc w:val="center"/>
              <w:rPr>
                <w:rFonts w:hint="eastAsia" w:ascii="宋体" w:hAnsi="宋体" w:eastAsia="宋体" w:cs="宋体"/>
                <w:color w:val="auto"/>
                <w:sz w:val="24"/>
                <w:szCs w:val="24"/>
              </w:rPr>
            </w:pPr>
          </w:p>
        </w:tc>
        <w:tc>
          <w:tcPr>
            <w:tcW w:w="930" w:type="dxa"/>
            <w:vAlign w:val="center"/>
          </w:tcPr>
          <w:p w14:paraId="7415B8F9">
            <w:pPr>
              <w:spacing w:line="360" w:lineRule="auto"/>
              <w:ind w:firstLine="0"/>
              <w:jc w:val="center"/>
              <w:rPr>
                <w:rFonts w:hint="eastAsia" w:ascii="宋体" w:hAnsi="宋体" w:eastAsia="宋体" w:cs="宋体"/>
                <w:color w:val="auto"/>
                <w:sz w:val="24"/>
                <w:szCs w:val="24"/>
              </w:rPr>
            </w:pPr>
          </w:p>
        </w:tc>
      </w:tr>
      <w:tr w14:paraId="46AAEFE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164D241A">
            <w:pPr>
              <w:spacing w:line="360" w:lineRule="auto"/>
              <w:ind w:firstLine="0"/>
              <w:jc w:val="center"/>
              <w:rPr>
                <w:rFonts w:hint="eastAsia" w:ascii="宋体" w:hAnsi="宋体" w:eastAsia="宋体" w:cs="宋体"/>
                <w:color w:val="auto"/>
                <w:sz w:val="24"/>
                <w:szCs w:val="24"/>
              </w:rPr>
            </w:pPr>
          </w:p>
        </w:tc>
        <w:tc>
          <w:tcPr>
            <w:tcW w:w="2268" w:type="dxa"/>
            <w:vAlign w:val="center"/>
          </w:tcPr>
          <w:p w14:paraId="1C8A659C">
            <w:pPr>
              <w:spacing w:line="360" w:lineRule="auto"/>
              <w:ind w:firstLine="0"/>
              <w:jc w:val="center"/>
              <w:rPr>
                <w:rFonts w:hint="eastAsia" w:ascii="宋体" w:hAnsi="宋体" w:eastAsia="宋体" w:cs="宋体"/>
                <w:color w:val="auto"/>
                <w:sz w:val="24"/>
                <w:szCs w:val="24"/>
              </w:rPr>
            </w:pPr>
          </w:p>
        </w:tc>
        <w:tc>
          <w:tcPr>
            <w:tcW w:w="2977" w:type="dxa"/>
            <w:vAlign w:val="center"/>
          </w:tcPr>
          <w:p w14:paraId="4E82C2A5">
            <w:pPr>
              <w:spacing w:line="360" w:lineRule="auto"/>
              <w:ind w:firstLine="0"/>
              <w:jc w:val="center"/>
              <w:rPr>
                <w:rFonts w:hint="eastAsia" w:ascii="宋体" w:hAnsi="宋体" w:eastAsia="宋体" w:cs="宋体"/>
                <w:color w:val="auto"/>
                <w:sz w:val="24"/>
                <w:szCs w:val="24"/>
              </w:rPr>
            </w:pPr>
          </w:p>
        </w:tc>
        <w:tc>
          <w:tcPr>
            <w:tcW w:w="2835" w:type="dxa"/>
            <w:vAlign w:val="center"/>
          </w:tcPr>
          <w:p w14:paraId="4722A87B">
            <w:pPr>
              <w:spacing w:line="360" w:lineRule="auto"/>
              <w:ind w:firstLine="0"/>
              <w:jc w:val="center"/>
              <w:rPr>
                <w:rFonts w:hint="eastAsia" w:ascii="宋体" w:hAnsi="宋体" w:eastAsia="宋体" w:cs="宋体"/>
                <w:color w:val="auto"/>
                <w:sz w:val="24"/>
                <w:szCs w:val="24"/>
              </w:rPr>
            </w:pPr>
          </w:p>
        </w:tc>
        <w:tc>
          <w:tcPr>
            <w:tcW w:w="930" w:type="dxa"/>
            <w:vAlign w:val="center"/>
          </w:tcPr>
          <w:p w14:paraId="2F7B5C39">
            <w:pPr>
              <w:spacing w:line="360" w:lineRule="auto"/>
              <w:ind w:firstLine="0"/>
              <w:jc w:val="center"/>
              <w:rPr>
                <w:rFonts w:hint="eastAsia" w:ascii="宋体" w:hAnsi="宋体" w:eastAsia="宋体" w:cs="宋体"/>
                <w:color w:val="auto"/>
                <w:sz w:val="24"/>
                <w:szCs w:val="24"/>
              </w:rPr>
            </w:pPr>
          </w:p>
        </w:tc>
      </w:tr>
      <w:tr w14:paraId="379A11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43735659">
            <w:pPr>
              <w:spacing w:line="360" w:lineRule="auto"/>
              <w:ind w:firstLine="0"/>
              <w:jc w:val="center"/>
              <w:rPr>
                <w:rFonts w:hint="eastAsia" w:ascii="宋体" w:hAnsi="宋体" w:eastAsia="宋体" w:cs="宋体"/>
                <w:color w:val="auto"/>
                <w:sz w:val="24"/>
                <w:szCs w:val="24"/>
              </w:rPr>
            </w:pPr>
          </w:p>
        </w:tc>
        <w:tc>
          <w:tcPr>
            <w:tcW w:w="2268" w:type="dxa"/>
            <w:vAlign w:val="center"/>
          </w:tcPr>
          <w:p w14:paraId="4135084F">
            <w:pPr>
              <w:spacing w:line="360" w:lineRule="auto"/>
              <w:ind w:firstLine="0"/>
              <w:jc w:val="center"/>
              <w:rPr>
                <w:rFonts w:hint="eastAsia" w:ascii="宋体" w:hAnsi="宋体" w:eastAsia="宋体" w:cs="宋体"/>
                <w:color w:val="auto"/>
                <w:sz w:val="24"/>
                <w:szCs w:val="24"/>
              </w:rPr>
            </w:pPr>
          </w:p>
        </w:tc>
        <w:tc>
          <w:tcPr>
            <w:tcW w:w="2977" w:type="dxa"/>
            <w:vAlign w:val="center"/>
          </w:tcPr>
          <w:p w14:paraId="51A62BED">
            <w:pPr>
              <w:spacing w:line="360" w:lineRule="auto"/>
              <w:ind w:firstLine="0"/>
              <w:jc w:val="center"/>
              <w:rPr>
                <w:rFonts w:hint="eastAsia" w:ascii="宋体" w:hAnsi="宋体" w:eastAsia="宋体" w:cs="宋体"/>
                <w:color w:val="auto"/>
                <w:sz w:val="24"/>
                <w:szCs w:val="24"/>
              </w:rPr>
            </w:pPr>
          </w:p>
        </w:tc>
        <w:tc>
          <w:tcPr>
            <w:tcW w:w="2835" w:type="dxa"/>
            <w:vAlign w:val="center"/>
          </w:tcPr>
          <w:p w14:paraId="35FBDF6B">
            <w:pPr>
              <w:spacing w:line="360" w:lineRule="auto"/>
              <w:ind w:firstLine="0"/>
              <w:jc w:val="center"/>
              <w:rPr>
                <w:rFonts w:hint="eastAsia" w:ascii="宋体" w:hAnsi="宋体" w:eastAsia="宋体" w:cs="宋体"/>
                <w:color w:val="auto"/>
                <w:sz w:val="24"/>
                <w:szCs w:val="24"/>
              </w:rPr>
            </w:pPr>
          </w:p>
        </w:tc>
        <w:tc>
          <w:tcPr>
            <w:tcW w:w="930" w:type="dxa"/>
            <w:vAlign w:val="center"/>
          </w:tcPr>
          <w:p w14:paraId="7581F28D">
            <w:pPr>
              <w:spacing w:line="360" w:lineRule="auto"/>
              <w:ind w:firstLine="0"/>
              <w:jc w:val="center"/>
              <w:rPr>
                <w:rFonts w:hint="eastAsia" w:ascii="宋体" w:hAnsi="宋体" w:eastAsia="宋体" w:cs="宋体"/>
                <w:color w:val="auto"/>
                <w:sz w:val="24"/>
                <w:szCs w:val="24"/>
              </w:rPr>
            </w:pPr>
          </w:p>
        </w:tc>
      </w:tr>
      <w:tr w14:paraId="556818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7C0AE407">
            <w:pPr>
              <w:spacing w:line="360" w:lineRule="auto"/>
              <w:ind w:firstLine="0"/>
              <w:jc w:val="center"/>
              <w:rPr>
                <w:rFonts w:hint="eastAsia" w:ascii="宋体" w:hAnsi="宋体" w:eastAsia="宋体" w:cs="宋体"/>
                <w:color w:val="auto"/>
                <w:sz w:val="24"/>
                <w:szCs w:val="24"/>
              </w:rPr>
            </w:pPr>
          </w:p>
        </w:tc>
        <w:tc>
          <w:tcPr>
            <w:tcW w:w="2268" w:type="dxa"/>
            <w:vAlign w:val="center"/>
          </w:tcPr>
          <w:p w14:paraId="431AA468">
            <w:pPr>
              <w:spacing w:line="360" w:lineRule="auto"/>
              <w:ind w:firstLine="0"/>
              <w:jc w:val="center"/>
              <w:rPr>
                <w:rFonts w:hint="eastAsia" w:ascii="宋体" w:hAnsi="宋体" w:eastAsia="宋体" w:cs="宋体"/>
                <w:color w:val="auto"/>
                <w:sz w:val="24"/>
                <w:szCs w:val="24"/>
              </w:rPr>
            </w:pPr>
          </w:p>
        </w:tc>
        <w:tc>
          <w:tcPr>
            <w:tcW w:w="2977" w:type="dxa"/>
            <w:vAlign w:val="center"/>
          </w:tcPr>
          <w:p w14:paraId="304EEAC7">
            <w:pPr>
              <w:spacing w:line="360" w:lineRule="auto"/>
              <w:ind w:firstLine="0"/>
              <w:jc w:val="center"/>
              <w:rPr>
                <w:rFonts w:hint="eastAsia" w:ascii="宋体" w:hAnsi="宋体" w:eastAsia="宋体" w:cs="宋体"/>
                <w:color w:val="auto"/>
                <w:sz w:val="24"/>
                <w:szCs w:val="24"/>
              </w:rPr>
            </w:pPr>
          </w:p>
        </w:tc>
        <w:tc>
          <w:tcPr>
            <w:tcW w:w="2835" w:type="dxa"/>
            <w:vAlign w:val="center"/>
          </w:tcPr>
          <w:p w14:paraId="7E1B5230">
            <w:pPr>
              <w:spacing w:line="360" w:lineRule="auto"/>
              <w:ind w:firstLine="0"/>
              <w:jc w:val="center"/>
              <w:rPr>
                <w:rFonts w:hint="eastAsia" w:ascii="宋体" w:hAnsi="宋体" w:eastAsia="宋体" w:cs="宋体"/>
                <w:color w:val="auto"/>
                <w:sz w:val="24"/>
                <w:szCs w:val="24"/>
              </w:rPr>
            </w:pPr>
          </w:p>
        </w:tc>
        <w:tc>
          <w:tcPr>
            <w:tcW w:w="930" w:type="dxa"/>
            <w:vAlign w:val="center"/>
          </w:tcPr>
          <w:p w14:paraId="5CBF221F">
            <w:pPr>
              <w:spacing w:line="360" w:lineRule="auto"/>
              <w:ind w:firstLine="0"/>
              <w:jc w:val="center"/>
              <w:rPr>
                <w:rFonts w:hint="eastAsia" w:ascii="宋体" w:hAnsi="宋体" w:eastAsia="宋体" w:cs="宋体"/>
                <w:color w:val="auto"/>
                <w:sz w:val="24"/>
                <w:szCs w:val="24"/>
              </w:rPr>
            </w:pPr>
          </w:p>
        </w:tc>
      </w:tr>
      <w:tr w14:paraId="4302C6F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5D61F849">
            <w:pPr>
              <w:spacing w:line="360" w:lineRule="auto"/>
              <w:ind w:firstLine="0"/>
              <w:jc w:val="center"/>
              <w:rPr>
                <w:rFonts w:hint="eastAsia" w:ascii="宋体" w:hAnsi="宋体" w:eastAsia="宋体" w:cs="宋体"/>
                <w:color w:val="auto"/>
                <w:sz w:val="24"/>
                <w:szCs w:val="24"/>
              </w:rPr>
            </w:pPr>
          </w:p>
        </w:tc>
        <w:tc>
          <w:tcPr>
            <w:tcW w:w="2268" w:type="dxa"/>
            <w:vAlign w:val="center"/>
          </w:tcPr>
          <w:p w14:paraId="1A3E8FFF">
            <w:pPr>
              <w:spacing w:line="360" w:lineRule="auto"/>
              <w:ind w:firstLine="0"/>
              <w:jc w:val="center"/>
              <w:rPr>
                <w:rFonts w:hint="eastAsia" w:ascii="宋体" w:hAnsi="宋体" w:eastAsia="宋体" w:cs="宋体"/>
                <w:color w:val="auto"/>
                <w:sz w:val="24"/>
                <w:szCs w:val="24"/>
              </w:rPr>
            </w:pPr>
          </w:p>
        </w:tc>
        <w:tc>
          <w:tcPr>
            <w:tcW w:w="2977" w:type="dxa"/>
            <w:vAlign w:val="center"/>
          </w:tcPr>
          <w:p w14:paraId="3DE6DC67">
            <w:pPr>
              <w:spacing w:line="360" w:lineRule="auto"/>
              <w:ind w:firstLine="0"/>
              <w:jc w:val="center"/>
              <w:rPr>
                <w:rFonts w:hint="eastAsia" w:ascii="宋体" w:hAnsi="宋体" w:eastAsia="宋体" w:cs="宋体"/>
                <w:color w:val="auto"/>
                <w:sz w:val="24"/>
                <w:szCs w:val="24"/>
              </w:rPr>
            </w:pPr>
          </w:p>
        </w:tc>
        <w:tc>
          <w:tcPr>
            <w:tcW w:w="2835" w:type="dxa"/>
            <w:vAlign w:val="center"/>
          </w:tcPr>
          <w:p w14:paraId="3EC104BA">
            <w:pPr>
              <w:spacing w:line="360" w:lineRule="auto"/>
              <w:ind w:firstLine="0"/>
              <w:jc w:val="center"/>
              <w:rPr>
                <w:rFonts w:hint="eastAsia" w:ascii="宋体" w:hAnsi="宋体" w:eastAsia="宋体" w:cs="宋体"/>
                <w:color w:val="auto"/>
                <w:sz w:val="24"/>
                <w:szCs w:val="24"/>
              </w:rPr>
            </w:pPr>
          </w:p>
        </w:tc>
        <w:tc>
          <w:tcPr>
            <w:tcW w:w="930" w:type="dxa"/>
            <w:vAlign w:val="center"/>
          </w:tcPr>
          <w:p w14:paraId="7E69F21C">
            <w:pPr>
              <w:spacing w:line="360" w:lineRule="auto"/>
              <w:ind w:firstLine="0"/>
              <w:jc w:val="center"/>
              <w:rPr>
                <w:rFonts w:hint="eastAsia" w:ascii="宋体" w:hAnsi="宋体" w:eastAsia="宋体" w:cs="宋体"/>
                <w:color w:val="auto"/>
                <w:sz w:val="24"/>
                <w:szCs w:val="24"/>
              </w:rPr>
            </w:pPr>
          </w:p>
        </w:tc>
      </w:tr>
      <w:tr w14:paraId="55AC87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94" w:type="dxa"/>
            <w:vAlign w:val="center"/>
          </w:tcPr>
          <w:p w14:paraId="415FCF63">
            <w:pPr>
              <w:spacing w:line="360" w:lineRule="auto"/>
              <w:ind w:firstLine="0"/>
              <w:jc w:val="center"/>
              <w:rPr>
                <w:rFonts w:hint="eastAsia" w:ascii="宋体" w:hAnsi="宋体" w:eastAsia="宋体" w:cs="宋体"/>
                <w:color w:val="auto"/>
                <w:sz w:val="24"/>
                <w:szCs w:val="24"/>
              </w:rPr>
            </w:pPr>
          </w:p>
        </w:tc>
        <w:tc>
          <w:tcPr>
            <w:tcW w:w="2268" w:type="dxa"/>
            <w:vAlign w:val="center"/>
          </w:tcPr>
          <w:p w14:paraId="400043E0">
            <w:pPr>
              <w:spacing w:line="360" w:lineRule="auto"/>
              <w:ind w:firstLine="0"/>
              <w:jc w:val="center"/>
              <w:rPr>
                <w:rFonts w:hint="eastAsia" w:ascii="宋体" w:hAnsi="宋体" w:eastAsia="宋体" w:cs="宋体"/>
                <w:color w:val="auto"/>
                <w:sz w:val="24"/>
                <w:szCs w:val="24"/>
              </w:rPr>
            </w:pPr>
          </w:p>
        </w:tc>
        <w:tc>
          <w:tcPr>
            <w:tcW w:w="2977" w:type="dxa"/>
            <w:vAlign w:val="center"/>
          </w:tcPr>
          <w:p w14:paraId="32A7C38A">
            <w:pPr>
              <w:spacing w:line="360" w:lineRule="auto"/>
              <w:ind w:firstLine="0"/>
              <w:jc w:val="center"/>
              <w:rPr>
                <w:rFonts w:hint="eastAsia" w:ascii="宋体" w:hAnsi="宋体" w:eastAsia="宋体" w:cs="宋体"/>
                <w:color w:val="auto"/>
                <w:sz w:val="24"/>
                <w:szCs w:val="24"/>
              </w:rPr>
            </w:pPr>
          </w:p>
        </w:tc>
        <w:tc>
          <w:tcPr>
            <w:tcW w:w="2835" w:type="dxa"/>
            <w:vAlign w:val="center"/>
          </w:tcPr>
          <w:p w14:paraId="538ED4C7">
            <w:pPr>
              <w:spacing w:line="360" w:lineRule="auto"/>
              <w:ind w:firstLine="0"/>
              <w:jc w:val="center"/>
              <w:rPr>
                <w:rFonts w:hint="eastAsia" w:ascii="宋体" w:hAnsi="宋体" w:eastAsia="宋体" w:cs="宋体"/>
                <w:color w:val="auto"/>
                <w:sz w:val="24"/>
                <w:szCs w:val="24"/>
              </w:rPr>
            </w:pPr>
          </w:p>
        </w:tc>
        <w:tc>
          <w:tcPr>
            <w:tcW w:w="930" w:type="dxa"/>
            <w:vAlign w:val="center"/>
          </w:tcPr>
          <w:p w14:paraId="798AFED0">
            <w:pPr>
              <w:spacing w:line="360" w:lineRule="auto"/>
              <w:ind w:firstLine="0"/>
              <w:jc w:val="center"/>
              <w:rPr>
                <w:rFonts w:hint="eastAsia" w:ascii="宋体" w:hAnsi="宋体" w:eastAsia="宋体" w:cs="宋体"/>
                <w:color w:val="auto"/>
                <w:sz w:val="24"/>
                <w:szCs w:val="24"/>
              </w:rPr>
            </w:pPr>
          </w:p>
        </w:tc>
      </w:tr>
    </w:tbl>
    <w:p w14:paraId="58209F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注：“附件”栏是指监督抽查时通过视频、照相、签名确认等方法锁定严重问题（重大隐患）的证据，随表附后。</w:t>
      </w:r>
    </w:p>
    <w:p w14:paraId="275A282D">
      <w:pPr>
        <w:spacing w:line="560" w:lineRule="exact"/>
        <w:ind w:firstLine="0"/>
        <w:jc w:val="center"/>
        <w:rPr>
          <w:rFonts w:hint="eastAsia" w:ascii="宋体" w:hAnsi="宋体" w:eastAsia="宋体" w:cs="宋体"/>
          <w:color w:val="auto"/>
          <w:sz w:val="32"/>
          <w:szCs w:val="32"/>
        </w:rPr>
      </w:pPr>
      <w:r>
        <w:rPr>
          <w:rFonts w:hint="eastAsia" w:ascii="宋体" w:hAnsi="宋体" w:eastAsia="宋体" w:cs="宋体"/>
          <w:color w:val="auto"/>
          <w:szCs w:val="21"/>
        </w:rPr>
        <w:br w:type="page"/>
      </w:r>
      <w:r>
        <w:rPr>
          <w:rFonts w:hint="eastAsia" w:ascii="宋体" w:hAnsi="宋体" w:eastAsia="宋体" w:cs="宋体"/>
          <w:color w:val="auto"/>
          <w:sz w:val="32"/>
          <w:szCs w:val="32"/>
        </w:rPr>
        <w:t>电梯监督抽查汇总表</w:t>
      </w:r>
    </w:p>
    <w:p w14:paraId="2547A0F0">
      <w:pPr>
        <w:spacing w:line="320" w:lineRule="exact"/>
        <w:ind w:firstLine="0"/>
        <w:jc w:val="center"/>
        <w:outlineLvl w:val="2"/>
        <w:rPr>
          <w:rFonts w:hint="eastAsia" w:ascii="宋体" w:hAnsi="宋体" w:eastAsia="宋体" w:cs="宋体"/>
          <w:color w:val="auto"/>
          <w:szCs w:val="21"/>
        </w:rPr>
      </w:pPr>
    </w:p>
    <w:p w14:paraId="33404E8E">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监督抽查机构（盖章）                  填表日期：  年  月  日</w:t>
      </w:r>
    </w:p>
    <w:tbl>
      <w:tblPr>
        <w:tblStyle w:val="2"/>
        <w:tblW w:w="990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36"/>
        <w:gridCol w:w="850"/>
        <w:gridCol w:w="1276"/>
        <w:gridCol w:w="1418"/>
        <w:gridCol w:w="1275"/>
        <w:gridCol w:w="1418"/>
        <w:gridCol w:w="1417"/>
        <w:gridCol w:w="1418"/>
      </w:tblGrid>
      <w:tr w14:paraId="24409B9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686" w:type="dxa"/>
            <w:gridSpan w:val="2"/>
            <w:vMerge w:val="restart"/>
            <w:vAlign w:val="center"/>
          </w:tcPr>
          <w:p w14:paraId="601E9526">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抽查</w:t>
            </w:r>
          </w:p>
          <w:p w14:paraId="2B66811B">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类别</w:t>
            </w:r>
          </w:p>
        </w:tc>
        <w:tc>
          <w:tcPr>
            <w:tcW w:w="2694" w:type="dxa"/>
            <w:gridSpan w:val="2"/>
            <w:vAlign w:val="center"/>
          </w:tcPr>
          <w:p w14:paraId="69441BAB">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维保质量</w:t>
            </w:r>
          </w:p>
        </w:tc>
        <w:tc>
          <w:tcPr>
            <w:tcW w:w="2693" w:type="dxa"/>
            <w:gridSpan w:val="2"/>
            <w:vAlign w:val="center"/>
          </w:tcPr>
          <w:p w14:paraId="750588FB">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检验质量</w:t>
            </w:r>
          </w:p>
        </w:tc>
        <w:tc>
          <w:tcPr>
            <w:tcW w:w="2835" w:type="dxa"/>
            <w:gridSpan w:val="2"/>
            <w:vAlign w:val="center"/>
          </w:tcPr>
          <w:p w14:paraId="561805F6">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kern w:val="0"/>
                <w:sz w:val="24"/>
                <w:szCs w:val="24"/>
              </w:rPr>
              <w:t>生产单位</w:t>
            </w:r>
          </w:p>
        </w:tc>
      </w:tr>
      <w:tr w14:paraId="0BA7AC3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37" w:hRule="atLeast"/>
          <w:jc w:val="center"/>
        </w:trPr>
        <w:tc>
          <w:tcPr>
            <w:tcW w:w="1686" w:type="dxa"/>
            <w:gridSpan w:val="2"/>
            <w:vMerge w:val="continue"/>
            <w:vAlign w:val="center"/>
          </w:tcPr>
          <w:p w14:paraId="5A840D38">
            <w:pPr>
              <w:spacing w:line="360" w:lineRule="auto"/>
              <w:ind w:firstLine="0"/>
              <w:jc w:val="center"/>
              <w:rPr>
                <w:rFonts w:hint="eastAsia" w:ascii="宋体" w:hAnsi="宋体" w:eastAsia="宋体" w:cs="宋体"/>
                <w:color w:val="auto"/>
                <w:kern w:val="0"/>
                <w:sz w:val="24"/>
                <w:szCs w:val="24"/>
              </w:rPr>
            </w:pPr>
          </w:p>
        </w:tc>
        <w:tc>
          <w:tcPr>
            <w:tcW w:w="1276" w:type="dxa"/>
            <w:vAlign w:val="center"/>
          </w:tcPr>
          <w:p w14:paraId="3DA0DBB3">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曳引驱动电梯</w:t>
            </w:r>
          </w:p>
        </w:tc>
        <w:tc>
          <w:tcPr>
            <w:tcW w:w="1418" w:type="dxa"/>
            <w:vAlign w:val="center"/>
          </w:tcPr>
          <w:p w14:paraId="5CEE83A3">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自动扶梯与自动人行道</w:t>
            </w:r>
          </w:p>
        </w:tc>
        <w:tc>
          <w:tcPr>
            <w:tcW w:w="1275" w:type="dxa"/>
            <w:vAlign w:val="center"/>
          </w:tcPr>
          <w:p w14:paraId="78004192">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曳引驱动电梯</w:t>
            </w:r>
          </w:p>
        </w:tc>
        <w:tc>
          <w:tcPr>
            <w:tcW w:w="1418" w:type="dxa"/>
            <w:vAlign w:val="center"/>
          </w:tcPr>
          <w:p w14:paraId="349B5B71">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自动扶梯与自动人行道</w:t>
            </w:r>
          </w:p>
        </w:tc>
        <w:tc>
          <w:tcPr>
            <w:tcW w:w="1417" w:type="dxa"/>
            <w:vAlign w:val="center"/>
          </w:tcPr>
          <w:p w14:paraId="78AF8039">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kern w:val="0"/>
                <w:sz w:val="24"/>
                <w:szCs w:val="24"/>
              </w:rPr>
              <w:t>维保单位</w:t>
            </w:r>
          </w:p>
        </w:tc>
        <w:tc>
          <w:tcPr>
            <w:tcW w:w="1418" w:type="dxa"/>
            <w:vAlign w:val="center"/>
          </w:tcPr>
          <w:p w14:paraId="72647228">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使用单位</w:t>
            </w:r>
          </w:p>
        </w:tc>
      </w:tr>
      <w:tr w14:paraId="45FAC1B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686" w:type="dxa"/>
            <w:gridSpan w:val="2"/>
            <w:vAlign w:val="center"/>
          </w:tcPr>
          <w:p w14:paraId="05C6886C">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抽查数量</w:t>
            </w:r>
          </w:p>
        </w:tc>
        <w:tc>
          <w:tcPr>
            <w:tcW w:w="1276" w:type="dxa"/>
            <w:vAlign w:val="center"/>
          </w:tcPr>
          <w:p w14:paraId="7A5C3C3E">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418" w:type="dxa"/>
            <w:vAlign w:val="center"/>
          </w:tcPr>
          <w:p w14:paraId="06BF0BBD">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275" w:type="dxa"/>
            <w:vAlign w:val="center"/>
          </w:tcPr>
          <w:p w14:paraId="2C356BD6">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418" w:type="dxa"/>
            <w:vAlign w:val="center"/>
          </w:tcPr>
          <w:p w14:paraId="07568F6A">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417" w:type="dxa"/>
            <w:vAlign w:val="center"/>
          </w:tcPr>
          <w:p w14:paraId="42580FBD">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家</w:t>
            </w:r>
          </w:p>
        </w:tc>
        <w:tc>
          <w:tcPr>
            <w:tcW w:w="1418" w:type="dxa"/>
            <w:vAlign w:val="center"/>
          </w:tcPr>
          <w:p w14:paraId="07DC1EBA">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家</w:t>
            </w:r>
          </w:p>
        </w:tc>
      </w:tr>
      <w:tr w14:paraId="514045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686" w:type="dxa"/>
            <w:gridSpan w:val="2"/>
            <w:vMerge w:val="restart"/>
            <w:vAlign w:val="center"/>
          </w:tcPr>
          <w:p w14:paraId="4121D7C6">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存在不符合项目的数量及占比</w:t>
            </w:r>
          </w:p>
        </w:tc>
        <w:tc>
          <w:tcPr>
            <w:tcW w:w="1276" w:type="dxa"/>
            <w:vAlign w:val="center"/>
          </w:tcPr>
          <w:p w14:paraId="39F50F9F">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418" w:type="dxa"/>
            <w:vAlign w:val="center"/>
          </w:tcPr>
          <w:p w14:paraId="243848C9">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275" w:type="dxa"/>
            <w:vAlign w:val="center"/>
          </w:tcPr>
          <w:p w14:paraId="3171304B">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418" w:type="dxa"/>
            <w:vAlign w:val="center"/>
          </w:tcPr>
          <w:p w14:paraId="10019A69">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417" w:type="dxa"/>
            <w:vAlign w:val="center"/>
          </w:tcPr>
          <w:p w14:paraId="30CC2636">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家</w:t>
            </w:r>
          </w:p>
        </w:tc>
        <w:tc>
          <w:tcPr>
            <w:tcW w:w="1418" w:type="dxa"/>
            <w:vAlign w:val="center"/>
          </w:tcPr>
          <w:p w14:paraId="06AA1C47">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家</w:t>
            </w:r>
          </w:p>
        </w:tc>
      </w:tr>
      <w:tr w14:paraId="0F36D84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686" w:type="dxa"/>
            <w:gridSpan w:val="2"/>
            <w:vMerge w:val="continue"/>
            <w:vAlign w:val="center"/>
          </w:tcPr>
          <w:p w14:paraId="4E493BE3">
            <w:pPr>
              <w:spacing w:line="360" w:lineRule="auto"/>
              <w:ind w:firstLine="0"/>
              <w:jc w:val="center"/>
              <w:outlineLvl w:val="2"/>
              <w:rPr>
                <w:rFonts w:hint="eastAsia" w:ascii="宋体" w:hAnsi="宋体" w:eastAsia="宋体" w:cs="宋体"/>
                <w:color w:val="auto"/>
                <w:sz w:val="24"/>
                <w:szCs w:val="24"/>
              </w:rPr>
            </w:pPr>
          </w:p>
        </w:tc>
        <w:tc>
          <w:tcPr>
            <w:tcW w:w="1276" w:type="dxa"/>
            <w:vAlign w:val="center"/>
          </w:tcPr>
          <w:p w14:paraId="228843E9">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418" w:type="dxa"/>
            <w:vAlign w:val="center"/>
          </w:tcPr>
          <w:p w14:paraId="3F218BEF">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275" w:type="dxa"/>
            <w:vAlign w:val="center"/>
          </w:tcPr>
          <w:p w14:paraId="6D0AED44">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418" w:type="dxa"/>
            <w:vAlign w:val="center"/>
          </w:tcPr>
          <w:p w14:paraId="16AAB139">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417" w:type="dxa"/>
            <w:vAlign w:val="center"/>
          </w:tcPr>
          <w:p w14:paraId="7767D57B">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418" w:type="dxa"/>
            <w:vAlign w:val="center"/>
          </w:tcPr>
          <w:p w14:paraId="49517A83">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r>
      <w:tr w14:paraId="525C32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686" w:type="dxa"/>
            <w:gridSpan w:val="2"/>
            <w:vMerge w:val="restart"/>
            <w:vAlign w:val="center"/>
          </w:tcPr>
          <w:p w14:paraId="36A4DCEE">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严重隐患（重大问题）的数量及占比</w:t>
            </w:r>
          </w:p>
        </w:tc>
        <w:tc>
          <w:tcPr>
            <w:tcW w:w="1276" w:type="dxa"/>
            <w:vAlign w:val="center"/>
          </w:tcPr>
          <w:p w14:paraId="22DFCEFB">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418" w:type="dxa"/>
            <w:vAlign w:val="center"/>
          </w:tcPr>
          <w:p w14:paraId="63967671">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275" w:type="dxa"/>
            <w:vAlign w:val="center"/>
          </w:tcPr>
          <w:p w14:paraId="03F4DF9F">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418" w:type="dxa"/>
            <w:vAlign w:val="center"/>
          </w:tcPr>
          <w:p w14:paraId="0608F01D">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台</w:t>
            </w:r>
          </w:p>
        </w:tc>
        <w:tc>
          <w:tcPr>
            <w:tcW w:w="1417" w:type="dxa"/>
            <w:vAlign w:val="center"/>
          </w:tcPr>
          <w:p w14:paraId="55FF8F5D">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家</w:t>
            </w:r>
          </w:p>
        </w:tc>
        <w:tc>
          <w:tcPr>
            <w:tcW w:w="1418" w:type="dxa"/>
            <w:vAlign w:val="center"/>
          </w:tcPr>
          <w:p w14:paraId="729C7F77">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家</w:t>
            </w:r>
          </w:p>
        </w:tc>
      </w:tr>
      <w:tr w14:paraId="5D1F75D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686" w:type="dxa"/>
            <w:gridSpan w:val="2"/>
            <w:vMerge w:val="continue"/>
            <w:vAlign w:val="center"/>
          </w:tcPr>
          <w:p w14:paraId="54BE4854">
            <w:pPr>
              <w:spacing w:line="360" w:lineRule="auto"/>
              <w:ind w:firstLine="0"/>
              <w:jc w:val="center"/>
              <w:outlineLvl w:val="2"/>
              <w:rPr>
                <w:rFonts w:hint="eastAsia" w:ascii="宋体" w:hAnsi="宋体" w:eastAsia="宋体" w:cs="宋体"/>
                <w:color w:val="auto"/>
                <w:sz w:val="24"/>
                <w:szCs w:val="24"/>
              </w:rPr>
            </w:pPr>
          </w:p>
        </w:tc>
        <w:tc>
          <w:tcPr>
            <w:tcW w:w="1276" w:type="dxa"/>
            <w:vAlign w:val="center"/>
          </w:tcPr>
          <w:p w14:paraId="657EC4C2">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418" w:type="dxa"/>
            <w:vAlign w:val="center"/>
          </w:tcPr>
          <w:p w14:paraId="481C126C">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275" w:type="dxa"/>
            <w:vAlign w:val="center"/>
          </w:tcPr>
          <w:p w14:paraId="646C9BFB">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418" w:type="dxa"/>
            <w:vAlign w:val="center"/>
          </w:tcPr>
          <w:p w14:paraId="5A1C3054">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417" w:type="dxa"/>
            <w:vAlign w:val="center"/>
          </w:tcPr>
          <w:p w14:paraId="53C4DEBB">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c>
          <w:tcPr>
            <w:tcW w:w="1418" w:type="dxa"/>
            <w:vAlign w:val="center"/>
          </w:tcPr>
          <w:p w14:paraId="4643A921">
            <w:pPr>
              <w:spacing w:line="360" w:lineRule="auto"/>
              <w:ind w:firstLine="0"/>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p>
        </w:tc>
      </w:tr>
      <w:tr w14:paraId="02545C2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836" w:type="dxa"/>
            <w:vAlign w:val="center"/>
          </w:tcPr>
          <w:p w14:paraId="65823D2E">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2126" w:type="dxa"/>
            <w:gridSpan w:val="2"/>
            <w:vAlign w:val="center"/>
          </w:tcPr>
          <w:p w14:paraId="2C05B350">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受检单位</w:t>
            </w:r>
          </w:p>
        </w:tc>
        <w:tc>
          <w:tcPr>
            <w:tcW w:w="2693" w:type="dxa"/>
            <w:gridSpan w:val="2"/>
            <w:vAlign w:val="center"/>
          </w:tcPr>
          <w:p w14:paraId="623E3E51">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注册代码</w:t>
            </w:r>
          </w:p>
        </w:tc>
        <w:tc>
          <w:tcPr>
            <w:tcW w:w="1418" w:type="dxa"/>
            <w:vAlign w:val="center"/>
          </w:tcPr>
          <w:p w14:paraId="4393D956">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抽查日期</w:t>
            </w:r>
          </w:p>
        </w:tc>
        <w:tc>
          <w:tcPr>
            <w:tcW w:w="1417" w:type="dxa"/>
            <w:vAlign w:val="center"/>
          </w:tcPr>
          <w:p w14:paraId="4E23E413">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抽查类别</w:t>
            </w:r>
          </w:p>
        </w:tc>
        <w:tc>
          <w:tcPr>
            <w:tcW w:w="1418" w:type="dxa"/>
            <w:vAlign w:val="center"/>
          </w:tcPr>
          <w:p w14:paraId="2211BFAB">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抽查结果</w:t>
            </w:r>
          </w:p>
        </w:tc>
      </w:tr>
      <w:tr w14:paraId="3A7A29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36" w:type="dxa"/>
            <w:vAlign w:val="center"/>
          </w:tcPr>
          <w:p w14:paraId="5D358A40">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2126" w:type="dxa"/>
            <w:gridSpan w:val="2"/>
            <w:vAlign w:val="center"/>
          </w:tcPr>
          <w:p w14:paraId="608ECF4E">
            <w:pPr>
              <w:spacing w:line="360" w:lineRule="auto"/>
              <w:ind w:firstLine="0"/>
              <w:jc w:val="center"/>
              <w:rPr>
                <w:rFonts w:hint="eastAsia" w:ascii="宋体" w:hAnsi="宋体" w:eastAsia="宋体" w:cs="宋体"/>
                <w:color w:val="auto"/>
                <w:kern w:val="0"/>
                <w:sz w:val="24"/>
                <w:szCs w:val="24"/>
              </w:rPr>
            </w:pPr>
          </w:p>
        </w:tc>
        <w:tc>
          <w:tcPr>
            <w:tcW w:w="2693" w:type="dxa"/>
            <w:gridSpan w:val="2"/>
            <w:vAlign w:val="center"/>
          </w:tcPr>
          <w:p w14:paraId="6562851E">
            <w:pPr>
              <w:spacing w:line="360" w:lineRule="auto"/>
              <w:ind w:firstLine="0"/>
              <w:jc w:val="center"/>
              <w:rPr>
                <w:rFonts w:hint="eastAsia" w:ascii="宋体" w:hAnsi="宋体" w:eastAsia="宋体" w:cs="宋体"/>
                <w:color w:val="auto"/>
                <w:kern w:val="0"/>
                <w:sz w:val="24"/>
                <w:szCs w:val="24"/>
              </w:rPr>
            </w:pPr>
          </w:p>
        </w:tc>
        <w:tc>
          <w:tcPr>
            <w:tcW w:w="1418" w:type="dxa"/>
            <w:vAlign w:val="center"/>
          </w:tcPr>
          <w:p w14:paraId="0CF57DFB">
            <w:pPr>
              <w:spacing w:line="360" w:lineRule="auto"/>
              <w:ind w:firstLine="0"/>
              <w:jc w:val="center"/>
              <w:rPr>
                <w:rFonts w:hint="eastAsia" w:ascii="宋体" w:hAnsi="宋体" w:eastAsia="宋体" w:cs="宋体"/>
                <w:color w:val="auto"/>
                <w:kern w:val="0"/>
                <w:sz w:val="24"/>
                <w:szCs w:val="24"/>
              </w:rPr>
            </w:pPr>
          </w:p>
        </w:tc>
        <w:tc>
          <w:tcPr>
            <w:tcW w:w="1417" w:type="dxa"/>
            <w:vAlign w:val="center"/>
          </w:tcPr>
          <w:p w14:paraId="486B1825">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A□B□C□D□E□F□</w:t>
            </w:r>
          </w:p>
        </w:tc>
        <w:tc>
          <w:tcPr>
            <w:tcW w:w="1418" w:type="dxa"/>
            <w:vAlign w:val="center"/>
          </w:tcPr>
          <w:p w14:paraId="0FB3FEB1">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A□B□</w:t>
            </w:r>
          </w:p>
          <w:p w14:paraId="513A7969">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C□</w:t>
            </w:r>
          </w:p>
        </w:tc>
      </w:tr>
      <w:tr w14:paraId="68E589F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36" w:type="dxa"/>
            <w:vAlign w:val="center"/>
          </w:tcPr>
          <w:p w14:paraId="6D8E77E0">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p>
        </w:tc>
        <w:tc>
          <w:tcPr>
            <w:tcW w:w="2126" w:type="dxa"/>
            <w:gridSpan w:val="2"/>
            <w:vAlign w:val="center"/>
          </w:tcPr>
          <w:p w14:paraId="3577D731">
            <w:pPr>
              <w:spacing w:line="360" w:lineRule="auto"/>
              <w:ind w:firstLine="0"/>
              <w:jc w:val="center"/>
              <w:rPr>
                <w:rFonts w:hint="eastAsia" w:ascii="宋体" w:hAnsi="宋体" w:eastAsia="宋体" w:cs="宋体"/>
                <w:color w:val="auto"/>
                <w:kern w:val="0"/>
                <w:sz w:val="24"/>
                <w:szCs w:val="24"/>
              </w:rPr>
            </w:pPr>
          </w:p>
        </w:tc>
        <w:tc>
          <w:tcPr>
            <w:tcW w:w="2693" w:type="dxa"/>
            <w:gridSpan w:val="2"/>
            <w:vAlign w:val="center"/>
          </w:tcPr>
          <w:p w14:paraId="2CD0A021">
            <w:pPr>
              <w:spacing w:line="360" w:lineRule="auto"/>
              <w:ind w:firstLine="0"/>
              <w:jc w:val="center"/>
              <w:rPr>
                <w:rFonts w:hint="eastAsia" w:ascii="宋体" w:hAnsi="宋体" w:eastAsia="宋体" w:cs="宋体"/>
                <w:color w:val="auto"/>
                <w:kern w:val="0"/>
                <w:sz w:val="24"/>
                <w:szCs w:val="24"/>
              </w:rPr>
            </w:pPr>
          </w:p>
        </w:tc>
        <w:tc>
          <w:tcPr>
            <w:tcW w:w="1418" w:type="dxa"/>
            <w:vAlign w:val="center"/>
          </w:tcPr>
          <w:p w14:paraId="4F6CB559">
            <w:pPr>
              <w:spacing w:line="360" w:lineRule="auto"/>
              <w:ind w:firstLine="0"/>
              <w:jc w:val="center"/>
              <w:rPr>
                <w:rFonts w:hint="eastAsia" w:ascii="宋体" w:hAnsi="宋体" w:eastAsia="宋体" w:cs="宋体"/>
                <w:color w:val="auto"/>
                <w:kern w:val="0"/>
                <w:sz w:val="24"/>
                <w:szCs w:val="24"/>
              </w:rPr>
            </w:pPr>
          </w:p>
        </w:tc>
        <w:tc>
          <w:tcPr>
            <w:tcW w:w="1417" w:type="dxa"/>
            <w:vAlign w:val="center"/>
          </w:tcPr>
          <w:p w14:paraId="774405D0">
            <w:pPr>
              <w:spacing w:line="360" w:lineRule="auto"/>
              <w:ind w:firstLine="0"/>
              <w:jc w:val="center"/>
              <w:rPr>
                <w:rFonts w:hint="eastAsia" w:ascii="宋体" w:hAnsi="宋体" w:eastAsia="宋体" w:cs="宋体"/>
                <w:color w:val="auto"/>
                <w:kern w:val="0"/>
                <w:sz w:val="24"/>
                <w:szCs w:val="24"/>
              </w:rPr>
            </w:pPr>
          </w:p>
        </w:tc>
        <w:tc>
          <w:tcPr>
            <w:tcW w:w="1418" w:type="dxa"/>
            <w:vAlign w:val="center"/>
          </w:tcPr>
          <w:p w14:paraId="6AE80D6F">
            <w:pPr>
              <w:spacing w:line="360" w:lineRule="auto"/>
              <w:ind w:firstLine="0"/>
              <w:jc w:val="center"/>
              <w:outlineLvl w:val="2"/>
              <w:rPr>
                <w:rFonts w:hint="eastAsia" w:ascii="宋体" w:hAnsi="宋体" w:eastAsia="宋体" w:cs="宋体"/>
                <w:color w:val="auto"/>
                <w:sz w:val="24"/>
                <w:szCs w:val="24"/>
              </w:rPr>
            </w:pPr>
          </w:p>
        </w:tc>
      </w:tr>
      <w:tr w14:paraId="2DBD26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36" w:type="dxa"/>
            <w:vAlign w:val="center"/>
          </w:tcPr>
          <w:p w14:paraId="17A80AAB">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w:t>
            </w:r>
          </w:p>
        </w:tc>
        <w:tc>
          <w:tcPr>
            <w:tcW w:w="2126" w:type="dxa"/>
            <w:gridSpan w:val="2"/>
            <w:vAlign w:val="center"/>
          </w:tcPr>
          <w:p w14:paraId="7DD1606E">
            <w:pPr>
              <w:spacing w:line="360" w:lineRule="auto"/>
              <w:ind w:firstLine="0"/>
              <w:jc w:val="center"/>
              <w:rPr>
                <w:rFonts w:hint="eastAsia" w:ascii="宋体" w:hAnsi="宋体" w:eastAsia="宋体" w:cs="宋体"/>
                <w:color w:val="auto"/>
                <w:kern w:val="0"/>
                <w:sz w:val="24"/>
                <w:szCs w:val="24"/>
              </w:rPr>
            </w:pPr>
          </w:p>
        </w:tc>
        <w:tc>
          <w:tcPr>
            <w:tcW w:w="2693" w:type="dxa"/>
            <w:gridSpan w:val="2"/>
            <w:vAlign w:val="center"/>
          </w:tcPr>
          <w:p w14:paraId="1FC66434">
            <w:pPr>
              <w:spacing w:line="360" w:lineRule="auto"/>
              <w:ind w:firstLine="0"/>
              <w:jc w:val="center"/>
              <w:rPr>
                <w:rFonts w:hint="eastAsia" w:ascii="宋体" w:hAnsi="宋体" w:eastAsia="宋体" w:cs="宋体"/>
                <w:color w:val="auto"/>
                <w:kern w:val="0"/>
                <w:sz w:val="24"/>
                <w:szCs w:val="24"/>
              </w:rPr>
            </w:pPr>
          </w:p>
        </w:tc>
        <w:tc>
          <w:tcPr>
            <w:tcW w:w="1418" w:type="dxa"/>
            <w:vAlign w:val="center"/>
          </w:tcPr>
          <w:p w14:paraId="0E788047">
            <w:pPr>
              <w:spacing w:line="360" w:lineRule="auto"/>
              <w:ind w:firstLine="0"/>
              <w:jc w:val="center"/>
              <w:rPr>
                <w:rFonts w:hint="eastAsia" w:ascii="宋体" w:hAnsi="宋体" w:eastAsia="宋体" w:cs="宋体"/>
                <w:color w:val="auto"/>
                <w:kern w:val="0"/>
                <w:sz w:val="24"/>
                <w:szCs w:val="24"/>
              </w:rPr>
            </w:pPr>
          </w:p>
        </w:tc>
        <w:tc>
          <w:tcPr>
            <w:tcW w:w="1417" w:type="dxa"/>
            <w:vAlign w:val="center"/>
          </w:tcPr>
          <w:p w14:paraId="6EC32CA5">
            <w:pPr>
              <w:spacing w:line="360" w:lineRule="auto"/>
              <w:ind w:firstLine="0"/>
              <w:jc w:val="center"/>
              <w:rPr>
                <w:rFonts w:hint="eastAsia" w:ascii="宋体" w:hAnsi="宋体" w:eastAsia="宋体" w:cs="宋体"/>
                <w:color w:val="auto"/>
                <w:kern w:val="0"/>
                <w:sz w:val="24"/>
                <w:szCs w:val="24"/>
              </w:rPr>
            </w:pPr>
          </w:p>
        </w:tc>
        <w:tc>
          <w:tcPr>
            <w:tcW w:w="1418" w:type="dxa"/>
            <w:vAlign w:val="center"/>
          </w:tcPr>
          <w:p w14:paraId="61C2EC95">
            <w:pPr>
              <w:spacing w:line="360" w:lineRule="auto"/>
              <w:ind w:firstLine="0"/>
              <w:jc w:val="center"/>
              <w:outlineLvl w:val="2"/>
              <w:rPr>
                <w:rFonts w:hint="eastAsia" w:ascii="宋体" w:hAnsi="宋体" w:eastAsia="宋体" w:cs="宋体"/>
                <w:color w:val="auto"/>
                <w:sz w:val="24"/>
                <w:szCs w:val="24"/>
              </w:rPr>
            </w:pPr>
          </w:p>
        </w:tc>
      </w:tr>
      <w:tr w14:paraId="3FEB5C7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36" w:type="dxa"/>
            <w:vAlign w:val="center"/>
          </w:tcPr>
          <w:p w14:paraId="6E1573F6">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w:t>
            </w:r>
          </w:p>
        </w:tc>
        <w:tc>
          <w:tcPr>
            <w:tcW w:w="2126" w:type="dxa"/>
            <w:gridSpan w:val="2"/>
            <w:vAlign w:val="center"/>
          </w:tcPr>
          <w:p w14:paraId="253DF0A7">
            <w:pPr>
              <w:spacing w:line="360" w:lineRule="auto"/>
              <w:ind w:firstLine="0"/>
              <w:jc w:val="center"/>
              <w:rPr>
                <w:rFonts w:hint="eastAsia" w:ascii="宋体" w:hAnsi="宋体" w:eastAsia="宋体" w:cs="宋体"/>
                <w:color w:val="auto"/>
                <w:kern w:val="0"/>
                <w:sz w:val="24"/>
                <w:szCs w:val="24"/>
              </w:rPr>
            </w:pPr>
          </w:p>
        </w:tc>
        <w:tc>
          <w:tcPr>
            <w:tcW w:w="2693" w:type="dxa"/>
            <w:gridSpan w:val="2"/>
            <w:vAlign w:val="center"/>
          </w:tcPr>
          <w:p w14:paraId="3E2ED09D">
            <w:pPr>
              <w:spacing w:line="360" w:lineRule="auto"/>
              <w:ind w:firstLine="0"/>
              <w:jc w:val="center"/>
              <w:rPr>
                <w:rFonts w:hint="eastAsia" w:ascii="宋体" w:hAnsi="宋体" w:eastAsia="宋体" w:cs="宋体"/>
                <w:color w:val="auto"/>
                <w:kern w:val="0"/>
                <w:sz w:val="24"/>
                <w:szCs w:val="24"/>
              </w:rPr>
            </w:pPr>
          </w:p>
        </w:tc>
        <w:tc>
          <w:tcPr>
            <w:tcW w:w="1418" w:type="dxa"/>
            <w:vAlign w:val="center"/>
          </w:tcPr>
          <w:p w14:paraId="286688FA">
            <w:pPr>
              <w:spacing w:line="360" w:lineRule="auto"/>
              <w:ind w:firstLine="0"/>
              <w:jc w:val="center"/>
              <w:rPr>
                <w:rFonts w:hint="eastAsia" w:ascii="宋体" w:hAnsi="宋体" w:eastAsia="宋体" w:cs="宋体"/>
                <w:color w:val="auto"/>
                <w:kern w:val="0"/>
                <w:sz w:val="24"/>
                <w:szCs w:val="24"/>
              </w:rPr>
            </w:pPr>
          </w:p>
        </w:tc>
        <w:tc>
          <w:tcPr>
            <w:tcW w:w="1417" w:type="dxa"/>
            <w:vAlign w:val="center"/>
          </w:tcPr>
          <w:p w14:paraId="4B4922EA">
            <w:pPr>
              <w:spacing w:line="360" w:lineRule="auto"/>
              <w:ind w:firstLine="0"/>
              <w:jc w:val="center"/>
              <w:rPr>
                <w:rFonts w:hint="eastAsia" w:ascii="宋体" w:hAnsi="宋体" w:eastAsia="宋体" w:cs="宋体"/>
                <w:color w:val="auto"/>
                <w:kern w:val="0"/>
                <w:sz w:val="24"/>
                <w:szCs w:val="24"/>
              </w:rPr>
            </w:pPr>
          </w:p>
        </w:tc>
        <w:tc>
          <w:tcPr>
            <w:tcW w:w="1418" w:type="dxa"/>
            <w:vAlign w:val="center"/>
          </w:tcPr>
          <w:p w14:paraId="53F069E2">
            <w:pPr>
              <w:spacing w:line="360" w:lineRule="auto"/>
              <w:ind w:firstLine="0"/>
              <w:jc w:val="center"/>
              <w:outlineLvl w:val="2"/>
              <w:rPr>
                <w:rFonts w:hint="eastAsia" w:ascii="宋体" w:hAnsi="宋体" w:eastAsia="宋体" w:cs="宋体"/>
                <w:color w:val="auto"/>
                <w:sz w:val="24"/>
                <w:szCs w:val="24"/>
              </w:rPr>
            </w:pPr>
          </w:p>
        </w:tc>
      </w:tr>
      <w:tr w14:paraId="34E38C6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36" w:type="dxa"/>
            <w:vAlign w:val="center"/>
          </w:tcPr>
          <w:p w14:paraId="6B8A4906">
            <w:pPr>
              <w:spacing w:line="360" w:lineRule="auto"/>
              <w:ind w:firstLine="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w:t>
            </w:r>
          </w:p>
        </w:tc>
        <w:tc>
          <w:tcPr>
            <w:tcW w:w="2126" w:type="dxa"/>
            <w:gridSpan w:val="2"/>
            <w:vAlign w:val="center"/>
          </w:tcPr>
          <w:p w14:paraId="5BB78829">
            <w:pPr>
              <w:spacing w:line="360" w:lineRule="auto"/>
              <w:ind w:firstLine="0"/>
              <w:jc w:val="center"/>
              <w:rPr>
                <w:rFonts w:hint="eastAsia" w:ascii="宋体" w:hAnsi="宋体" w:eastAsia="宋体" w:cs="宋体"/>
                <w:color w:val="auto"/>
                <w:kern w:val="0"/>
                <w:sz w:val="24"/>
                <w:szCs w:val="24"/>
              </w:rPr>
            </w:pPr>
          </w:p>
        </w:tc>
        <w:tc>
          <w:tcPr>
            <w:tcW w:w="2693" w:type="dxa"/>
            <w:gridSpan w:val="2"/>
            <w:vAlign w:val="center"/>
          </w:tcPr>
          <w:p w14:paraId="066D5634">
            <w:pPr>
              <w:spacing w:line="360" w:lineRule="auto"/>
              <w:ind w:firstLine="0"/>
              <w:jc w:val="center"/>
              <w:rPr>
                <w:rFonts w:hint="eastAsia" w:ascii="宋体" w:hAnsi="宋体" w:eastAsia="宋体" w:cs="宋体"/>
                <w:color w:val="auto"/>
                <w:kern w:val="0"/>
                <w:sz w:val="24"/>
                <w:szCs w:val="24"/>
              </w:rPr>
            </w:pPr>
          </w:p>
        </w:tc>
        <w:tc>
          <w:tcPr>
            <w:tcW w:w="1418" w:type="dxa"/>
            <w:vAlign w:val="center"/>
          </w:tcPr>
          <w:p w14:paraId="4E5693AE">
            <w:pPr>
              <w:spacing w:line="360" w:lineRule="auto"/>
              <w:ind w:firstLine="0"/>
              <w:jc w:val="center"/>
              <w:rPr>
                <w:rFonts w:hint="eastAsia" w:ascii="宋体" w:hAnsi="宋体" w:eastAsia="宋体" w:cs="宋体"/>
                <w:color w:val="auto"/>
                <w:kern w:val="0"/>
                <w:sz w:val="24"/>
                <w:szCs w:val="24"/>
              </w:rPr>
            </w:pPr>
          </w:p>
        </w:tc>
        <w:tc>
          <w:tcPr>
            <w:tcW w:w="1417" w:type="dxa"/>
            <w:vAlign w:val="center"/>
          </w:tcPr>
          <w:p w14:paraId="4326A423">
            <w:pPr>
              <w:spacing w:line="360" w:lineRule="auto"/>
              <w:ind w:firstLine="0"/>
              <w:jc w:val="center"/>
              <w:rPr>
                <w:rFonts w:hint="eastAsia" w:ascii="宋体" w:hAnsi="宋体" w:eastAsia="宋体" w:cs="宋体"/>
                <w:color w:val="auto"/>
                <w:kern w:val="0"/>
                <w:sz w:val="24"/>
                <w:szCs w:val="24"/>
              </w:rPr>
            </w:pPr>
          </w:p>
        </w:tc>
        <w:tc>
          <w:tcPr>
            <w:tcW w:w="1418" w:type="dxa"/>
            <w:vAlign w:val="center"/>
          </w:tcPr>
          <w:p w14:paraId="0DBE37F0">
            <w:pPr>
              <w:spacing w:line="360" w:lineRule="auto"/>
              <w:ind w:firstLine="0"/>
              <w:jc w:val="center"/>
              <w:outlineLvl w:val="2"/>
              <w:rPr>
                <w:rFonts w:hint="eastAsia" w:ascii="宋体" w:hAnsi="宋体" w:eastAsia="宋体" w:cs="宋体"/>
                <w:color w:val="auto"/>
                <w:sz w:val="24"/>
                <w:szCs w:val="24"/>
              </w:rPr>
            </w:pPr>
          </w:p>
        </w:tc>
      </w:tr>
    </w:tbl>
    <w:p w14:paraId="73666CD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注：1.抽查类别分为：A维保质量（曳引驱动电梯）、B维保质量（自动扶梯与自动人行道）、C维保单位、D使用单位、E检验质量（曳引驱动电梯）、F检验质量（自动扶梯与自动人行道）。</w:t>
      </w:r>
    </w:p>
    <w:p w14:paraId="6035789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2.抽查结果分为：A未发现问题、B存在不符合项目、C不符合项目属于</w:t>
      </w:r>
      <w:bookmarkStart w:id="15" w:name="OLE_LINK2"/>
      <w:r>
        <w:rPr>
          <w:rFonts w:hint="eastAsia" w:ascii="宋体" w:hAnsi="宋体" w:eastAsia="宋体" w:cs="宋体"/>
          <w:color w:val="auto"/>
          <w:sz w:val="24"/>
          <w:szCs w:val="24"/>
        </w:rPr>
        <w:t>严重事故隐患（重大违法行为）</w:t>
      </w:r>
      <w:bookmarkEnd w:id="15"/>
      <w:r>
        <w:rPr>
          <w:rFonts w:hint="eastAsia" w:ascii="宋体" w:hAnsi="宋体" w:eastAsia="宋体" w:cs="宋体"/>
          <w:color w:val="auto"/>
          <w:sz w:val="24"/>
          <w:szCs w:val="24"/>
        </w:rPr>
        <w:t>。</w:t>
      </w:r>
    </w:p>
    <w:p w14:paraId="77A5738F">
      <w:pPr>
        <w:spacing w:line="720" w:lineRule="exact"/>
        <w:ind w:firstLine="0"/>
        <w:jc w:val="center"/>
        <w:outlineLvl w:val="2"/>
        <w:rPr>
          <w:rFonts w:hint="eastAsia" w:ascii="宋体" w:hAnsi="宋体" w:eastAsia="宋体" w:cs="宋体"/>
          <w:color w:val="auto"/>
          <w:kern w:val="0"/>
          <w:sz w:val="44"/>
          <w:szCs w:val="44"/>
        </w:rPr>
      </w:pPr>
    </w:p>
    <w:p w14:paraId="7E70E236">
      <w:pPr>
        <w:spacing w:line="720" w:lineRule="exact"/>
        <w:ind w:firstLine="0"/>
        <w:jc w:val="center"/>
        <w:outlineLvl w:val="2"/>
        <w:rPr>
          <w:rFonts w:hint="eastAsia" w:ascii="宋体" w:hAnsi="宋体" w:eastAsia="宋体" w:cs="宋体"/>
          <w:color w:val="auto"/>
          <w:kern w:val="0"/>
          <w:sz w:val="44"/>
          <w:szCs w:val="44"/>
        </w:rPr>
      </w:pPr>
    </w:p>
    <w:p w14:paraId="0FFE200E">
      <w:pPr>
        <w:spacing w:line="720" w:lineRule="exact"/>
        <w:ind w:firstLine="0"/>
        <w:jc w:val="center"/>
        <w:outlineLvl w:val="2"/>
        <w:rPr>
          <w:rFonts w:hint="eastAsia" w:ascii="宋体" w:hAnsi="宋体" w:eastAsia="宋体" w:cs="宋体"/>
          <w:color w:val="auto"/>
          <w:kern w:val="0"/>
          <w:sz w:val="44"/>
          <w:szCs w:val="44"/>
        </w:rPr>
      </w:pPr>
      <w:r>
        <w:rPr>
          <w:rFonts w:hint="eastAsia" w:ascii="宋体" w:hAnsi="宋体" w:eastAsia="宋体" w:cs="宋体"/>
          <w:color w:val="auto"/>
          <w:kern w:val="0"/>
          <w:sz w:val="44"/>
          <w:szCs w:val="44"/>
        </w:rPr>
        <w:t>2026年电梯安全监督抽查委托书</w:t>
      </w:r>
    </w:p>
    <w:p w14:paraId="334AABBB">
      <w:pPr>
        <w:spacing w:line="720" w:lineRule="exact"/>
        <w:ind w:firstLine="0"/>
        <w:jc w:val="left"/>
        <w:rPr>
          <w:rFonts w:hint="eastAsia" w:ascii="宋体" w:hAnsi="宋体" w:eastAsia="宋体" w:cs="宋体"/>
          <w:color w:val="auto"/>
          <w:kern w:val="0"/>
          <w:sz w:val="32"/>
          <w:szCs w:val="32"/>
        </w:rPr>
      </w:pPr>
    </w:p>
    <w:p w14:paraId="41453695">
      <w:pPr>
        <w:spacing w:line="720" w:lineRule="exact"/>
        <w:ind w:firstLine="0"/>
        <w:jc w:val="left"/>
        <w:rPr>
          <w:rFonts w:hint="eastAsia" w:ascii="宋体" w:hAnsi="宋体" w:eastAsia="宋体" w:cs="宋体"/>
          <w:color w:val="auto"/>
          <w:kern w:val="0"/>
          <w:sz w:val="32"/>
          <w:szCs w:val="32"/>
        </w:rPr>
      </w:pPr>
    </w:p>
    <w:p w14:paraId="687D46EC">
      <w:pPr>
        <w:spacing w:line="720" w:lineRule="exact"/>
        <w:ind w:firstLine="0"/>
        <w:jc w:val="left"/>
        <w:rPr>
          <w:rFonts w:hint="eastAsia" w:ascii="宋体" w:hAnsi="宋体" w:eastAsia="宋体" w:cs="宋体"/>
          <w:color w:val="auto"/>
          <w:kern w:val="0"/>
          <w:sz w:val="32"/>
          <w:szCs w:val="32"/>
        </w:rPr>
      </w:pPr>
    </w:p>
    <w:p w14:paraId="29BCC6A6">
      <w:pPr>
        <w:spacing w:line="640" w:lineRule="exact"/>
        <w:ind w:firstLine="0"/>
        <w:rPr>
          <w:rFonts w:hint="eastAsia" w:ascii="宋体" w:hAnsi="宋体" w:eastAsia="宋体" w:cs="宋体"/>
          <w:color w:val="auto"/>
          <w:kern w:val="0"/>
          <w:sz w:val="32"/>
          <w:szCs w:val="32"/>
        </w:rPr>
      </w:pPr>
      <w:r>
        <w:rPr>
          <w:rFonts w:hint="eastAsia" w:ascii="宋体" w:hAnsi="宋体" w:eastAsia="宋体" w:cs="宋体"/>
          <w:color w:val="auto"/>
          <w:kern w:val="0"/>
          <w:sz w:val="32"/>
          <w:szCs w:val="32"/>
        </w:rPr>
        <w:t>委 托 方：</w:t>
      </w:r>
      <w:r>
        <w:rPr>
          <w:rFonts w:hint="eastAsia" w:ascii="宋体" w:hAnsi="宋体" w:eastAsia="宋体" w:cs="宋体"/>
          <w:color w:val="auto"/>
          <w:kern w:val="0"/>
          <w:sz w:val="32"/>
          <w:szCs w:val="32"/>
          <w:u w:val="single"/>
        </w:rPr>
        <w:t xml:space="preserve">   西安市雁塔区市场监督管理局        </w:t>
      </w:r>
    </w:p>
    <w:p w14:paraId="56A6216E">
      <w:pPr>
        <w:spacing w:line="640" w:lineRule="exact"/>
        <w:ind w:firstLine="0"/>
        <w:jc w:val="left"/>
        <w:rPr>
          <w:rFonts w:hint="eastAsia" w:ascii="宋体" w:hAnsi="宋体" w:eastAsia="宋体" w:cs="宋体"/>
          <w:color w:val="auto"/>
          <w:kern w:val="0"/>
          <w:sz w:val="32"/>
          <w:szCs w:val="32"/>
          <w:u w:val="single"/>
        </w:rPr>
      </w:pPr>
      <w:r>
        <w:rPr>
          <w:rFonts w:hint="eastAsia" w:ascii="宋体" w:hAnsi="宋体" w:eastAsia="宋体" w:cs="宋体"/>
          <w:color w:val="auto"/>
          <w:kern w:val="0"/>
          <w:sz w:val="32"/>
          <w:szCs w:val="32"/>
        </w:rPr>
        <w:t>被委托方：</w:t>
      </w:r>
      <w:r>
        <w:rPr>
          <w:rFonts w:hint="eastAsia" w:ascii="宋体" w:hAnsi="宋体" w:eastAsia="宋体" w:cs="宋体"/>
          <w:color w:val="auto"/>
          <w:kern w:val="0"/>
          <w:sz w:val="32"/>
          <w:szCs w:val="32"/>
          <w:u w:val="single"/>
        </w:rPr>
        <w:t xml:space="preserve">                                     </w:t>
      </w:r>
    </w:p>
    <w:p w14:paraId="5CAA739F">
      <w:pPr>
        <w:spacing w:line="640" w:lineRule="exact"/>
        <w:ind w:firstLine="0"/>
        <w:jc w:val="left"/>
        <w:rPr>
          <w:rFonts w:hint="eastAsia" w:ascii="宋体" w:hAnsi="宋体" w:eastAsia="宋体" w:cs="宋体"/>
          <w:color w:val="auto"/>
          <w:kern w:val="0"/>
          <w:sz w:val="32"/>
          <w:szCs w:val="32"/>
        </w:rPr>
      </w:pPr>
      <w:r>
        <w:rPr>
          <w:rFonts w:hint="eastAsia" w:ascii="宋体" w:hAnsi="宋体" w:eastAsia="宋体" w:cs="宋体"/>
          <w:color w:val="auto"/>
          <w:kern w:val="0"/>
          <w:sz w:val="32"/>
          <w:szCs w:val="32"/>
        </w:rPr>
        <w:t>委托事项：</w:t>
      </w:r>
      <w:r>
        <w:rPr>
          <w:rFonts w:hint="eastAsia" w:ascii="宋体" w:hAnsi="宋体" w:eastAsia="宋体" w:cs="宋体"/>
          <w:color w:val="auto"/>
          <w:kern w:val="0"/>
          <w:sz w:val="32"/>
          <w:szCs w:val="32"/>
          <w:u w:val="single"/>
        </w:rPr>
        <w:t xml:space="preserve">      2026年电梯安全监督抽查     </w:t>
      </w:r>
    </w:p>
    <w:p w14:paraId="4A732C7D">
      <w:pPr>
        <w:spacing w:line="640" w:lineRule="exact"/>
        <w:ind w:firstLine="0"/>
        <w:rPr>
          <w:rFonts w:hint="eastAsia" w:ascii="宋体" w:hAnsi="宋体" w:eastAsia="宋体" w:cs="宋体"/>
          <w:color w:val="auto"/>
          <w:kern w:val="0"/>
          <w:sz w:val="32"/>
          <w:szCs w:val="32"/>
          <w:u w:val="single"/>
        </w:rPr>
      </w:pPr>
      <w:r>
        <w:rPr>
          <w:rFonts w:hint="eastAsia" w:ascii="宋体" w:hAnsi="宋体" w:eastAsia="宋体" w:cs="宋体"/>
          <w:color w:val="auto"/>
          <w:kern w:val="0"/>
          <w:sz w:val="32"/>
          <w:szCs w:val="32"/>
        </w:rPr>
        <w:t>委托时限：</w:t>
      </w:r>
      <w:r>
        <w:rPr>
          <w:rFonts w:hint="eastAsia" w:ascii="宋体" w:hAnsi="宋体" w:eastAsia="宋体" w:cs="宋体"/>
          <w:color w:val="auto"/>
          <w:kern w:val="0"/>
          <w:sz w:val="32"/>
          <w:szCs w:val="32"/>
          <w:u w:val="single"/>
        </w:rPr>
        <w:t xml:space="preserve"> 2026年   月    日至2026年  月   日 </w:t>
      </w:r>
    </w:p>
    <w:p w14:paraId="02B0C84C">
      <w:pPr>
        <w:spacing w:line="640" w:lineRule="exact"/>
        <w:ind w:firstLine="0"/>
        <w:rPr>
          <w:rFonts w:hint="eastAsia" w:ascii="宋体" w:hAnsi="宋体" w:eastAsia="宋体" w:cs="宋体"/>
          <w:color w:val="auto"/>
          <w:kern w:val="0"/>
          <w:sz w:val="32"/>
          <w:szCs w:val="32"/>
          <w:u w:val="single"/>
        </w:rPr>
      </w:pPr>
    </w:p>
    <w:p w14:paraId="4126EC95">
      <w:pPr>
        <w:spacing w:line="640" w:lineRule="exact"/>
        <w:ind w:firstLine="0"/>
        <w:rPr>
          <w:rFonts w:hint="eastAsia" w:ascii="宋体" w:hAnsi="宋体" w:eastAsia="宋体" w:cs="宋体"/>
          <w:color w:val="auto"/>
          <w:kern w:val="0"/>
          <w:sz w:val="32"/>
          <w:szCs w:val="32"/>
          <w:u w:val="single"/>
        </w:rPr>
      </w:pPr>
    </w:p>
    <w:p w14:paraId="3AFEFE1F">
      <w:pPr>
        <w:spacing w:line="640" w:lineRule="exact"/>
        <w:ind w:firstLine="0"/>
        <w:rPr>
          <w:rFonts w:hint="eastAsia" w:ascii="宋体" w:hAnsi="宋体" w:eastAsia="宋体" w:cs="宋体"/>
          <w:color w:val="auto"/>
          <w:kern w:val="0"/>
          <w:sz w:val="32"/>
          <w:szCs w:val="32"/>
          <w:u w:val="single"/>
        </w:rPr>
      </w:pPr>
    </w:p>
    <w:p w14:paraId="23F43E36">
      <w:pPr>
        <w:spacing w:line="640" w:lineRule="exact"/>
        <w:ind w:firstLine="0"/>
        <w:rPr>
          <w:rFonts w:hint="eastAsia" w:ascii="宋体" w:hAnsi="宋体" w:eastAsia="宋体" w:cs="宋体"/>
          <w:color w:val="auto"/>
          <w:kern w:val="0"/>
          <w:sz w:val="32"/>
          <w:szCs w:val="32"/>
          <w:u w:val="single"/>
        </w:rPr>
      </w:pPr>
    </w:p>
    <w:p w14:paraId="79702734">
      <w:pPr>
        <w:spacing w:line="640" w:lineRule="exact"/>
        <w:ind w:firstLine="0"/>
        <w:jc w:val="center"/>
        <w:rPr>
          <w:rFonts w:hint="eastAsia" w:ascii="宋体" w:hAnsi="宋体" w:eastAsia="宋体" w:cs="宋体"/>
          <w:color w:val="auto"/>
          <w:sz w:val="32"/>
          <w:szCs w:val="32"/>
        </w:rPr>
      </w:pPr>
      <w:r>
        <w:rPr>
          <w:rFonts w:hint="eastAsia" w:ascii="宋体" w:hAnsi="宋体" w:eastAsia="宋体" w:cs="宋体"/>
          <w:color w:val="auto"/>
          <w:kern w:val="0"/>
          <w:sz w:val="32"/>
          <w:szCs w:val="32"/>
        </w:rPr>
        <w:t xml:space="preserve">      西安市雁塔区市场监督管理局</w:t>
      </w:r>
    </w:p>
    <w:p w14:paraId="0E29BDAF">
      <w:pPr>
        <w:spacing w:line="48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 xml:space="preserve">       年   月   日</w:t>
      </w:r>
    </w:p>
    <w:p w14:paraId="60C724C6">
      <w:pPr>
        <w:spacing w:line="640" w:lineRule="exact"/>
        <w:ind w:firstLine="0"/>
        <w:jc w:val="left"/>
        <w:rPr>
          <w:rFonts w:hint="eastAsia" w:ascii="宋体" w:hAnsi="宋体" w:eastAsia="宋体" w:cs="宋体"/>
          <w:color w:val="auto"/>
          <w:kern w:val="0"/>
          <w:sz w:val="32"/>
          <w:szCs w:val="32"/>
        </w:rPr>
      </w:pPr>
    </w:p>
    <w:p w14:paraId="587ABB32">
      <w:pPr>
        <w:spacing w:line="640" w:lineRule="exact"/>
        <w:ind w:firstLine="0"/>
        <w:jc w:val="left"/>
        <w:rPr>
          <w:rFonts w:hint="eastAsia" w:ascii="宋体" w:hAnsi="宋体" w:eastAsia="宋体" w:cs="宋体"/>
          <w:color w:val="auto"/>
          <w:kern w:val="0"/>
          <w:sz w:val="32"/>
          <w:szCs w:val="32"/>
        </w:rPr>
      </w:pPr>
    </w:p>
    <w:p w14:paraId="033C0B90">
      <w:pPr>
        <w:spacing w:line="640" w:lineRule="exact"/>
        <w:ind w:firstLine="0"/>
        <w:jc w:val="left"/>
        <w:rPr>
          <w:rFonts w:hint="eastAsia" w:ascii="宋体" w:hAnsi="宋体" w:eastAsia="宋体" w:cs="宋体"/>
          <w:color w:val="auto"/>
          <w:kern w:val="0"/>
          <w:sz w:val="32"/>
          <w:szCs w:val="32"/>
        </w:rPr>
      </w:pPr>
    </w:p>
    <w:p w14:paraId="455A0AFC">
      <w:pPr>
        <w:spacing w:line="560" w:lineRule="exact"/>
        <w:ind w:firstLine="0"/>
        <w:jc w:val="center"/>
        <w:rPr>
          <w:rFonts w:hint="eastAsia" w:ascii="宋体" w:hAnsi="宋体" w:eastAsia="宋体" w:cs="宋体"/>
          <w:color w:val="auto"/>
          <w:sz w:val="44"/>
          <w:szCs w:val="44"/>
        </w:rPr>
      </w:pPr>
    </w:p>
    <w:p w14:paraId="07A95827">
      <w:pPr>
        <w:rPr>
          <w:rFonts w:hint="eastAsia" w:ascii="宋体" w:hAnsi="宋体" w:eastAsia="宋体" w:cs="宋体"/>
          <w:color w:val="auto"/>
          <w:sz w:val="44"/>
          <w:szCs w:val="44"/>
        </w:rPr>
      </w:pPr>
      <w:r>
        <w:rPr>
          <w:rFonts w:hint="eastAsia" w:ascii="宋体" w:hAnsi="宋体" w:eastAsia="宋体" w:cs="宋体"/>
          <w:color w:val="auto"/>
          <w:sz w:val="44"/>
          <w:szCs w:val="44"/>
        </w:rPr>
        <w:br w:type="page"/>
      </w:r>
    </w:p>
    <w:p w14:paraId="66921BB6">
      <w:pPr>
        <w:spacing w:line="560" w:lineRule="exact"/>
        <w:ind w:firstLine="0"/>
        <w:jc w:val="center"/>
        <w:rPr>
          <w:rFonts w:hint="eastAsia" w:ascii="宋体" w:hAnsi="宋体" w:eastAsia="宋体" w:cs="宋体"/>
          <w:color w:val="auto"/>
          <w:sz w:val="44"/>
          <w:szCs w:val="44"/>
        </w:rPr>
      </w:pPr>
      <w:r>
        <w:rPr>
          <w:rFonts w:hint="eastAsia" w:ascii="宋体" w:hAnsi="宋体" w:eastAsia="宋体" w:cs="宋体"/>
          <w:color w:val="auto"/>
          <w:sz w:val="44"/>
          <w:szCs w:val="44"/>
        </w:rPr>
        <w:t>关于2026年电梯安全监督抽查的通知</w:t>
      </w:r>
    </w:p>
    <w:p w14:paraId="54763C9E">
      <w:pPr>
        <w:widowControl/>
        <w:spacing w:line="560" w:lineRule="exact"/>
        <w:ind w:firstLine="0"/>
        <w:jc w:val="left"/>
        <w:rPr>
          <w:rFonts w:hint="eastAsia" w:ascii="宋体" w:hAnsi="宋体" w:eastAsia="宋体" w:cs="宋体"/>
          <w:color w:val="auto"/>
          <w:sz w:val="32"/>
          <w:szCs w:val="32"/>
        </w:rPr>
      </w:pPr>
    </w:p>
    <w:p w14:paraId="7BE758EF">
      <w:pPr>
        <w:spacing w:line="360" w:lineRule="auto"/>
        <w:ind w:firstLine="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各有关单位：</w:t>
      </w:r>
    </w:p>
    <w:p w14:paraId="02B2A38C">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经公开招标，</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中标</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监督抽查项目，受委托开展相关监督抽查工作。具体监督抽查事项以《西安市雁塔区市场监督管理局关于印发〈2026年电梯安全监督抽查工作实施方案〉的通知》为准，请予以配合，并对监督抽查工作进行监督。</w:t>
      </w:r>
    </w:p>
    <w:p w14:paraId="2B7418CC">
      <w:pPr>
        <w:spacing w:line="360" w:lineRule="auto"/>
        <w:ind w:firstLine="480" w:firstLineChars="200"/>
        <w:rPr>
          <w:rFonts w:hint="eastAsia" w:ascii="宋体" w:hAnsi="宋体" w:eastAsia="宋体" w:cs="宋体"/>
          <w:color w:val="auto"/>
          <w:kern w:val="0"/>
          <w:sz w:val="24"/>
          <w:szCs w:val="24"/>
        </w:rPr>
      </w:pPr>
    </w:p>
    <w:p w14:paraId="0BC70663">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联系人：       电话：     </w:t>
      </w:r>
    </w:p>
    <w:p w14:paraId="33F35ACA">
      <w:pPr>
        <w:spacing w:line="360" w:lineRule="auto"/>
        <w:ind w:firstLine="480" w:firstLineChars="200"/>
        <w:rPr>
          <w:rFonts w:hint="eastAsia" w:ascii="宋体" w:hAnsi="宋体" w:eastAsia="宋体" w:cs="宋体"/>
          <w:color w:val="auto"/>
          <w:kern w:val="0"/>
          <w:sz w:val="24"/>
          <w:szCs w:val="24"/>
        </w:rPr>
      </w:pPr>
    </w:p>
    <w:p w14:paraId="5F0757D3">
      <w:pPr>
        <w:spacing w:line="360" w:lineRule="auto"/>
        <w:ind w:firstLine="456" w:firstLineChars="200"/>
        <w:rPr>
          <w:rFonts w:hint="eastAsia" w:ascii="宋体" w:hAnsi="宋体" w:eastAsia="宋体" w:cs="宋体"/>
          <w:color w:val="auto"/>
          <w:spacing w:val="-6"/>
          <w:kern w:val="0"/>
          <w:sz w:val="24"/>
          <w:szCs w:val="24"/>
        </w:rPr>
      </w:pPr>
    </w:p>
    <w:p w14:paraId="5349B358">
      <w:pPr>
        <w:spacing w:line="360" w:lineRule="auto"/>
        <w:ind w:firstLine="3600" w:firstLineChars="1500"/>
        <w:rPr>
          <w:rFonts w:hint="eastAsia" w:ascii="宋体" w:hAnsi="宋体" w:eastAsia="宋体" w:cs="宋体"/>
          <w:color w:val="auto"/>
          <w:sz w:val="24"/>
          <w:szCs w:val="24"/>
        </w:rPr>
      </w:pPr>
    </w:p>
    <w:p w14:paraId="5731AC03">
      <w:pPr>
        <w:spacing w:line="360" w:lineRule="auto"/>
        <w:ind w:firstLine="3120" w:firstLineChars="1300"/>
        <w:rPr>
          <w:rFonts w:hint="eastAsia" w:ascii="宋体" w:hAnsi="宋体" w:eastAsia="宋体" w:cs="宋体"/>
          <w:color w:val="auto"/>
          <w:sz w:val="24"/>
          <w:szCs w:val="24"/>
        </w:rPr>
      </w:pPr>
      <w:r>
        <w:rPr>
          <w:rFonts w:hint="eastAsia" w:ascii="宋体" w:hAnsi="宋体" w:eastAsia="宋体" w:cs="宋体"/>
          <w:color w:val="auto"/>
          <w:sz w:val="24"/>
          <w:szCs w:val="24"/>
        </w:rPr>
        <w:t>西安市雁塔区市场监督管理局</w:t>
      </w:r>
    </w:p>
    <w:p w14:paraId="401CE278">
      <w:pPr>
        <w:tabs>
          <w:tab w:val="left" w:pos="7560"/>
        </w:tabs>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2026年  月   日</w:t>
      </w:r>
    </w:p>
    <w:p w14:paraId="772C18E9">
      <w:pPr>
        <w:spacing w:line="560" w:lineRule="exact"/>
        <w:ind w:firstLine="640" w:firstLineChars="200"/>
        <w:rPr>
          <w:rFonts w:hint="eastAsia" w:ascii="宋体" w:hAnsi="宋体" w:eastAsia="宋体" w:cs="宋体"/>
          <w:color w:val="auto"/>
          <w:sz w:val="32"/>
          <w:szCs w:val="32"/>
        </w:rPr>
      </w:pPr>
    </w:p>
    <w:p w14:paraId="4970BD4D">
      <w:pPr>
        <w:spacing w:line="560" w:lineRule="exact"/>
        <w:ind w:firstLine="640" w:firstLineChars="200"/>
        <w:rPr>
          <w:rFonts w:hint="eastAsia" w:ascii="宋体" w:hAnsi="宋体" w:eastAsia="宋体" w:cs="宋体"/>
          <w:color w:val="auto"/>
          <w:sz w:val="32"/>
          <w:szCs w:val="32"/>
        </w:rPr>
      </w:pPr>
    </w:p>
    <w:p w14:paraId="49F6F15D">
      <w:pPr>
        <w:spacing w:line="560" w:lineRule="exact"/>
        <w:ind w:firstLine="640" w:firstLineChars="200"/>
        <w:rPr>
          <w:rFonts w:hint="eastAsia" w:ascii="宋体" w:hAnsi="宋体" w:eastAsia="宋体" w:cs="宋体"/>
          <w:color w:val="auto"/>
          <w:sz w:val="32"/>
          <w:szCs w:val="32"/>
        </w:rPr>
      </w:pPr>
    </w:p>
    <w:p w14:paraId="51B8E2A0">
      <w:pPr>
        <w:spacing w:line="560" w:lineRule="exact"/>
        <w:ind w:firstLine="640" w:firstLineChars="200"/>
        <w:rPr>
          <w:rFonts w:hint="eastAsia" w:ascii="宋体" w:hAnsi="宋体" w:eastAsia="宋体" w:cs="宋体"/>
          <w:color w:val="auto"/>
          <w:sz w:val="32"/>
          <w:szCs w:val="32"/>
        </w:rPr>
      </w:pPr>
    </w:p>
    <w:p w14:paraId="637CB4B0">
      <w:pPr>
        <w:spacing w:line="560" w:lineRule="exact"/>
        <w:ind w:firstLine="0"/>
        <w:rPr>
          <w:rFonts w:hint="eastAsia" w:ascii="宋体" w:hAnsi="宋体" w:eastAsia="宋体" w:cs="宋体"/>
          <w:color w:val="auto"/>
          <w:sz w:val="32"/>
          <w:szCs w:val="32"/>
        </w:rPr>
      </w:pPr>
    </w:p>
    <w:p w14:paraId="01A11AD6">
      <w:pPr>
        <w:spacing w:line="560" w:lineRule="exact"/>
        <w:ind w:firstLine="0"/>
        <w:jc w:val="center"/>
        <w:rPr>
          <w:rFonts w:hint="eastAsia" w:ascii="宋体" w:hAnsi="宋体" w:eastAsia="宋体" w:cs="宋体"/>
          <w:color w:val="auto"/>
          <w:sz w:val="44"/>
          <w:szCs w:val="44"/>
        </w:rPr>
      </w:pPr>
    </w:p>
    <w:p w14:paraId="2FEB201D">
      <w:pPr>
        <w:spacing w:line="240" w:lineRule="auto"/>
        <w:ind w:firstLine="0"/>
        <w:rPr>
          <w:rFonts w:hint="eastAsia" w:ascii="宋体" w:hAnsi="宋体" w:eastAsia="宋体" w:cs="宋体"/>
          <w:color w:val="auto"/>
          <w:sz w:val="36"/>
          <w:szCs w:val="36"/>
        </w:rPr>
      </w:pPr>
      <w:bookmarkStart w:id="16" w:name="OLE_LINK5"/>
      <w:r>
        <w:rPr>
          <w:rFonts w:hint="eastAsia" w:ascii="宋体" w:hAnsi="宋体" w:eastAsia="宋体" w:cs="宋体"/>
          <w:color w:val="auto"/>
          <w:sz w:val="36"/>
          <w:szCs w:val="36"/>
        </w:rPr>
        <w:br w:type="page"/>
      </w:r>
    </w:p>
    <w:p w14:paraId="4CFEC6C2">
      <w:pPr>
        <w:spacing w:line="720" w:lineRule="exact"/>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监督抽查项目、内容与方法要求</w:t>
      </w:r>
      <w:bookmarkEnd w:id="16"/>
    </w:p>
    <w:p w14:paraId="54AABB96">
      <w:pPr>
        <w:spacing w:line="56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曳引与强制驱动电梯维保质量监督抽查</w:t>
      </w:r>
    </w:p>
    <w:tbl>
      <w:tblPr>
        <w:tblStyle w:val="3"/>
        <w:tblW w:w="943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017"/>
        <w:gridCol w:w="1673"/>
        <w:gridCol w:w="5081"/>
        <w:gridCol w:w="1668"/>
      </w:tblGrid>
      <w:tr w14:paraId="1E3A6A4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24" w:type="dxa"/>
            <w:vAlign w:val="center"/>
          </w:tcPr>
          <w:p w14:paraId="4D4B3C5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序号</w:t>
            </w:r>
          </w:p>
        </w:tc>
        <w:tc>
          <w:tcPr>
            <w:tcW w:w="1701" w:type="dxa"/>
            <w:vAlign w:val="center"/>
          </w:tcPr>
          <w:p w14:paraId="2403E31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项目</w:t>
            </w:r>
          </w:p>
        </w:tc>
        <w:tc>
          <w:tcPr>
            <w:tcW w:w="5313" w:type="dxa"/>
            <w:vAlign w:val="center"/>
          </w:tcPr>
          <w:p w14:paraId="1FE6BA5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监督抽查内容与要求</w:t>
            </w:r>
          </w:p>
        </w:tc>
        <w:tc>
          <w:tcPr>
            <w:tcW w:w="1701" w:type="dxa"/>
            <w:vAlign w:val="center"/>
          </w:tcPr>
          <w:p w14:paraId="10983386">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抽查方法</w:t>
            </w:r>
          </w:p>
        </w:tc>
      </w:tr>
      <w:tr w14:paraId="6B810F9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60" w:hRule="atLeast"/>
          <w:jc w:val="center"/>
        </w:trPr>
        <w:tc>
          <w:tcPr>
            <w:tcW w:w="724" w:type="dxa"/>
            <w:vAlign w:val="center"/>
          </w:tcPr>
          <w:p w14:paraId="62B457A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p>
        </w:tc>
        <w:tc>
          <w:tcPr>
            <w:tcW w:w="1701" w:type="dxa"/>
            <w:vAlign w:val="center"/>
          </w:tcPr>
          <w:p w14:paraId="3A1042F8">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使用管理</w:t>
            </w:r>
          </w:p>
        </w:tc>
        <w:tc>
          <w:tcPr>
            <w:tcW w:w="5313" w:type="dxa"/>
            <w:vAlign w:val="center"/>
          </w:tcPr>
          <w:p w14:paraId="3A796267">
            <w:pPr>
              <w:widowControl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（1）电梯使用单位安全管理制度及相关档案：①安全管理制度；②安全技术档案；③日常巡查、检查，运行故障和事故记录；④应急救援预案及演练记录；</w:t>
            </w:r>
          </w:p>
          <w:p w14:paraId="2A3DD98C">
            <w:pPr>
              <w:widowControl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电梯使用单位安全主体责任落实情况：①书面任命安全总监、安全员；②开展安全总监和安全员培训及考核的存档资料；③制定单位《特种设备安全风险管控清单》《特种设备安全总监职责》《特种设备安全员守则》等文件；④查阅《每日安全检查记录》《每周安全排查治理报告》《每月安全调度会议纪要》记录；⑤协助现场监察人员对安全总监、安全员开展监督抽查考核。</w:t>
            </w:r>
          </w:p>
          <w:p w14:paraId="6E1DF212">
            <w:pPr>
              <w:widowControl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（3）应在电梯显著位置张贴下列标识：①特种设备使用标志；②电梯使用安全注意事项；③96333标识；④警示标志；</w:t>
            </w:r>
          </w:p>
          <w:p w14:paraId="19FB8ED2">
            <w:pPr>
              <w:widowControl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（4）检查轿厢及电梯使用单位值班室紧急报警装置。</w:t>
            </w:r>
          </w:p>
        </w:tc>
        <w:tc>
          <w:tcPr>
            <w:tcW w:w="1701" w:type="dxa"/>
            <w:vAlign w:val="center"/>
          </w:tcPr>
          <w:p w14:paraId="6D70F6D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查看资料、测试紧急报警装置</w:t>
            </w:r>
          </w:p>
        </w:tc>
      </w:tr>
      <w:tr w14:paraId="6BA28C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15" w:hRule="atLeast"/>
          <w:jc w:val="center"/>
        </w:trPr>
        <w:tc>
          <w:tcPr>
            <w:tcW w:w="724" w:type="dxa"/>
            <w:vAlign w:val="center"/>
          </w:tcPr>
          <w:p w14:paraId="663EE90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w:t>
            </w:r>
          </w:p>
        </w:tc>
        <w:tc>
          <w:tcPr>
            <w:tcW w:w="1701" w:type="dxa"/>
            <w:vAlign w:val="center"/>
          </w:tcPr>
          <w:p w14:paraId="2909E18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bCs/>
                <w:color w:val="auto"/>
                <w:kern w:val="0"/>
                <w:sz w:val="24"/>
                <w:szCs w:val="24"/>
                <w:lang w:val="en-US" w:eastAsia="zh-CN" w:bidi="ar-SA"/>
              </w:rPr>
              <w:t>维护保养</w:t>
            </w:r>
          </w:p>
        </w:tc>
        <w:tc>
          <w:tcPr>
            <w:tcW w:w="5313" w:type="dxa"/>
            <w:vAlign w:val="center"/>
          </w:tcPr>
          <w:p w14:paraId="4C7908D2">
            <w:pPr>
              <w:spacing w:line="360" w:lineRule="auto"/>
              <w:ind w:firstLine="0"/>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（1）按照电梯维护保养规则（TSG T5002-2017）中曳引与强制驱动电梯维护保养项目（内容）和要求填写维护保养记录； </w:t>
            </w:r>
          </w:p>
          <w:p w14:paraId="58CE3653">
            <w:pPr>
              <w:spacing w:line="360" w:lineRule="auto"/>
              <w:ind w:firstLine="0"/>
              <w:rPr>
                <w:rFonts w:hint="eastAsia" w:ascii="宋体" w:hAnsi="宋体" w:eastAsia="宋体" w:cs="宋体"/>
                <w:bCs/>
                <w:color w:val="auto"/>
                <w:sz w:val="24"/>
                <w:szCs w:val="24"/>
              </w:rPr>
            </w:pPr>
            <w:r>
              <w:rPr>
                <w:rFonts w:hint="eastAsia" w:ascii="宋体" w:hAnsi="宋体" w:eastAsia="宋体" w:cs="宋体"/>
                <w:bCs/>
                <w:color w:val="auto"/>
                <w:sz w:val="24"/>
                <w:szCs w:val="24"/>
              </w:rPr>
              <w:t>（2）与电梯使用单位签订维护保养合同；</w:t>
            </w:r>
          </w:p>
          <w:p w14:paraId="3270F89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bCs/>
                <w:color w:val="auto"/>
                <w:kern w:val="0"/>
                <w:sz w:val="24"/>
                <w:szCs w:val="24"/>
                <w:lang w:val="en-US" w:eastAsia="zh-CN" w:bidi="ar-SA"/>
              </w:rPr>
              <w:t>（3）按</w:t>
            </w:r>
            <w:r>
              <w:rPr>
                <w:rFonts w:hint="eastAsia" w:ascii="宋体" w:hAnsi="宋体" w:eastAsia="宋体" w:cs="宋体"/>
                <w:bCs/>
                <w:color w:val="auto"/>
                <w:kern w:val="2"/>
                <w:sz w:val="24"/>
                <w:szCs w:val="24"/>
                <w:lang w:val="en-US" w:eastAsia="zh-CN" w:bidi="ar-SA"/>
              </w:rPr>
              <w:t>照电梯维护保养规则（TSG T5002-2017）的有关技术规范以及电梯产品安装维护使</w:t>
            </w:r>
            <w:r>
              <w:rPr>
                <w:rFonts w:hint="eastAsia" w:ascii="宋体" w:hAnsi="宋体" w:eastAsia="宋体" w:cs="宋体"/>
                <w:bCs/>
                <w:color w:val="auto"/>
                <w:kern w:val="0"/>
                <w:sz w:val="24"/>
                <w:szCs w:val="24"/>
                <w:lang w:val="en-US" w:eastAsia="zh-CN" w:bidi="ar-SA"/>
              </w:rPr>
              <w:t>用说明书的要求制定施工计划。</w:t>
            </w:r>
          </w:p>
        </w:tc>
        <w:tc>
          <w:tcPr>
            <w:tcW w:w="1701" w:type="dxa"/>
            <w:vAlign w:val="center"/>
          </w:tcPr>
          <w:p w14:paraId="14BB430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查看维保记录、合同、计划</w:t>
            </w:r>
          </w:p>
        </w:tc>
      </w:tr>
      <w:tr w14:paraId="5F6F3E4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19173EE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w:t>
            </w:r>
          </w:p>
        </w:tc>
        <w:tc>
          <w:tcPr>
            <w:tcW w:w="1701" w:type="dxa"/>
            <w:vAlign w:val="center"/>
          </w:tcPr>
          <w:p w14:paraId="77E1B1D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机房、滑轮间</w:t>
            </w:r>
          </w:p>
          <w:p w14:paraId="3696BFC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环境</w:t>
            </w:r>
          </w:p>
        </w:tc>
        <w:tc>
          <w:tcPr>
            <w:tcW w:w="5313" w:type="dxa"/>
            <w:vAlign w:val="center"/>
          </w:tcPr>
          <w:p w14:paraId="7C252646">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清洁，门窗完好，照明正常。</w:t>
            </w:r>
          </w:p>
        </w:tc>
        <w:tc>
          <w:tcPr>
            <w:tcW w:w="1701" w:type="dxa"/>
            <w:vAlign w:val="center"/>
          </w:tcPr>
          <w:p w14:paraId="113E115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3FF8D3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16F38571">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w:t>
            </w:r>
          </w:p>
        </w:tc>
        <w:tc>
          <w:tcPr>
            <w:tcW w:w="1701" w:type="dxa"/>
            <w:vAlign w:val="center"/>
          </w:tcPr>
          <w:p w14:paraId="4246D60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驱动主机</w:t>
            </w:r>
          </w:p>
        </w:tc>
        <w:tc>
          <w:tcPr>
            <w:tcW w:w="5313" w:type="dxa"/>
            <w:vAlign w:val="center"/>
          </w:tcPr>
          <w:p w14:paraId="52D20A7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电梯正常运行时无异常振动和异常声响。</w:t>
            </w:r>
          </w:p>
        </w:tc>
        <w:tc>
          <w:tcPr>
            <w:tcW w:w="1701" w:type="dxa"/>
            <w:vAlign w:val="center"/>
          </w:tcPr>
          <w:p w14:paraId="2FBC3FD2">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现场观察确认并试验验证</w:t>
            </w:r>
          </w:p>
        </w:tc>
      </w:tr>
      <w:tr w14:paraId="23ED68D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49CFE2C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w:t>
            </w:r>
          </w:p>
        </w:tc>
        <w:tc>
          <w:tcPr>
            <w:tcW w:w="1701" w:type="dxa"/>
            <w:vAlign w:val="center"/>
          </w:tcPr>
          <w:p w14:paraId="1303084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手动紧急操作</w:t>
            </w:r>
          </w:p>
          <w:p w14:paraId="4EC2AD4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装置</w:t>
            </w:r>
          </w:p>
        </w:tc>
        <w:tc>
          <w:tcPr>
            <w:tcW w:w="5313" w:type="dxa"/>
            <w:vAlign w:val="center"/>
          </w:tcPr>
          <w:p w14:paraId="6691715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齐全，在指定位置，操作验证手动紧急操作装置的匹配性。</w:t>
            </w:r>
          </w:p>
        </w:tc>
        <w:tc>
          <w:tcPr>
            <w:tcW w:w="1701" w:type="dxa"/>
            <w:vAlign w:val="center"/>
          </w:tcPr>
          <w:p w14:paraId="309DCE5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6F19BBF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20036C1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6</w:t>
            </w:r>
          </w:p>
        </w:tc>
        <w:tc>
          <w:tcPr>
            <w:tcW w:w="1701" w:type="dxa"/>
            <w:vAlign w:val="center"/>
          </w:tcPr>
          <w:p w14:paraId="1F8B734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制动器各销轴</w:t>
            </w:r>
          </w:p>
          <w:p w14:paraId="3F552A1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部位</w:t>
            </w:r>
          </w:p>
        </w:tc>
        <w:tc>
          <w:tcPr>
            <w:tcW w:w="5313" w:type="dxa"/>
            <w:vAlign w:val="center"/>
          </w:tcPr>
          <w:p w14:paraId="31A3C01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动作灵活。</w:t>
            </w:r>
          </w:p>
        </w:tc>
        <w:tc>
          <w:tcPr>
            <w:tcW w:w="1701" w:type="dxa"/>
            <w:vAlign w:val="center"/>
          </w:tcPr>
          <w:p w14:paraId="6D43A11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2A68B8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1CCFD58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7</w:t>
            </w:r>
          </w:p>
        </w:tc>
        <w:tc>
          <w:tcPr>
            <w:tcW w:w="1701" w:type="dxa"/>
            <w:vAlign w:val="center"/>
          </w:tcPr>
          <w:p w14:paraId="0DDF788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制动器间隙</w:t>
            </w:r>
          </w:p>
        </w:tc>
        <w:tc>
          <w:tcPr>
            <w:tcW w:w="5313" w:type="dxa"/>
            <w:vAlign w:val="center"/>
          </w:tcPr>
          <w:p w14:paraId="420D443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打开时制动衬与制动轮不应发生摩擦，间隙值符合制造单位要求。</w:t>
            </w:r>
          </w:p>
        </w:tc>
        <w:tc>
          <w:tcPr>
            <w:tcW w:w="1701" w:type="dxa"/>
            <w:vAlign w:val="center"/>
          </w:tcPr>
          <w:p w14:paraId="4598D3C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5B88707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724" w:type="dxa"/>
            <w:vAlign w:val="center"/>
          </w:tcPr>
          <w:p w14:paraId="5412B6A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8</w:t>
            </w:r>
          </w:p>
        </w:tc>
        <w:tc>
          <w:tcPr>
            <w:tcW w:w="1701" w:type="dxa"/>
            <w:vAlign w:val="center"/>
          </w:tcPr>
          <w:p w14:paraId="4F81A74D">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制动器作为轿厢意外移动保护装置制停子系统时的自监测</w:t>
            </w:r>
          </w:p>
        </w:tc>
        <w:tc>
          <w:tcPr>
            <w:tcW w:w="5313" w:type="dxa"/>
            <w:vAlign w:val="center"/>
          </w:tcPr>
          <w:p w14:paraId="26CAD0D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制动力人工方式检测符合使用维护说明书要求；制动力自监测系统有记录。</w:t>
            </w:r>
          </w:p>
        </w:tc>
        <w:tc>
          <w:tcPr>
            <w:tcW w:w="1701" w:type="dxa"/>
            <w:vAlign w:val="center"/>
          </w:tcPr>
          <w:p w14:paraId="216810E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现场观察确认并查看相关记录</w:t>
            </w:r>
          </w:p>
        </w:tc>
      </w:tr>
      <w:tr w14:paraId="33F8BBE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4" w:type="dxa"/>
            <w:vAlign w:val="center"/>
          </w:tcPr>
          <w:p w14:paraId="74C15A6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9</w:t>
            </w:r>
          </w:p>
        </w:tc>
        <w:tc>
          <w:tcPr>
            <w:tcW w:w="1701" w:type="dxa"/>
            <w:vAlign w:val="center"/>
          </w:tcPr>
          <w:p w14:paraId="67E215B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编码器</w:t>
            </w:r>
          </w:p>
        </w:tc>
        <w:tc>
          <w:tcPr>
            <w:tcW w:w="5313" w:type="dxa"/>
            <w:vAlign w:val="center"/>
          </w:tcPr>
          <w:p w14:paraId="4841F3D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清洁，安装牢固。</w:t>
            </w:r>
          </w:p>
        </w:tc>
        <w:tc>
          <w:tcPr>
            <w:tcW w:w="1701" w:type="dxa"/>
            <w:vAlign w:val="center"/>
          </w:tcPr>
          <w:p w14:paraId="6F0827F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478DBB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724" w:type="dxa"/>
            <w:vAlign w:val="center"/>
          </w:tcPr>
          <w:p w14:paraId="388A2D5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10</w:t>
            </w:r>
          </w:p>
        </w:tc>
        <w:tc>
          <w:tcPr>
            <w:tcW w:w="1701" w:type="dxa"/>
            <w:vAlign w:val="center"/>
          </w:tcPr>
          <w:p w14:paraId="6698BB7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限速器各销轴部位</w:t>
            </w:r>
          </w:p>
        </w:tc>
        <w:tc>
          <w:tcPr>
            <w:tcW w:w="5313" w:type="dxa"/>
            <w:vAlign w:val="center"/>
          </w:tcPr>
          <w:p w14:paraId="6CB8649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人为动作限速器，目测限速器各销轴部位是否转动灵活；轿厢空载以检修速度运行，人为使限速器电气安全装置动作，观察轿厢是否停止运行。</w:t>
            </w:r>
          </w:p>
        </w:tc>
        <w:tc>
          <w:tcPr>
            <w:tcW w:w="1701" w:type="dxa"/>
            <w:vAlign w:val="center"/>
          </w:tcPr>
          <w:p w14:paraId="2B9722F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70D716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16214D7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11</w:t>
            </w:r>
          </w:p>
        </w:tc>
        <w:tc>
          <w:tcPr>
            <w:tcW w:w="1701" w:type="dxa"/>
            <w:vAlign w:val="center"/>
          </w:tcPr>
          <w:p w14:paraId="7C528DC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层门和轿门旁路</w:t>
            </w:r>
          </w:p>
          <w:p w14:paraId="4894BC86">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装置</w:t>
            </w:r>
          </w:p>
        </w:tc>
        <w:tc>
          <w:tcPr>
            <w:tcW w:w="5313" w:type="dxa"/>
            <w:vAlign w:val="center"/>
          </w:tcPr>
          <w:p w14:paraId="38D3A21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检查旁路装置设置及标识；模拟操作检查旁路装置功能是否正常。</w:t>
            </w:r>
          </w:p>
        </w:tc>
        <w:tc>
          <w:tcPr>
            <w:tcW w:w="1701" w:type="dxa"/>
            <w:vAlign w:val="center"/>
          </w:tcPr>
          <w:p w14:paraId="5192CAC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05A599B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2074D64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12</w:t>
            </w:r>
          </w:p>
        </w:tc>
        <w:tc>
          <w:tcPr>
            <w:tcW w:w="1701" w:type="dxa"/>
            <w:vAlign w:val="center"/>
          </w:tcPr>
          <w:p w14:paraId="61B6BC2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紧急电动运行</w:t>
            </w:r>
          </w:p>
        </w:tc>
        <w:tc>
          <w:tcPr>
            <w:tcW w:w="5313" w:type="dxa"/>
            <w:vAlign w:val="center"/>
          </w:tcPr>
          <w:p w14:paraId="2573375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通过模拟操作检查紧急电动运行装置功能是否正常。</w:t>
            </w:r>
          </w:p>
        </w:tc>
        <w:tc>
          <w:tcPr>
            <w:tcW w:w="1701" w:type="dxa"/>
            <w:vAlign w:val="center"/>
          </w:tcPr>
          <w:p w14:paraId="6EBE981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00D3974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4" w:type="dxa"/>
            <w:vAlign w:val="center"/>
          </w:tcPr>
          <w:p w14:paraId="5181511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13</w:t>
            </w:r>
          </w:p>
        </w:tc>
        <w:tc>
          <w:tcPr>
            <w:tcW w:w="1701" w:type="dxa"/>
            <w:vAlign w:val="center"/>
          </w:tcPr>
          <w:p w14:paraId="7579C474">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 顶</w:t>
            </w:r>
          </w:p>
        </w:tc>
        <w:tc>
          <w:tcPr>
            <w:tcW w:w="5313" w:type="dxa"/>
            <w:vAlign w:val="center"/>
          </w:tcPr>
          <w:p w14:paraId="43121EE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清洁，防护栏安全可靠。</w:t>
            </w:r>
          </w:p>
        </w:tc>
        <w:tc>
          <w:tcPr>
            <w:tcW w:w="1701" w:type="dxa"/>
            <w:vAlign w:val="center"/>
          </w:tcPr>
          <w:p w14:paraId="6DE2F72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040CDC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076F3B5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14</w:t>
            </w:r>
          </w:p>
        </w:tc>
        <w:tc>
          <w:tcPr>
            <w:tcW w:w="1701" w:type="dxa"/>
            <w:vAlign w:val="center"/>
          </w:tcPr>
          <w:p w14:paraId="6F0B3C36">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轿顶检修开关、停止装置</w:t>
            </w:r>
          </w:p>
        </w:tc>
        <w:tc>
          <w:tcPr>
            <w:tcW w:w="5313" w:type="dxa"/>
            <w:vAlign w:val="center"/>
          </w:tcPr>
          <w:p w14:paraId="72D46BE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操作验证检修运行控制装置、停止装置的功能是否正常。</w:t>
            </w:r>
          </w:p>
        </w:tc>
        <w:tc>
          <w:tcPr>
            <w:tcW w:w="1701" w:type="dxa"/>
            <w:vAlign w:val="center"/>
          </w:tcPr>
          <w:p w14:paraId="76D0001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现场观察确认并试验验证</w:t>
            </w:r>
          </w:p>
        </w:tc>
      </w:tr>
      <w:tr w14:paraId="35EF1C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4" w:type="dxa"/>
            <w:vAlign w:val="center"/>
          </w:tcPr>
          <w:p w14:paraId="1D6BD5A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15</w:t>
            </w:r>
          </w:p>
        </w:tc>
        <w:tc>
          <w:tcPr>
            <w:tcW w:w="1701" w:type="dxa"/>
            <w:vAlign w:val="center"/>
          </w:tcPr>
          <w:p w14:paraId="2EE6D541">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导靴上油杯</w:t>
            </w:r>
          </w:p>
        </w:tc>
        <w:tc>
          <w:tcPr>
            <w:tcW w:w="5313" w:type="dxa"/>
            <w:vAlign w:val="center"/>
          </w:tcPr>
          <w:p w14:paraId="0A16F53D">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吸油毛毡齐全，油量适宜，油杯无泄漏。</w:t>
            </w:r>
          </w:p>
        </w:tc>
        <w:tc>
          <w:tcPr>
            <w:tcW w:w="1701" w:type="dxa"/>
            <w:vAlign w:val="center"/>
          </w:tcPr>
          <w:p w14:paraId="32E092A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73D9FD9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3F9CFCD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16</w:t>
            </w:r>
          </w:p>
        </w:tc>
        <w:tc>
          <w:tcPr>
            <w:tcW w:w="1701" w:type="dxa"/>
            <w:vAlign w:val="center"/>
          </w:tcPr>
          <w:p w14:paraId="2A866CE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对重/平衡重块及其压板</w:t>
            </w:r>
          </w:p>
        </w:tc>
        <w:tc>
          <w:tcPr>
            <w:tcW w:w="5313" w:type="dxa"/>
            <w:vAlign w:val="center"/>
          </w:tcPr>
          <w:p w14:paraId="1E5722B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对重/平衡重块无松动，压板紧固,标识明显。</w:t>
            </w:r>
          </w:p>
        </w:tc>
        <w:tc>
          <w:tcPr>
            <w:tcW w:w="1701" w:type="dxa"/>
            <w:vAlign w:val="center"/>
          </w:tcPr>
          <w:p w14:paraId="2E8649A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4817A5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24" w:type="dxa"/>
            <w:vAlign w:val="center"/>
          </w:tcPr>
          <w:p w14:paraId="0588341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17</w:t>
            </w:r>
          </w:p>
        </w:tc>
        <w:tc>
          <w:tcPr>
            <w:tcW w:w="1701" w:type="dxa"/>
            <w:vAlign w:val="center"/>
          </w:tcPr>
          <w:p w14:paraId="45B8DF7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井道照明</w:t>
            </w:r>
          </w:p>
        </w:tc>
        <w:tc>
          <w:tcPr>
            <w:tcW w:w="5313" w:type="dxa"/>
            <w:vAlign w:val="center"/>
          </w:tcPr>
          <w:p w14:paraId="2DE95CF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齐全，正常。</w:t>
            </w:r>
          </w:p>
        </w:tc>
        <w:tc>
          <w:tcPr>
            <w:tcW w:w="1701" w:type="dxa"/>
            <w:vAlign w:val="center"/>
          </w:tcPr>
          <w:p w14:paraId="228CC1C4">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0948F4E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209C6A0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18</w:t>
            </w:r>
          </w:p>
        </w:tc>
        <w:tc>
          <w:tcPr>
            <w:tcW w:w="1701" w:type="dxa"/>
            <w:vAlign w:val="center"/>
          </w:tcPr>
          <w:p w14:paraId="753458B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轿厢照明、风扇、应急照明</w:t>
            </w:r>
          </w:p>
        </w:tc>
        <w:tc>
          <w:tcPr>
            <w:tcW w:w="5313" w:type="dxa"/>
            <w:vAlign w:val="center"/>
          </w:tcPr>
          <w:p w14:paraId="3DF7909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查看轿厢照明、风扇是否有效；断开正常照明供电电源,验证紧急照明功能是否正常。</w:t>
            </w:r>
          </w:p>
        </w:tc>
        <w:tc>
          <w:tcPr>
            <w:tcW w:w="1701" w:type="dxa"/>
            <w:vAlign w:val="center"/>
          </w:tcPr>
          <w:p w14:paraId="491B4B8D">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6B86B0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6F5DC2C1">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19</w:t>
            </w:r>
          </w:p>
        </w:tc>
        <w:tc>
          <w:tcPr>
            <w:tcW w:w="1701" w:type="dxa"/>
            <w:vAlign w:val="center"/>
          </w:tcPr>
          <w:p w14:paraId="61DD483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轿厢检修开关、停止装置</w:t>
            </w:r>
          </w:p>
        </w:tc>
        <w:tc>
          <w:tcPr>
            <w:tcW w:w="5313" w:type="dxa"/>
            <w:vAlign w:val="center"/>
          </w:tcPr>
          <w:p w14:paraId="42F6F04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操作验证检修运行控制装置、停止装置的功能是否正常。</w:t>
            </w:r>
          </w:p>
        </w:tc>
        <w:tc>
          <w:tcPr>
            <w:tcW w:w="1701" w:type="dxa"/>
            <w:vAlign w:val="center"/>
          </w:tcPr>
          <w:p w14:paraId="091F9F2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现场观察确认并试验验证</w:t>
            </w:r>
          </w:p>
        </w:tc>
      </w:tr>
      <w:tr w14:paraId="7EB83C7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1F92D03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20</w:t>
            </w:r>
          </w:p>
        </w:tc>
        <w:tc>
          <w:tcPr>
            <w:tcW w:w="1701" w:type="dxa"/>
            <w:vAlign w:val="center"/>
          </w:tcPr>
          <w:p w14:paraId="375DBB9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轿内报警装置、对讲系统</w:t>
            </w:r>
          </w:p>
        </w:tc>
        <w:tc>
          <w:tcPr>
            <w:tcW w:w="5313" w:type="dxa"/>
            <w:vAlign w:val="center"/>
          </w:tcPr>
          <w:p w14:paraId="7361104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接通和断开紧急报警装置的正常供电电源，分别验证紧急报警装置的功能是否正常。</w:t>
            </w:r>
          </w:p>
        </w:tc>
        <w:tc>
          <w:tcPr>
            <w:tcW w:w="1701" w:type="dxa"/>
            <w:vAlign w:val="center"/>
          </w:tcPr>
          <w:p w14:paraId="3F04792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现场观察确认并试验验证</w:t>
            </w:r>
          </w:p>
        </w:tc>
      </w:tr>
      <w:tr w14:paraId="0F35E2D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724" w:type="dxa"/>
            <w:vAlign w:val="center"/>
          </w:tcPr>
          <w:p w14:paraId="56C8294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21</w:t>
            </w:r>
          </w:p>
        </w:tc>
        <w:tc>
          <w:tcPr>
            <w:tcW w:w="1701" w:type="dxa"/>
            <w:vAlign w:val="center"/>
          </w:tcPr>
          <w:p w14:paraId="049E7D66">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轿内显示、指令按钮、IC 卡系统</w:t>
            </w:r>
          </w:p>
        </w:tc>
        <w:tc>
          <w:tcPr>
            <w:tcW w:w="5313" w:type="dxa"/>
            <w:vAlign w:val="center"/>
          </w:tcPr>
          <w:p w14:paraId="1565760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轿内显示、指令按钮功能正常；将电梯置于检修状态以及紧急电动运行、火灾召回、地震运行状态（如果有），验证IC卡功能是否退出。</w:t>
            </w:r>
          </w:p>
        </w:tc>
        <w:tc>
          <w:tcPr>
            <w:tcW w:w="1701" w:type="dxa"/>
            <w:vAlign w:val="center"/>
          </w:tcPr>
          <w:p w14:paraId="1FF9AB98">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508E562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724" w:type="dxa"/>
            <w:vAlign w:val="center"/>
          </w:tcPr>
          <w:p w14:paraId="776CB8B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22</w:t>
            </w:r>
          </w:p>
        </w:tc>
        <w:tc>
          <w:tcPr>
            <w:tcW w:w="1701" w:type="dxa"/>
            <w:vAlign w:val="center"/>
          </w:tcPr>
          <w:p w14:paraId="17033624">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轿门防撞击保护装置(安全触板，光幕、光电等)</w:t>
            </w:r>
          </w:p>
        </w:tc>
        <w:tc>
          <w:tcPr>
            <w:tcW w:w="5313" w:type="dxa"/>
            <w:vAlign w:val="center"/>
          </w:tcPr>
          <w:p w14:paraId="61B77F41">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功能有效。</w:t>
            </w:r>
          </w:p>
        </w:tc>
        <w:tc>
          <w:tcPr>
            <w:tcW w:w="1701" w:type="dxa"/>
            <w:vAlign w:val="center"/>
          </w:tcPr>
          <w:p w14:paraId="5F60C668">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现场观察确认并试验验证</w:t>
            </w:r>
          </w:p>
        </w:tc>
      </w:tr>
      <w:tr w14:paraId="403219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2063DFF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23</w:t>
            </w:r>
          </w:p>
        </w:tc>
        <w:tc>
          <w:tcPr>
            <w:tcW w:w="1701" w:type="dxa"/>
            <w:vAlign w:val="center"/>
          </w:tcPr>
          <w:p w14:paraId="78C74B52">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轿门、层门门锁电气触点</w:t>
            </w:r>
          </w:p>
        </w:tc>
        <w:tc>
          <w:tcPr>
            <w:tcW w:w="5313" w:type="dxa"/>
            <w:vAlign w:val="center"/>
          </w:tcPr>
          <w:p w14:paraId="45FEE49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清洁，触点接触良好，接线可靠。</w:t>
            </w:r>
          </w:p>
        </w:tc>
        <w:tc>
          <w:tcPr>
            <w:tcW w:w="1701" w:type="dxa"/>
            <w:vAlign w:val="center"/>
          </w:tcPr>
          <w:p w14:paraId="4A3CB05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现场观察确认并试验验证</w:t>
            </w:r>
          </w:p>
        </w:tc>
      </w:tr>
      <w:tr w14:paraId="7A73CF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4" w:type="dxa"/>
            <w:vAlign w:val="center"/>
          </w:tcPr>
          <w:p w14:paraId="66CF393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24</w:t>
            </w:r>
          </w:p>
        </w:tc>
        <w:tc>
          <w:tcPr>
            <w:tcW w:w="1701" w:type="dxa"/>
            <w:vAlign w:val="center"/>
          </w:tcPr>
          <w:p w14:paraId="44C0F24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轿门运行</w:t>
            </w:r>
          </w:p>
        </w:tc>
        <w:tc>
          <w:tcPr>
            <w:tcW w:w="5313" w:type="dxa"/>
            <w:vAlign w:val="center"/>
          </w:tcPr>
          <w:p w14:paraId="46FB8CD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开启和关闭工作正常。</w:t>
            </w:r>
          </w:p>
        </w:tc>
        <w:tc>
          <w:tcPr>
            <w:tcW w:w="1701" w:type="dxa"/>
            <w:vAlign w:val="center"/>
          </w:tcPr>
          <w:p w14:paraId="75DE8D3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现场观察确认并试验验证</w:t>
            </w:r>
          </w:p>
        </w:tc>
      </w:tr>
      <w:tr w14:paraId="5CBBECF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5F12F20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25</w:t>
            </w:r>
          </w:p>
        </w:tc>
        <w:tc>
          <w:tcPr>
            <w:tcW w:w="1701" w:type="dxa"/>
            <w:vAlign w:val="center"/>
          </w:tcPr>
          <w:p w14:paraId="34147AD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层站召唤、层楼显示</w:t>
            </w:r>
          </w:p>
        </w:tc>
        <w:tc>
          <w:tcPr>
            <w:tcW w:w="5313" w:type="dxa"/>
            <w:vAlign w:val="center"/>
          </w:tcPr>
          <w:p w14:paraId="68F4A36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抽取基站、端站以及至少20%其他层站的层站，目测并验证功能有效性。</w:t>
            </w:r>
          </w:p>
        </w:tc>
        <w:tc>
          <w:tcPr>
            <w:tcW w:w="1701" w:type="dxa"/>
            <w:vAlign w:val="center"/>
          </w:tcPr>
          <w:p w14:paraId="2240935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510B196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724" w:type="dxa"/>
            <w:vAlign w:val="center"/>
          </w:tcPr>
          <w:p w14:paraId="489E96D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26</w:t>
            </w:r>
          </w:p>
        </w:tc>
        <w:tc>
          <w:tcPr>
            <w:tcW w:w="1701" w:type="dxa"/>
            <w:vAlign w:val="center"/>
          </w:tcPr>
          <w:p w14:paraId="019F4BD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轿厢平层准确度</w:t>
            </w:r>
          </w:p>
        </w:tc>
        <w:tc>
          <w:tcPr>
            <w:tcW w:w="5313" w:type="dxa"/>
            <w:vAlign w:val="center"/>
          </w:tcPr>
          <w:p w14:paraId="716B190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轿厢轻载，单层、多层、全程上下各运行一次，在开门宽度的中部测量层门地坎上表面和轿门地坎上表面间的垂直高度差。轿厢平层准确度符合标准。</w:t>
            </w:r>
          </w:p>
        </w:tc>
        <w:tc>
          <w:tcPr>
            <w:tcW w:w="1701" w:type="dxa"/>
            <w:vAlign w:val="center"/>
          </w:tcPr>
          <w:p w14:paraId="5ED0F592">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现场观察确认并测量相关数据</w:t>
            </w:r>
          </w:p>
        </w:tc>
      </w:tr>
      <w:tr w14:paraId="695A25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520C98E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27</w:t>
            </w:r>
          </w:p>
        </w:tc>
        <w:tc>
          <w:tcPr>
            <w:tcW w:w="1701" w:type="dxa"/>
            <w:vAlign w:val="center"/>
          </w:tcPr>
          <w:p w14:paraId="5D75A35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层门地坎</w:t>
            </w:r>
          </w:p>
        </w:tc>
        <w:tc>
          <w:tcPr>
            <w:tcW w:w="5313" w:type="dxa"/>
            <w:vAlign w:val="center"/>
          </w:tcPr>
          <w:p w14:paraId="6F2F5E76">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抽取基站、端站以及至少20%其他层站的层门地坎的清洁</w:t>
            </w:r>
          </w:p>
        </w:tc>
        <w:tc>
          <w:tcPr>
            <w:tcW w:w="1701" w:type="dxa"/>
            <w:vAlign w:val="center"/>
          </w:tcPr>
          <w:p w14:paraId="2E54885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3D5071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724" w:type="dxa"/>
            <w:vAlign w:val="center"/>
          </w:tcPr>
          <w:p w14:paraId="40220BF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28</w:t>
            </w:r>
          </w:p>
        </w:tc>
        <w:tc>
          <w:tcPr>
            <w:tcW w:w="1701" w:type="dxa"/>
            <w:vAlign w:val="center"/>
          </w:tcPr>
          <w:p w14:paraId="4D209C6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层门自动关门</w:t>
            </w:r>
          </w:p>
          <w:p w14:paraId="1BFD4E01">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装置</w:t>
            </w:r>
          </w:p>
        </w:tc>
        <w:tc>
          <w:tcPr>
            <w:tcW w:w="5313" w:type="dxa"/>
            <w:vAlign w:val="center"/>
          </w:tcPr>
          <w:p w14:paraId="1E1E2091">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抽取基站、端站以及至少20%其他层站的层门，将轿厢运行至开锁区域外，打开层门，观察层门关闭情况及防止重块坠落措施的有效性。</w:t>
            </w:r>
          </w:p>
        </w:tc>
        <w:tc>
          <w:tcPr>
            <w:tcW w:w="1701" w:type="dxa"/>
            <w:vAlign w:val="center"/>
          </w:tcPr>
          <w:p w14:paraId="556740B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29E163D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724" w:type="dxa"/>
            <w:vAlign w:val="center"/>
          </w:tcPr>
          <w:p w14:paraId="1D65FE7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29</w:t>
            </w:r>
          </w:p>
        </w:tc>
        <w:tc>
          <w:tcPr>
            <w:tcW w:w="1701" w:type="dxa"/>
            <w:vAlign w:val="center"/>
          </w:tcPr>
          <w:p w14:paraId="52C40E1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层门门锁自动</w:t>
            </w:r>
          </w:p>
          <w:p w14:paraId="23ED0E2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复位</w:t>
            </w:r>
          </w:p>
        </w:tc>
        <w:tc>
          <w:tcPr>
            <w:tcW w:w="5313" w:type="dxa"/>
            <w:vAlign w:val="center"/>
          </w:tcPr>
          <w:p w14:paraId="1D3FA3A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（1）抽取基站、端站以及至少20%其他层站的层门，用钥匙操作紧急开锁装置，验证其功能；</w:t>
            </w:r>
          </w:p>
          <w:p w14:paraId="1CA021C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（2）用层门钥匙打开手动开锁装置释放后，层门门锁能自动复位。</w:t>
            </w:r>
          </w:p>
        </w:tc>
        <w:tc>
          <w:tcPr>
            <w:tcW w:w="1701" w:type="dxa"/>
            <w:vAlign w:val="center"/>
          </w:tcPr>
          <w:p w14:paraId="16B2F66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51036E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724" w:type="dxa"/>
            <w:vAlign w:val="center"/>
          </w:tcPr>
          <w:p w14:paraId="06AA12F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30</w:t>
            </w:r>
          </w:p>
        </w:tc>
        <w:tc>
          <w:tcPr>
            <w:tcW w:w="1701" w:type="dxa"/>
            <w:vAlign w:val="center"/>
          </w:tcPr>
          <w:p w14:paraId="669374D2">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层门锁紧元件</w:t>
            </w:r>
          </w:p>
          <w:p w14:paraId="0ECA909D">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啮合长度</w:t>
            </w:r>
          </w:p>
        </w:tc>
        <w:tc>
          <w:tcPr>
            <w:tcW w:w="5313" w:type="dxa"/>
            <w:vAlign w:val="center"/>
          </w:tcPr>
          <w:p w14:paraId="1311684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目测锁紧元件的啮合情况，认为啮合长度可能不足时测量电气触点刚闭合时锁紧元件的啮合长度应不小于7mm</w:t>
            </w:r>
          </w:p>
        </w:tc>
        <w:tc>
          <w:tcPr>
            <w:tcW w:w="1701" w:type="dxa"/>
            <w:vAlign w:val="center"/>
          </w:tcPr>
          <w:p w14:paraId="2267BDC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现场观察确认并测量相关数据</w:t>
            </w:r>
          </w:p>
        </w:tc>
      </w:tr>
      <w:tr w14:paraId="0F7EF2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61D667ED">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31</w:t>
            </w:r>
          </w:p>
        </w:tc>
        <w:tc>
          <w:tcPr>
            <w:tcW w:w="1701" w:type="dxa"/>
            <w:vAlign w:val="center"/>
          </w:tcPr>
          <w:p w14:paraId="796801F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底坑环境及停止</w:t>
            </w:r>
          </w:p>
          <w:p w14:paraId="216C5AC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装置</w:t>
            </w:r>
          </w:p>
        </w:tc>
        <w:tc>
          <w:tcPr>
            <w:tcW w:w="5313" w:type="dxa"/>
            <w:vAlign w:val="center"/>
          </w:tcPr>
          <w:p w14:paraId="20315FA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（1）底坑环境清洁，无渗水、积水，照明正常；</w:t>
            </w:r>
          </w:p>
          <w:p w14:paraId="2B5300C4">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（2）操作验证停止装置功能是否正常</w:t>
            </w:r>
          </w:p>
        </w:tc>
        <w:tc>
          <w:tcPr>
            <w:tcW w:w="1701" w:type="dxa"/>
            <w:vAlign w:val="center"/>
          </w:tcPr>
          <w:p w14:paraId="51493F3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57EA70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724" w:type="dxa"/>
            <w:vAlign w:val="center"/>
          </w:tcPr>
          <w:p w14:paraId="15EE03C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32</w:t>
            </w:r>
          </w:p>
        </w:tc>
        <w:tc>
          <w:tcPr>
            <w:tcW w:w="1701" w:type="dxa"/>
            <w:vAlign w:val="center"/>
          </w:tcPr>
          <w:p w14:paraId="692E16D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曳引轮槽、悬挂</w:t>
            </w:r>
          </w:p>
          <w:p w14:paraId="2CC9DA91">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装置</w:t>
            </w:r>
          </w:p>
        </w:tc>
        <w:tc>
          <w:tcPr>
            <w:tcW w:w="5313" w:type="dxa"/>
            <w:vAlign w:val="center"/>
          </w:tcPr>
          <w:p w14:paraId="14200EB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（1）曳引轮槽缺损、磨损，磨损量不超过制造单位要求；</w:t>
            </w:r>
          </w:p>
          <w:p w14:paraId="7C2CA1D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（2）钢丝绳清洁、无严重油腻；</w:t>
            </w:r>
          </w:p>
          <w:p w14:paraId="6B449CC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（3）张力均匀，符合制造单位要求</w:t>
            </w:r>
          </w:p>
        </w:tc>
        <w:tc>
          <w:tcPr>
            <w:tcW w:w="1701" w:type="dxa"/>
            <w:vAlign w:val="center"/>
          </w:tcPr>
          <w:p w14:paraId="3531722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现场观察确认并测量相关数据</w:t>
            </w:r>
          </w:p>
        </w:tc>
      </w:tr>
      <w:tr w14:paraId="214031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2D37DAF2">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33</w:t>
            </w:r>
          </w:p>
        </w:tc>
        <w:tc>
          <w:tcPr>
            <w:tcW w:w="1701" w:type="dxa"/>
            <w:vAlign w:val="center"/>
          </w:tcPr>
          <w:p w14:paraId="641D723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限速器轮槽、限速器钢丝绳</w:t>
            </w:r>
          </w:p>
        </w:tc>
        <w:tc>
          <w:tcPr>
            <w:tcW w:w="5313" w:type="dxa"/>
            <w:vAlign w:val="center"/>
          </w:tcPr>
          <w:p w14:paraId="0D1F45C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清洁，无严重油腻</w:t>
            </w:r>
          </w:p>
        </w:tc>
        <w:tc>
          <w:tcPr>
            <w:tcW w:w="1701" w:type="dxa"/>
            <w:vAlign w:val="center"/>
          </w:tcPr>
          <w:p w14:paraId="05F476D8">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现场观察确认  </w:t>
            </w:r>
          </w:p>
        </w:tc>
      </w:tr>
      <w:tr w14:paraId="42802E8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724" w:type="dxa"/>
            <w:vAlign w:val="center"/>
          </w:tcPr>
          <w:p w14:paraId="1448D44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34</w:t>
            </w:r>
          </w:p>
        </w:tc>
        <w:tc>
          <w:tcPr>
            <w:tcW w:w="1701" w:type="dxa"/>
            <w:vAlign w:val="center"/>
          </w:tcPr>
          <w:p w14:paraId="209E1D2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限速器张紧轮装置和电气安全装置</w:t>
            </w:r>
          </w:p>
        </w:tc>
        <w:tc>
          <w:tcPr>
            <w:tcW w:w="5313" w:type="dxa"/>
            <w:vAlign w:val="center"/>
          </w:tcPr>
          <w:p w14:paraId="419D839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验证张紧轮装置和电气安全装置性能工作正常</w:t>
            </w:r>
          </w:p>
        </w:tc>
        <w:tc>
          <w:tcPr>
            <w:tcW w:w="1701" w:type="dxa"/>
            <w:vAlign w:val="center"/>
          </w:tcPr>
          <w:p w14:paraId="23EBE26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现场观察确认并试验验证   </w:t>
            </w:r>
          </w:p>
        </w:tc>
      </w:tr>
      <w:tr w14:paraId="4B48B40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111DCD5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35</w:t>
            </w:r>
          </w:p>
        </w:tc>
        <w:tc>
          <w:tcPr>
            <w:tcW w:w="1701" w:type="dxa"/>
            <w:vAlign w:val="center"/>
          </w:tcPr>
          <w:p w14:paraId="1C32842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驱动轮、导向轮轴承部</w:t>
            </w:r>
          </w:p>
        </w:tc>
        <w:tc>
          <w:tcPr>
            <w:tcW w:w="5313" w:type="dxa"/>
            <w:vAlign w:val="center"/>
          </w:tcPr>
          <w:p w14:paraId="7B64893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无异常声响，无振动，润滑良好</w:t>
            </w:r>
          </w:p>
        </w:tc>
        <w:tc>
          <w:tcPr>
            <w:tcW w:w="1701" w:type="dxa"/>
            <w:vAlign w:val="center"/>
          </w:tcPr>
          <w:p w14:paraId="5AA69BA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005763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724" w:type="dxa"/>
            <w:vAlign w:val="center"/>
          </w:tcPr>
          <w:p w14:paraId="42C6AC9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36</w:t>
            </w:r>
          </w:p>
        </w:tc>
        <w:tc>
          <w:tcPr>
            <w:tcW w:w="1701" w:type="dxa"/>
            <w:vAlign w:val="center"/>
          </w:tcPr>
          <w:p w14:paraId="06FDA8D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井道、对重、轿顶各反绳轮轴承部</w:t>
            </w:r>
          </w:p>
        </w:tc>
        <w:tc>
          <w:tcPr>
            <w:tcW w:w="5313" w:type="dxa"/>
            <w:vAlign w:val="center"/>
          </w:tcPr>
          <w:p w14:paraId="6C738A0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无异常声响，无振动，润滑良好</w:t>
            </w:r>
          </w:p>
        </w:tc>
        <w:tc>
          <w:tcPr>
            <w:tcW w:w="1701" w:type="dxa"/>
            <w:vAlign w:val="center"/>
          </w:tcPr>
          <w:p w14:paraId="4A7745C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238F1C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66DBC67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37</w:t>
            </w:r>
          </w:p>
        </w:tc>
        <w:tc>
          <w:tcPr>
            <w:tcW w:w="1701" w:type="dxa"/>
            <w:vAlign w:val="center"/>
          </w:tcPr>
          <w:p w14:paraId="77FF8416">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悬挂装置、补偿绳</w:t>
            </w:r>
          </w:p>
        </w:tc>
        <w:tc>
          <w:tcPr>
            <w:tcW w:w="5313" w:type="dxa"/>
            <w:vAlign w:val="center"/>
          </w:tcPr>
          <w:p w14:paraId="7EA9337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测量并判断钢丝绳</w:t>
            </w:r>
            <w:r>
              <w:rPr>
                <w:rFonts w:hint="eastAsia" w:ascii="宋体" w:hAnsi="宋体" w:eastAsia="宋体" w:cs="宋体"/>
                <w:color w:val="auto"/>
                <w:kern w:val="2"/>
                <w:sz w:val="24"/>
                <w:szCs w:val="24"/>
                <w:lang w:val="en-US" w:eastAsia="zh-CN" w:bidi="ar-SA"/>
              </w:rPr>
              <w:t>磨损量、断丝数不超过要求，包覆带、补偿绳符合相关要求。</w:t>
            </w:r>
          </w:p>
        </w:tc>
        <w:tc>
          <w:tcPr>
            <w:tcW w:w="1701" w:type="dxa"/>
            <w:vAlign w:val="center"/>
          </w:tcPr>
          <w:p w14:paraId="1E814D3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现场观察确认并测量相关数据</w:t>
            </w:r>
          </w:p>
        </w:tc>
      </w:tr>
      <w:tr w14:paraId="44EB829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4" w:type="dxa"/>
            <w:vAlign w:val="center"/>
          </w:tcPr>
          <w:p w14:paraId="49F3606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38</w:t>
            </w:r>
          </w:p>
        </w:tc>
        <w:tc>
          <w:tcPr>
            <w:tcW w:w="1701" w:type="dxa"/>
            <w:vAlign w:val="center"/>
          </w:tcPr>
          <w:p w14:paraId="2CD9AD8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绳头组合</w:t>
            </w:r>
          </w:p>
        </w:tc>
        <w:tc>
          <w:tcPr>
            <w:tcW w:w="5313" w:type="dxa"/>
            <w:vAlign w:val="center"/>
          </w:tcPr>
          <w:p w14:paraId="0ADD2378">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螺母无松动</w:t>
            </w:r>
          </w:p>
        </w:tc>
        <w:tc>
          <w:tcPr>
            <w:tcW w:w="1701" w:type="dxa"/>
            <w:vAlign w:val="center"/>
          </w:tcPr>
          <w:p w14:paraId="6941F21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3D7BBC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4A08FE7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39</w:t>
            </w:r>
          </w:p>
        </w:tc>
        <w:tc>
          <w:tcPr>
            <w:tcW w:w="1701" w:type="dxa"/>
            <w:vAlign w:val="center"/>
          </w:tcPr>
          <w:p w14:paraId="35D4232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层门、轿门门扇</w:t>
            </w:r>
          </w:p>
        </w:tc>
        <w:tc>
          <w:tcPr>
            <w:tcW w:w="5313" w:type="dxa"/>
            <w:vAlign w:val="center"/>
          </w:tcPr>
          <w:p w14:paraId="24C08CE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门扇各相关间隙符合标准值</w:t>
            </w:r>
          </w:p>
        </w:tc>
        <w:tc>
          <w:tcPr>
            <w:tcW w:w="1701" w:type="dxa"/>
            <w:vAlign w:val="center"/>
          </w:tcPr>
          <w:p w14:paraId="44B4AED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现场观察确认并测量相关数据</w:t>
            </w:r>
          </w:p>
        </w:tc>
      </w:tr>
      <w:tr w14:paraId="63E27D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515ADD8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40</w:t>
            </w:r>
          </w:p>
        </w:tc>
        <w:tc>
          <w:tcPr>
            <w:tcW w:w="1701" w:type="dxa"/>
            <w:vAlign w:val="center"/>
          </w:tcPr>
          <w:p w14:paraId="106F0F1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轿门开门限制</w:t>
            </w:r>
          </w:p>
          <w:p w14:paraId="4DF340D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装置</w:t>
            </w:r>
          </w:p>
        </w:tc>
        <w:tc>
          <w:tcPr>
            <w:tcW w:w="5313" w:type="dxa"/>
            <w:vAlign w:val="center"/>
          </w:tcPr>
          <w:p w14:paraId="3B41A5F2">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验证限制装置性能</w:t>
            </w:r>
            <w:r>
              <w:rPr>
                <w:rFonts w:hint="eastAsia" w:ascii="宋体" w:hAnsi="宋体" w:eastAsia="宋体" w:cs="宋体"/>
                <w:color w:val="auto"/>
                <w:kern w:val="2"/>
                <w:sz w:val="24"/>
                <w:szCs w:val="24"/>
                <w:lang w:val="en-US" w:eastAsia="zh-CN" w:bidi="ar-SA"/>
              </w:rPr>
              <w:t>工作正常</w:t>
            </w:r>
          </w:p>
        </w:tc>
        <w:tc>
          <w:tcPr>
            <w:tcW w:w="1701" w:type="dxa"/>
            <w:vAlign w:val="center"/>
          </w:tcPr>
          <w:p w14:paraId="4ED0EF1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现场观察确认并试验验证</w:t>
            </w:r>
          </w:p>
        </w:tc>
      </w:tr>
      <w:tr w14:paraId="06243C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724" w:type="dxa"/>
            <w:vAlign w:val="center"/>
          </w:tcPr>
          <w:p w14:paraId="07AB8D88">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w:t>
            </w:r>
          </w:p>
        </w:tc>
        <w:tc>
          <w:tcPr>
            <w:tcW w:w="1701" w:type="dxa"/>
            <w:vAlign w:val="center"/>
          </w:tcPr>
          <w:p w14:paraId="3B16090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对重缓冲距离</w:t>
            </w:r>
          </w:p>
        </w:tc>
        <w:tc>
          <w:tcPr>
            <w:tcW w:w="5313" w:type="dxa"/>
            <w:vAlign w:val="center"/>
          </w:tcPr>
          <w:p w14:paraId="5870C1C6">
            <w:pPr>
              <w:widowControl w:val="0"/>
              <w:autoSpaceDE w:val="0"/>
              <w:autoSpaceDN w:val="0"/>
              <w:spacing w:before="0" w:after="0" w:line="360" w:lineRule="auto"/>
              <w:jc w:val="left"/>
              <w:rPr>
                <w:rFonts w:hint="eastAsia" w:ascii="宋体" w:hAnsi="宋体" w:eastAsia="宋体" w:cs="宋体"/>
                <w:color w:val="auto"/>
                <w:sz w:val="24"/>
                <w:szCs w:val="24"/>
                <w:lang w:val="ru-RU" w:eastAsia="zh-CN" w:bidi="ar-SA"/>
              </w:rPr>
            </w:pPr>
            <w:r>
              <w:rPr>
                <w:rFonts w:hint="eastAsia" w:ascii="宋体" w:hAnsi="宋体" w:eastAsia="宋体" w:cs="宋体"/>
                <w:color w:val="auto"/>
                <w:sz w:val="24"/>
                <w:szCs w:val="24"/>
                <w:lang w:val="ru-RU" w:eastAsia="zh-CN" w:bidi="ar-SA"/>
              </w:rPr>
              <w:t>（1）目测对重越程距离标识；</w:t>
            </w:r>
          </w:p>
          <w:p w14:paraId="630B4B6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（2）查验当轿厢位于顶层端站平层位置时，对重装置板与其缓冲器顶面间的垂直距离</w:t>
            </w:r>
            <w:r>
              <w:rPr>
                <w:rFonts w:hint="eastAsia" w:ascii="宋体" w:hAnsi="宋体" w:eastAsia="宋体" w:cs="宋体"/>
                <w:color w:val="auto"/>
                <w:kern w:val="2"/>
                <w:sz w:val="24"/>
                <w:szCs w:val="24"/>
                <w:lang w:val="en-US" w:eastAsia="zh-CN" w:bidi="ar-SA"/>
              </w:rPr>
              <w:t>符合标准值.</w:t>
            </w:r>
          </w:p>
        </w:tc>
        <w:tc>
          <w:tcPr>
            <w:tcW w:w="1701" w:type="dxa"/>
            <w:vAlign w:val="center"/>
          </w:tcPr>
          <w:p w14:paraId="618CCD3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现场观察确认并测量相关数据</w:t>
            </w:r>
          </w:p>
        </w:tc>
      </w:tr>
      <w:tr w14:paraId="213181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724" w:type="dxa"/>
            <w:vAlign w:val="center"/>
          </w:tcPr>
          <w:p w14:paraId="6A584AC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42</w:t>
            </w:r>
          </w:p>
        </w:tc>
        <w:tc>
          <w:tcPr>
            <w:tcW w:w="1701" w:type="dxa"/>
            <w:vAlign w:val="center"/>
          </w:tcPr>
          <w:p w14:paraId="3ADC81D8">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上、下极限开关</w:t>
            </w:r>
          </w:p>
        </w:tc>
        <w:tc>
          <w:tcPr>
            <w:tcW w:w="5313" w:type="dxa"/>
            <w:vAlign w:val="center"/>
          </w:tcPr>
          <w:p w14:paraId="34290883">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验证极限开关性能</w:t>
            </w:r>
            <w:r>
              <w:rPr>
                <w:rFonts w:hint="eastAsia" w:ascii="宋体" w:hAnsi="宋体" w:eastAsia="宋体" w:cs="宋体"/>
                <w:color w:val="auto"/>
                <w:kern w:val="2"/>
                <w:sz w:val="24"/>
                <w:szCs w:val="24"/>
                <w:lang w:val="en-US" w:eastAsia="zh-CN" w:bidi="ar-SA"/>
              </w:rPr>
              <w:t>工作正常</w:t>
            </w:r>
          </w:p>
        </w:tc>
        <w:tc>
          <w:tcPr>
            <w:tcW w:w="1701" w:type="dxa"/>
            <w:vAlign w:val="center"/>
          </w:tcPr>
          <w:p w14:paraId="1B8C105D">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现场观察确认并试验验证</w:t>
            </w:r>
          </w:p>
        </w:tc>
      </w:tr>
      <w:tr w14:paraId="6F4A82D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08" w:hRule="atLeast"/>
          <w:jc w:val="center"/>
        </w:trPr>
        <w:tc>
          <w:tcPr>
            <w:tcW w:w="724" w:type="dxa"/>
            <w:vAlign w:val="center"/>
          </w:tcPr>
          <w:p w14:paraId="22145482">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43</w:t>
            </w:r>
          </w:p>
        </w:tc>
        <w:tc>
          <w:tcPr>
            <w:tcW w:w="1701" w:type="dxa"/>
            <w:vAlign w:val="center"/>
          </w:tcPr>
          <w:p w14:paraId="5E4B4880">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限速器安全钳联动试验</w:t>
            </w:r>
          </w:p>
        </w:tc>
        <w:tc>
          <w:tcPr>
            <w:tcW w:w="5313" w:type="dxa"/>
            <w:vAlign w:val="center"/>
          </w:tcPr>
          <w:p w14:paraId="76CFE163">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（1）对于使用年限不超过 15 年的限速器，每2 年进行一次限速器动作速度校验；对于使用年限超过15 年的限速器，每年进行一次限速器动作速度校验；</w:t>
            </w:r>
          </w:p>
          <w:p w14:paraId="5C3577C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轿厢空载以检修速度运行，人为分别使限速器和安全钳的电气安全装置动作，观察轿厢是否停止运行；然后短接限速器和安全钳的电气安全装置，轿厢空载以检修速度向下运行，人为动作限速器，观察轿厢制停情况。</w:t>
            </w:r>
          </w:p>
        </w:tc>
        <w:tc>
          <w:tcPr>
            <w:tcW w:w="1701" w:type="dxa"/>
            <w:vAlign w:val="center"/>
          </w:tcPr>
          <w:p w14:paraId="0056494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现场查阅校验记录并试验验证</w:t>
            </w:r>
          </w:p>
        </w:tc>
      </w:tr>
      <w:tr w14:paraId="614AD54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4" w:type="dxa"/>
            <w:vAlign w:val="center"/>
          </w:tcPr>
          <w:p w14:paraId="07CD451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44</w:t>
            </w:r>
          </w:p>
        </w:tc>
        <w:tc>
          <w:tcPr>
            <w:tcW w:w="1701" w:type="dxa"/>
            <w:vAlign w:val="center"/>
          </w:tcPr>
          <w:p w14:paraId="48FE824B">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安全钳钳座</w:t>
            </w:r>
          </w:p>
        </w:tc>
        <w:tc>
          <w:tcPr>
            <w:tcW w:w="5313" w:type="dxa"/>
            <w:vAlign w:val="center"/>
          </w:tcPr>
          <w:p w14:paraId="29F08F24">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固定，无松动</w:t>
            </w:r>
          </w:p>
        </w:tc>
        <w:tc>
          <w:tcPr>
            <w:tcW w:w="1701" w:type="dxa"/>
            <w:vAlign w:val="center"/>
          </w:tcPr>
          <w:p w14:paraId="29A51EE8">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2C356F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0B13628F">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45</w:t>
            </w:r>
          </w:p>
        </w:tc>
        <w:tc>
          <w:tcPr>
            <w:tcW w:w="1701" w:type="dxa"/>
            <w:vAlign w:val="center"/>
          </w:tcPr>
          <w:p w14:paraId="3A1232D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上行超速保护装置动作试验</w:t>
            </w:r>
          </w:p>
        </w:tc>
        <w:tc>
          <w:tcPr>
            <w:tcW w:w="5313" w:type="dxa"/>
            <w:vAlign w:val="center"/>
          </w:tcPr>
          <w:p w14:paraId="3D77C1F2">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由施工单位或者维护保养单位按照制造单位规定的方法进行实验，保护装置动作工作正常</w:t>
            </w:r>
          </w:p>
        </w:tc>
        <w:tc>
          <w:tcPr>
            <w:tcW w:w="1701" w:type="dxa"/>
            <w:vAlign w:val="center"/>
          </w:tcPr>
          <w:p w14:paraId="55BE43C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45A1946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724" w:type="dxa"/>
            <w:vAlign w:val="center"/>
          </w:tcPr>
          <w:p w14:paraId="5715E33D">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46</w:t>
            </w:r>
          </w:p>
        </w:tc>
        <w:tc>
          <w:tcPr>
            <w:tcW w:w="1701" w:type="dxa"/>
            <w:vAlign w:val="center"/>
          </w:tcPr>
          <w:p w14:paraId="5C86A1F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轿厢意外移动保护装置动作试验</w:t>
            </w:r>
          </w:p>
        </w:tc>
        <w:tc>
          <w:tcPr>
            <w:tcW w:w="5313" w:type="dxa"/>
            <w:vAlign w:val="center"/>
          </w:tcPr>
          <w:p w14:paraId="79EB229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由施工单位或者维护保养单位按照制造单位规定的方法进行实验，保护装置动作工作正常</w:t>
            </w:r>
          </w:p>
        </w:tc>
        <w:tc>
          <w:tcPr>
            <w:tcW w:w="1701" w:type="dxa"/>
            <w:vAlign w:val="center"/>
          </w:tcPr>
          <w:p w14:paraId="7AC6FB2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265DFCD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4" w:type="dxa"/>
            <w:vAlign w:val="center"/>
          </w:tcPr>
          <w:p w14:paraId="3DA51D12">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47</w:t>
            </w:r>
          </w:p>
        </w:tc>
        <w:tc>
          <w:tcPr>
            <w:tcW w:w="1701" w:type="dxa"/>
            <w:vAlign w:val="center"/>
          </w:tcPr>
          <w:p w14:paraId="31577FAC">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轿厢称重装置</w:t>
            </w:r>
          </w:p>
        </w:tc>
        <w:tc>
          <w:tcPr>
            <w:tcW w:w="5313" w:type="dxa"/>
            <w:vAlign w:val="center"/>
          </w:tcPr>
          <w:p w14:paraId="6813480A">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准确有效</w:t>
            </w:r>
          </w:p>
        </w:tc>
        <w:tc>
          <w:tcPr>
            <w:tcW w:w="1701" w:type="dxa"/>
            <w:vAlign w:val="center"/>
          </w:tcPr>
          <w:p w14:paraId="6FC72541">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现场观察确认</w:t>
            </w:r>
          </w:p>
        </w:tc>
      </w:tr>
      <w:tr w14:paraId="24F8A05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57" w:hRule="atLeast"/>
          <w:jc w:val="center"/>
        </w:trPr>
        <w:tc>
          <w:tcPr>
            <w:tcW w:w="724" w:type="dxa"/>
            <w:vAlign w:val="center"/>
          </w:tcPr>
          <w:p w14:paraId="0AA9F711">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48</w:t>
            </w:r>
          </w:p>
        </w:tc>
        <w:tc>
          <w:tcPr>
            <w:tcW w:w="1701" w:type="dxa"/>
            <w:vAlign w:val="center"/>
          </w:tcPr>
          <w:p w14:paraId="41675EC6">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缓冲器</w:t>
            </w:r>
          </w:p>
        </w:tc>
        <w:tc>
          <w:tcPr>
            <w:tcW w:w="5313" w:type="dxa"/>
            <w:vAlign w:val="center"/>
          </w:tcPr>
          <w:p w14:paraId="2EADC94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（1）缓冲器固定，无松动；</w:t>
            </w:r>
          </w:p>
          <w:p w14:paraId="13D44CC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（2）耗能缓冲器，电气安全装置功能有效，油量适宜，柱塞无锈蚀；</w:t>
            </w:r>
          </w:p>
          <w:p w14:paraId="7ADC7249">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（3）必要时将限位开关、极限开关短接，以检修速度运行空载轿厢，将缓冲器充分压缩后，观察缓冲器是否有断裂、塑性变形、剥落、破损等现象。</w:t>
            </w:r>
          </w:p>
        </w:tc>
        <w:tc>
          <w:tcPr>
            <w:tcW w:w="1701" w:type="dxa"/>
            <w:vAlign w:val="center"/>
          </w:tcPr>
          <w:p w14:paraId="7B6E3C5E">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观察确认并试验验证</w:t>
            </w:r>
          </w:p>
        </w:tc>
      </w:tr>
      <w:tr w14:paraId="1C68C5E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08" w:hRule="atLeast"/>
          <w:jc w:val="center"/>
        </w:trPr>
        <w:tc>
          <w:tcPr>
            <w:tcW w:w="724" w:type="dxa"/>
            <w:vAlign w:val="center"/>
          </w:tcPr>
          <w:p w14:paraId="37F121D8">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49</w:t>
            </w:r>
          </w:p>
        </w:tc>
        <w:tc>
          <w:tcPr>
            <w:tcW w:w="1701" w:type="dxa"/>
            <w:vAlign w:val="center"/>
          </w:tcPr>
          <w:p w14:paraId="0836F477">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落实国市监特设发〔2023〕94 号文件精神</w:t>
            </w:r>
          </w:p>
        </w:tc>
        <w:tc>
          <w:tcPr>
            <w:tcW w:w="5313" w:type="dxa"/>
            <w:vAlign w:val="center"/>
          </w:tcPr>
          <w:p w14:paraId="3469B54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r>
              <w:rPr>
                <w:rFonts w:hint="eastAsia" w:ascii="宋体" w:hAnsi="宋体" w:eastAsia="宋体" w:cs="宋体"/>
                <w:color w:val="auto"/>
                <w:kern w:val="0"/>
                <w:sz w:val="24"/>
                <w:szCs w:val="24"/>
                <w:lang w:val="zh-CN" w:eastAsia="zh-CN" w:bidi="ar-SA"/>
              </w:rPr>
              <w:t>结合维护保养计划和方案，认真做好原有维护保养项目，同时增加一次电梯反绳轮（含防脱槽装置、轴承、固定零部件等）、导轨、限速器、安全钳的维护保养以及限速器—安全钳联动试验；对于额定载重量在1600kg 及以上的曳引驱动乘客电梯和额定载重量在3000kg 及以上的曳引驱动载货电梯，应在轿厢内装载额定载荷，以检修速度进行限速器—安全钳联动试验。并留存上述增加维保项目的相应照片或视频等见证材料</w:t>
            </w:r>
          </w:p>
        </w:tc>
        <w:tc>
          <w:tcPr>
            <w:tcW w:w="1701" w:type="dxa"/>
            <w:vAlign w:val="center"/>
          </w:tcPr>
          <w:p w14:paraId="24310125">
            <w:pPr>
              <w:widowControl w:val="0"/>
              <w:pBdr>
                <w:top w:val="none" w:color="auto" w:sz="0" w:space="0"/>
                <w:left w:val="none" w:color="auto" w:sz="0" w:space="0"/>
                <w:bottom w:val="none" w:color="auto" w:sz="0" w:space="0"/>
                <w:right w:val="none" w:color="auto" w:sz="0" w:space="0"/>
              </w:pBdr>
              <w:tabs>
                <w:tab w:val="center" w:pos="4153"/>
                <w:tab w:val="right" w:pos="8306"/>
              </w:tabs>
              <w:snapToGrid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现场查看</w:t>
            </w:r>
            <w:r>
              <w:rPr>
                <w:rFonts w:hint="eastAsia" w:ascii="宋体" w:hAnsi="宋体" w:eastAsia="宋体" w:cs="宋体"/>
                <w:color w:val="auto"/>
                <w:kern w:val="0"/>
                <w:sz w:val="24"/>
                <w:szCs w:val="24"/>
                <w:lang w:val="zh-CN" w:eastAsia="zh-CN" w:bidi="ar-SA"/>
              </w:rPr>
              <w:t>相应照片或视频等见证材料，验证</w:t>
            </w:r>
            <w:r>
              <w:rPr>
                <w:rFonts w:hint="eastAsia" w:ascii="宋体" w:hAnsi="宋体" w:eastAsia="宋体" w:cs="宋体"/>
                <w:color w:val="auto"/>
                <w:kern w:val="0"/>
                <w:sz w:val="24"/>
                <w:szCs w:val="24"/>
                <w:lang w:val="en-US" w:eastAsia="zh-CN" w:bidi="ar-SA"/>
              </w:rPr>
              <w:t>国市监特设发〔2023〕94 号文件精神落实情况</w:t>
            </w:r>
          </w:p>
        </w:tc>
      </w:tr>
    </w:tbl>
    <w:p w14:paraId="4BDD2781">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注：曳引与强制驱动电梯维护保养质量监督抽查项目包含但不限于以上1-49项内容。项目1为电梯使用单位管理资料检查，项目2-31项为半月维护保养项目、32-33项为季度维护保养项目、35-42项为半年维护保养项目、43-47项为年度维护保养项目、48项（缓冲器）中包含季度和年度维护保养项目,49项为查验落实国市监特设发〔2023〕94 号文件精神情况。维护保养质量监督抽查，其中半月维护保养项目为必抽项目，现场抽查根据被抽查电梯实际情况，依据《电梯维护保养规则》（TSG T5002-2017）规定的季度、半年、年度维护保养项目进行监督抽查。</w:t>
      </w:r>
    </w:p>
    <w:p w14:paraId="10C88F20">
      <w:pPr>
        <w:spacing w:line="360" w:lineRule="auto"/>
        <w:ind w:firstLine="0"/>
        <w:jc w:val="center"/>
        <w:rPr>
          <w:rFonts w:hint="eastAsia" w:ascii="宋体" w:hAnsi="宋体" w:eastAsia="宋体" w:cs="宋体"/>
          <w:color w:val="auto"/>
          <w:sz w:val="24"/>
          <w:szCs w:val="24"/>
        </w:rPr>
      </w:pPr>
    </w:p>
    <w:p w14:paraId="0F549E1E">
      <w:pPr>
        <w:spacing w:line="24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24948679">
      <w:pPr>
        <w:spacing w:line="56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自动扶梯与自动人行道维保质量监督抽查</w:t>
      </w:r>
    </w:p>
    <w:p w14:paraId="4BE73533">
      <w:pPr>
        <w:spacing w:line="240" w:lineRule="exact"/>
        <w:ind w:firstLine="0"/>
        <w:jc w:val="center"/>
        <w:rPr>
          <w:rFonts w:hint="eastAsia" w:ascii="宋体" w:hAnsi="宋体" w:eastAsia="宋体" w:cs="宋体"/>
          <w:color w:val="auto"/>
          <w:szCs w:val="21"/>
        </w:rPr>
      </w:pPr>
    </w:p>
    <w:tbl>
      <w:tblPr>
        <w:tblStyle w:val="3"/>
        <w:tblW w:w="89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701"/>
        <w:gridCol w:w="4819"/>
        <w:gridCol w:w="1701"/>
      </w:tblGrid>
      <w:tr w14:paraId="000CF46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80" w:type="dxa"/>
            <w:vAlign w:val="center"/>
          </w:tcPr>
          <w:p w14:paraId="4925255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701" w:type="dxa"/>
            <w:vAlign w:val="center"/>
          </w:tcPr>
          <w:p w14:paraId="7936558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4819" w:type="dxa"/>
            <w:vAlign w:val="center"/>
          </w:tcPr>
          <w:p w14:paraId="0126E7A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监督抽查内容与要求</w:t>
            </w:r>
          </w:p>
        </w:tc>
        <w:tc>
          <w:tcPr>
            <w:tcW w:w="1701" w:type="dxa"/>
            <w:vAlign w:val="center"/>
          </w:tcPr>
          <w:p w14:paraId="23EE265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抽查方法</w:t>
            </w:r>
          </w:p>
        </w:tc>
      </w:tr>
      <w:tr w14:paraId="73A40AE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52" w:hRule="atLeast"/>
          <w:jc w:val="center"/>
        </w:trPr>
        <w:tc>
          <w:tcPr>
            <w:tcW w:w="680" w:type="dxa"/>
            <w:vAlign w:val="center"/>
          </w:tcPr>
          <w:p w14:paraId="314332D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701" w:type="dxa"/>
            <w:vAlign w:val="center"/>
          </w:tcPr>
          <w:p w14:paraId="1FAE16E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使用管理</w:t>
            </w:r>
          </w:p>
        </w:tc>
        <w:tc>
          <w:tcPr>
            <w:tcW w:w="4819" w:type="dxa"/>
            <w:vAlign w:val="center"/>
          </w:tcPr>
          <w:p w14:paraId="59949AA7">
            <w:pPr>
              <w:widowControl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（1）电梯使用单位管理制度及相关档案：</w:t>
            </w:r>
          </w:p>
          <w:p w14:paraId="59143FDC">
            <w:pPr>
              <w:widowControl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①安全管理制度；②安全技术档案；③日常巡查、检查，运行故障和事故记录。</w:t>
            </w:r>
          </w:p>
          <w:p w14:paraId="610DD34C">
            <w:pPr>
              <w:widowControl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电梯使用单位安全主体责任落实情况：①书面任命安全总监、安全员；②开展安全总监和安全员培训及考核的存档资料；③制定单位《特种设备安全风险管控清单》《特种设备安全总监职责》《特种设备安全员守则》等文件；④查阅《每日安全检查记录》《每周安全排查治理报告》《每月安全调度会议纪要》记录；⑤协助现场监察人员对安全总监、安全员的开展监督抽查考核。</w:t>
            </w:r>
          </w:p>
          <w:p w14:paraId="0162B5BC">
            <w:pPr>
              <w:widowControl w:val="0"/>
              <w:spacing w:line="360" w:lineRule="auto"/>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（3）应在电梯显著位置进行下列标识：①特种设备使用标志；②电梯使用安全注意事项；③96333标识；④警示标志。</w:t>
            </w:r>
          </w:p>
          <w:p w14:paraId="57280F9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（4）应急救援预案及演练记录。</w:t>
            </w:r>
          </w:p>
        </w:tc>
        <w:tc>
          <w:tcPr>
            <w:tcW w:w="1701" w:type="dxa"/>
            <w:vAlign w:val="center"/>
          </w:tcPr>
          <w:p w14:paraId="11F373A4">
            <w:pPr>
              <w:widowControl w:val="0"/>
              <w:spacing w:line="360" w:lineRule="auto"/>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现场查看资料</w:t>
            </w:r>
          </w:p>
        </w:tc>
      </w:tr>
      <w:tr w14:paraId="1E964B5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84" w:hRule="atLeast"/>
          <w:jc w:val="center"/>
        </w:trPr>
        <w:tc>
          <w:tcPr>
            <w:tcW w:w="680" w:type="dxa"/>
            <w:vAlign w:val="center"/>
          </w:tcPr>
          <w:p w14:paraId="4CA8006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701" w:type="dxa"/>
            <w:vAlign w:val="center"/>
          </w:tcPr>
          <w:p w14:paraId="439F111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维护保养</w:t>
            </w:r>
          </w:p>
        </w:tc>
        <w:tc>
          <w:tcPr>
            <w:tcW w:w="4819" w:type="dxa"/>
            <w:vAlign w:val="center"/>
          </w:tcPr>
          <w:p w14:paraId="7B0F763E">
            <w:pPr>
              <w:spacing w:line="360" w:lineRule="auto"/>
              <w:ind w:firstLine="0"/>
              <w:rPr>
                <w:rFonts w:hint="eastAsia" w:ascii="宋体" w:hAnsi="宋体" w:eastAsia="宋体" w:cs="宋体"/>
                <w:bCs/>
                <w:color w:val="auto"/>
                <w:sz w:val="24"/>
                <w:szCs w:val="24"/>
              </w:rPr>
            </w:pPr>
            <w:r>
              <w:rPr>
                <w:rFonts w:hint="eastAsia" w:ascii="宋体" w:hAnsi="宋体" w:eastAsia="宋体" w:cs="宋体"/>
                <w:bCs/>
                <w:color w:val="auto"/>
                <w:sz w:val="24"/>
                <w:szCs w:val="24"/>
              </w:rPr>
              <w:t>（1）按照电梯维护保养规则（TSG T5002-2017）中自动扶梯与自动人行道维护保养项目（内容）和要求填写维护保养记录；</w:t>
            </w:r>
          </w:p>
          <w:p w14:paraId="454563A8">
            <w:pPr>
              <w:spacing w:line="360" w:lineRule="auto"/>
              <w:ind w:firstLine="0"/>
              <w:rPr>
                <w:rFonts w:hint="eastAsia" w:ascii="宋体" w:hAnsi="宋体" w:eastAsia="宋体" w:cs="宋体"/>
                <w:bCs/>
                <w:color w:val="auto"/>
                <w:sz w:val="24"/>
                <w:szCs w:val="24"/>
              </w:rPr>
            </w:pPr>
            <w:r>
              <w:rPr>
                <w:rFonts w:hint="eastAsia" w:ascii="宋体" w:hAnsi="宋体" w:eastAsia="宋体" w:cs="宋体"/>
                <w:bCs/>
                <w:color w:val="auto"/>
                <w:sz w:val="24"/>
                <w:szCs w:val="24"/>
              </w:rPr>
              <w:t>（2）与电梯使用单位签订维护保养合同；</w:t>
            </w:r>
          </w:p>
          <w:p w14:paraId="2E7DEC3C">
            <w:pPr>
              <w:spacing w:line="360" w:lineRule="auto"/>
              <w:ind w:firstLine="0"/>
              <w:rPr>
                <w:rFonts w:hint="eastAsia" w:ascii="宋体" w:hAnsi="宋体" w:eastAsia="宋体" w:cs="宋体"/>
                <w:color w:val="auto"/>
                <w:sz w:val="24"/>
                <w:szCs w:val="24"/>
              </w:rPr>
            </w:pPr>
            <w:r>
              <w:rPr>
                <w:rFonts w:hint="eastAsia" w:ascii="宋体" w:hAnsi="宋体" w:eastAsia="宋体" w:cs="宋体"/>
                <w:bCs/>
                <w:color w:val="auto"/>
                <w:sz w:val="24"/>
                <w:szCs w:val="24"/>
              </w:rPr>
              <w:t>（3）按照电梯维护保养规则（TSG T5002-2017）的有关技术规范以及电梯产品安装维护使用说明书的要求制定施工计划</w:t>
            </w:r>
          </w:p>
        </w:tc>
        <w:tc>
          <w:tcPr>
            <w:tcW w:w="1701" w:type="dxa"/>
            <w:vAlign w:val="center"/>
          </w:tcPr>
          <w:p w14:paraId="7717229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查看维保记录</w:t>
            </w:r>
          </w:p>
          <w:p w14:paraId="1EF341B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维保合同</w:t>
            </w:r>
          </w:p>
          <w:p w14:paraId="78E4BAB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维保计划</w:t>
            </w:r>
          </w:p>
        </w:tc>
      </w:tr>
      <w:tr w14:paraId="6ADB730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415A3E4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701" w:type="dxa"/>
            <w:vAlign w:val="center"/>
          </w:tcPr>
          <w:p w14:paraId="29CFF57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电气部件</w:t>
            </w:r>
          </w:p>
        </w:tc>
        <w:tc>
          <w:tcPr>
            <w:tcW w:w="4819" w:type="dxa"/>
            <w:vAlign w:val="center"/>
          </w:tcPr>
          <w:p w14:paraId="316B883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清洁，接线紧固。</w:t>
            </w:r>
          </w:p>
        </w:tc>
        <w:tc>
          <w:tcPr>
            <w:tcW w:w="1701" w:type="dxa"/>
            <w:vAlign w:val="center"/>
          </w:tcPr>
          <w:p w14:paraId="18A2056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41DC66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43BAAA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701" w:type="dxa"/>
            <w:vAlign w:val="center"/>
          </w:tcPr>
          <w:p w14:paraId="116E5D2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故障显示板</w:t>
            </w:r>
          </w:p>
        </w:tc>
        <w:tc>
          <w:tcPr>
            <w:tcW w:w="4819" w:type="dxa"/>
            <w:vAlign w:val="center"/>
          </w:tcPr>
          <w:p w14:paraId="2090D89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模拟部分故障，观察信号功能是否正常。</w:t>
            </w:r>
          </w:p>
        </w:tc>
        <w:tc>
          <w:tcPr>
            <w:tcW w:w="1701" w:type="dxa"/>
            <w:vAlign w:val="center"/>
          </w:tcPr>
          <w:p w14:paraId="273D550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317F34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6F951FA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701" w:type="dxa"/>
            <w:vAlign w:val="center"/>
          </w:tcPr>
          <w:p w14:paraId="1200813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设备运行状况</w:t>
            </w:r>
          </w:p>
        </w:tc>
        <w:tc>
          <w:tcPr>
            <w:tcW w:w="4819" w:type="dxa"/>
            <w:vAlign w:val="center"/>
          </w:tcPr>
          <w:p w14:paraId="582FC7B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梯级运行平稳，无异常抖动，无异常声响</w:t>
            </w:r>
          </w:p>
        </w:tc>
        <w:tc>
          <w:tcPr>
            <w:tcW w:w="1701" w:type="dxa"/>
            <w:vAlign w:val="center"/>
          </w:tcPr>
          <w:p w14:paraId="69288D7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3852F5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26908E2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1701" w:type="dxa"/>
            <w:vAlign w:val="center"/>
          </w:tcPr>
          <w:p w14:paraId="3DA3B95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主驱动链</w:t>
            </w:r>
          </w:p>
        </w:tc>
        <w:tc>
          <w:tcPr>
            <w:tcW w:w="4819" w:type="dxa"/>
            <w:vAlign w:val="center"/>
          </w:tcPr>
          <w:p w14:paraId="489DB54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运转正常，电气安全保护装置动作有效。</w:t>
            </w:r>
          </w:p>
        </w:tc>
        <w:tc>
          <w:tcPr>
            <w:tcW w:w="1701" w:type="dxa"/>
            <w:vAlign w:val="center"/>
          </w:tcPr>
          <w:p w14:paraId="726CE30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3F6A2F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1C76006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1701" w:type="dxa"/>
            <w:vAlign w:val="center"/>
          </w:tcPr>
          <w:p w14:paraId="6CDFE13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制动器机械装置</w:t>
            </w:r>
          </w:p>
        </w:tc>
        <w:tc>
          <w:tcPr>
            <w:tcW w:w="4819" w:type="dxa"/>
            <w:vAlign w:val="center"/>
          </w:tcPr>
          <w:p w14:paraId="310B5F1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清洁，动作正常。</w:t>
            </w:r>
          </w:p>
        </w:tc>
        <w:tc>
          <w:tcPr>
            <w:tcW w:w="1701" w:type="dxa"/>
            <w:vAlign w:val="center"/>
          </w:tcPr>
          <w:p w14:paraId="62F782B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199E356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FA0775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701" w:type="dxa"/>
            <w:vAlign w:val="center"/>
          </w:tcPr>
          <w:p w14:paraId="5A476D0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制动器状态监测开关</w:t>
            </w:r>
          </w:p>
        </w:tc>
        <w:tc>
          <w:tcPr>
            <w:tcW w:w="4819" w:type="dxa"/>
            <w:vAlign w:val="center"/>
          </w:tcPr>
          <w:p w14:paraId="3F34292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模拟制动器松闸故障，观察确认监测开关有效性。</w:t>
            </w:r>
          </w:p>
        </w:tc>
        <w:tc>
          <w:tcPr>
            <w:tcW w:w="1701" w:type="dxa"/>
            <w:vAlign w:val="center"/>
          </w:tcPr>
          <w:p w14:paraId="21A3C52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5ED3CF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881151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1701" w:type="dxa"/>
            <w:vAlign w:val="center"/>
          </w:tcPr>
          <w:p w14:paraId="481DC38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减速机润滑油</w:t>
            </w:r>
          </w:p>
        </w:tc>
        <w:tc>
          <w:tcPr>
            <w:tcW w:w="4819" w:type="dxa"/>
            <w:vAlign w:val="center"/>
          </w:tcPr>
          <w:p w14:paraId="2BB3335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油量适宜，无渗油。</w:t>
            </w:r>
          </w:p>
        </w:tc>
        <w:tc>
          <w:tcPr>
            <w:tcW w:w="1701" w:type="dxa"/>
            <w:vAlign w:val="center"/>
          </w:tcPr>
          <w:p w14:paraId="65A95AE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5C97C9B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6BAC49C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701" w:type="dxa"/>
            <w:vAlign w:val="center"/>
          </w:tcPr>
          <w:p w14:paraId="6D5016E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电机通风口</w:t>
            </w:r>
          </w:p>
        </w:tc>
        <w:tc>
          <w:tcPr>
            <w:tcW w:w="4819" w:type="dxa"/>
            <w:vAlign w:val="center"/>
          </w:tcPr>
          <w:p w14:paraId="7106E37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清洁</w:t>
            </w:r>
          </w:p>
        </w:tc>
        <w:tc>
          <w:tcPr>
            <w:tcW w:w="1701" w:type="dxa"/>
            <w:vAlign w:val="center"/>
          </w:tcPr>
          <w:p w14:paraId="6CBB96B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5CA8EC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74C2FF1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1701" w:type="dxa"/>
            <w:vAlign w:val="center"/>
          </w:tcPr>
          <w:p w14:paraId="367B042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检修控制装置</w:t>
            </w:r>
          </w:p>
        </w:tc>
        <w:tc>
          <w:tcPr>
            <w:tcW w:w="4819" w:type="dxa"/>
            <w:vAlign w:val="center"/>
          </w:tcPr>
          <w:p w14:paraId="3B78A05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手动试验检验控制装置功能</w:t>
            </w:r>
          </w:p>
        </w:tc>
        <w:tc>
          <w:tcPr>
            <w:tcW w:w="1701" w:type="dxa"/>
            <w:vAlign w:val="center"/>
          </w:tcPr>
          <w:p w14:paraId="59EFCEA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20502F8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4960B1D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1701" w:type="dxa"/>
            <w:vAlign w:val="center"/>
          </w:tcPr>
          <w:p w14:paraId="6CBE6B5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自动润滑油罐</w:t>
            </w:r>
          </w:p>
          <w:p w14:paraId="7B219C0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油位</w:t>
            </w:r>
          </w:p>
        </w:tc>
        <w:tc>
          <w:tcPr>
            <w:tcW w:w="4819" w:type="dxa"/>
            <w:vAlign w:val="center"/>
          </w:tcPr>
          <w:p w14:paraId="34D28CC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油位正常，润滑系统工作正常</w:t>
            </w:r>
          </w:p>
        </w:tc>
        <w:tc>
          <w:tcPr>
            <w:tcW w:w="1701" w:type="dxa"/>
            <w:vAlign w:val="center"/>
          </w:tcPr>
          <w:p w14:paraId="6319C7D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52450B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4434B00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1701" w:type="dxa"/>
            <w:vAlign w:val="center"/>
          </w:tcPr>
          <w:p w14:paraId="0661111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梳齿板开关</w:t>
            </w:r>
          </w:p>
        </w:tc>
        <w:tc>
          <w:tcPr>
            <w:tcW w:w="4819" w:type="dxa"/>
            <w:vAlign w:val="center"/>
          </w:tcPr>
          <w:p w14:paraId="1CFE3D7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拆下中间部位的梳齿板，用工具使梳齿板向后或者向上移动（或者前后、上下），检查安全装置是否动作，自动扶梯或者自动人行道能否启动。</w:t>
            </w:r>
          </w:p>
        </w:tc>
        <w:tc>
          <w:tcPr>
            <w:tcW w:w="1701" w:type="dxa"/>
            <w:vAlign w:val="center"/>
          </w:tcPr>
          <w:p w14:paraId="2FF6791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20CFD72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7967A76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1701" w:type="dxa"/>
            <w:vAlign w:val="center"/>
          </w:tcPr>
          <w:p w14:paraId="440D6FF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梳齿板照明</w:t>
            </w:r>
          </w:p>
        </w:tc>
        <w:tc>
          <w:tcPr>
            <w:tcW w:w="4819" w:type="dxa"/>
            <w:vAlign w:val="center"/>
          </w:tcPr>
          <w:p w14:paraId="29E2D9F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照明正常</w:t>
            </w:r>
          </w:p>
        </w:tc>
        <w:tc>
          <w:tcPr>
            <w:tcW w:w="1701" w:type="dxa"/>
            <w:vAlign w:val="center"/>
          </w:tcPr>
          <w:p w14:paraId="04BAC53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56A73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7C0B7CB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1701" w:type="dxa"/>
            <w:vAlign w:val="center"/>
          </w:tcPr>
          <w:p w14:paraId="3FD48C1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梳齿板梳齿与踏板面齿槽、导向胶带</w:t>
            </w:r>
          </w:p>
        </w:tc>
        <w:tc>
          <w:tcPr>
            <w:tcW w:w="4819" w:type="dxa"/>
            <w:vAlign w:val="center"/>
          </w:tcPr>
          <w:p w14:paraId="30FD380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梳齿板完好无损，梳齿板梳齿与踏板面齿槽、导向胶带啮合正常。</w:t>
            </w:r>
          </w:p>
        </w:tc>
        <w:tc>
          <w:tcPr>
            <w:tcW w:w="1701" w:type="dxa"/>
            <w:vAlign w:val="center"/>
          </w:tcPr>
          <w:p w14:paraId="6F1E74F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095C2A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6F45A45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1701" w:type="dxa"/>
            <w:vAlign w:val="center"/>
          </w:tcPr>
          <w:p w14:paraId="72F130A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梯级或者踏板下陷开关</w:t>
            </w:r>
          </w:p>
        </w:tc>
        <w:tc>
          <w:tcPr>
            <w:tcW w:w="4819" w:type="dxa"/>
            <w:vAlign w:val="center"/>
          </w:tcPr>
          <w:p w14:paraId="449F9CE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开关工作正常</w:t>
            </w:r>
          </w:p>
        </w:tc>
        <w:tc>
          <w:tcPr>
            <w:tcW w:w="1701" w:type="dxa"/>
            <w:vAlign w:val="center"/>
          </w:tcPr>
          <w:p w14:paraId="13936E0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794BA95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6274C3A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1701" w:type="dxa"/>
            <w:vAlign w:val="center"/>
          </w:tcPr>
          <w:p w14:paraId="041BF80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梯级或者踏板缺失监测装置</w:t>
            </w:r>
          </w:p>
        </w:tc>
        <w:tc>
          <w:tcPr>
            <w:tcW w:w="4819" w:type="dxa"/>
            <w:vAlign w:val="center"/>
          </w:tcPr>
          <w:p w14:paraId="3769B7A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监测装置工作正常</w:t>
            </w:r>
          </w:p>
        </w:tc>
        <w:tc>
          <w:tcPr>
            <w:tcW w:w="1701" w:type="dxa"/>
            <w:vAlign w:val="center"/>
          </w:tcPr>
          <w:p w14:paraId="7EC69D8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7B377A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42BD39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1701" w:type="dxa"/>
            <w:vAlign w:val="center"/>
          </w:tcPr>
          <w:p w14:paraId="7C373F6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超速或者非操作逆转监测装置</w:t>
            </w:r>
          </w:p>
        </w:tc>
        <w:tc>
          <w:tcPr>
            <w:tcW w:w="4819" w:type="dxa"/>
            <w:vAlign w:val="center"/>
          </w:tcPr>
          <w:p w14:paraId="5BA6B0B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监测装置工作正常</w:t>
            </w:r>
          </w:p>
        </w:tc>
        <w:tc>
          <w:tcPr>
            <w:tcW w:w="1701" w:type="dxa"/>
            <w:vAlign w:val="center"/>
          </w:tcPr>
          <w:p w14:paraId="5C6AA70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0F37FC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087015C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1701" w:type="dxa"/>
            <w:vAlign w:val="center"/>
          </w:tcPr>
          <w:p w14:paraId="4C18427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检修盖板和楼</w:t>
            </w:r>
          </w:p>
          <w:p w14:paraId="6300E29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层板</w:t>
            </w:r>
          </w:p>
        </w:tc>
        <w:tc>
          <w:tcPr>
            <w:tcW w:w="4819" w:type="dxa"/>
            <w:vAlign w:val="center"/>
          </w:tcPr>
          <w:p w14:paraId="374B222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防倾覆或者翻转措施和监控装置有效、可靠。</w:t>
            </w:r>
          </w:p>
        </w:tc>
        <w:tc>
          <w:tcPr>
            <w:tcW w:w="1701" w:type="dxa"/>
            <w:vAlign w:val="center"/>
          </w:tcPr>
          <w:p w14:paraId="601A8DA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3BD2AF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57A7D39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1701" w:type="dxa"/>
            <w:vAlign w:val="center"/>
          </w:tcPr>
          <w:p w14:paraId="17A295D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梯级链张紧开关</w:t>
            </w:r>
          </w:p>
        </w:tc>
        <w:tc>
          <w:tcPr>
            <w:tcW w:w="4819" w:type="dxa"/>
            <w:vAlign w:val="center"/>
          </w:tcPr>
          <w:p w14:paraId="2247DC7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模拟驱动元件断裂或者过分伸长的状况，检查动作装置能否使安全装置动作，并且使设备停止运行。</w:t>
            </w:r>
          </w:p>
        </w:tc>
        <w:tc>
          <w:tcPr>
            <w:tcW w:w="1701" w:type="dxa"/>
            <w:vAlign w:val="center"/>
          </w:tcPr>
          <w:p w14:paraId="4694443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19D2506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BC23EC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1701" w:type="dxa"/>
            <w:vAlign w:val="center"/>
          </w:tcPr>
          <w:p w14:paraId="51BEACF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防护挡板</w:t>
            </w:r>
          </w:p>
        </w:tc>
        <w:tc>
          <w:tcPr>
            <w:tcW w:w="4819" w:type="dxa"/>
            <w:vAlign w:val="center"/>
          </w:tcPr>
          <w:p w14:paraId="0F1886A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有效，无破损。</w:t>
            </w:r>
          </w:p>
        </w:tc>
        <w:tc>
          <w:tcPr>
            <w:tcW w:w="1701" w:type="dxa"/>
            <w:vAlign w:val="center"/>
          </w:tcPr>
          <w:p w14:paraId="69B0061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51475F4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72356F6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22</w:t>
            </w:r>
          </w:p>
        </w:tc>
        <w:tc>
          <w:tcPr>
            <w:tcW w:w="1701" w:type="dxa"/>
            <w:vAlign w:val="center"/>
          </w:tcPr>
          <w:p w14:paraId="546FEE8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梯级滚轮和梯级</w:t>
            </w:r>
          </w:p>
          <w:p w14:paraId="6064FA1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导轨</w:t>
            </w:r>
          </w:p>
        </w:tc>
        <w:tc>
          <w:tcPr>
            <w:tcW w:w="4819" w:type="dxa"/>
            <w:vAlign w:val="center"/>
          </w:tcPr>
          <w:p w14:paraId="3127611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观察梯级滚轮及上下运行情况是否正常</w:t>
            </w:r>
          </w:p>
        </w:tc>
        <w:tc>
          <w:tcPr>
            <w:tcW w:w="1701" w:type="dxa"/>
            <w:vAlign w:val="center"/>
          </w:tcPr>
          <w:p w14:paraId="555008E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50CB280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29884AA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23</w:t>
            </w:r>
          </w:p>
        </w:tc>
        <w:tc>
          <w:tcPr>
            <w:tcW w:w="1701" w:type="dxa"/>
            <w:vAlign w:val="center"/>
          </w:tcPr>
          <w:p w14:paraId="02AB746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梯级、踏板与围裙板之间的间隙</w:t>
            </w:r>
          </w:p>
        </w:tc>
        <w:tc>
          <w:tcPr>
            <w:tcW w:w="4819" w:type="dxa"/>
            <w:vAlign w:val="center"/>
          </w:tcPr>
          <w:p w14:paraId="2878AFA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任何一侧的水平间隙及两侧间隙之和符合标准值。</w:t>
            </w:r>
          </w:p>
        </w:tc>
        <w:tc>
          <w:tcPr>
            <w:tcW w:w="1701" w:type="dxa"/>
            <w:vAlign w:val="center"/>
          </w:tcPr>
          <w:p w14:paraId="4432FCE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436279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1AD6410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24</w:t>
            </w:r>
          </w:p>
        </w:tc>
        <w:tc>
          <w:tcPr>
            <w:tcW w:w="1701" w:type="dxa"/>
            <w:vAlign w:val="center"/>
          </w:tcPr>
          <w:p w14:paraId="7401DBF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运行方向显示</w:t>
            </w:r>
          </w:p>
        </w:tc>
        <w:tc>
          <w:tcPr>
            <w:tcW w:w="4819" w:type="dxa"/>
            <w:vAlign w:val="center"/>
          </w:tcPr>
          <w:p w14:paraId="02D7C6C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工作正常</w:t>
            </w:r>
          </w:p>
        </w:tc>
        <w:tc>
          <w:tcPr>
            <w:tcW w:w="1701" w:type="dxa"/>
            <w:vAlign w:val="center"/>
          </w:tcPr>
          <w:p w14:paraId="1B078C0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B93B93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43B7349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25</w:t>
            </w:r>
          </w:p>
        </w:tc>
        <w:tc>
          <w:tcPr>
            <w:tcW w:w="1701" w:type="dxa"/>
            <w:vAlign w:val="center"/>
          </w:tcPr>
          <w:p w14:paraId="093DBEB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扶手带入口处保护开关</w:t>
            </w:r>
          </w:p>
        </w:tc>
        <w:tc>
          <w:tcPr>
            <w:tcW w:w="4819" w:type="dxa"/>
            <w:vAlign w:val="center"/>
          </w:tcPr>
          <w:p w14:paraId="1AB389A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动作灵活可靠，清除入口处垃圾。</w:t>
            </w:r>
          </w:p>
        </w:tc>
        <w:tc>
          <w:tcPr>
            <w:tcW w:w="1701" w:type="dxa"/>
            <w:vAlign w:val="center"/>
          </w:tcPr>
          <w:p w14:paraId="51E6D88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42EACB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1E72645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26</w:t>
            </w:r>
          </w:p>
        </w:tc>
        <w:tc>
          <w:tcPr>
            <w:tcW w:w="1701" w:type="dxa"/>
            <w:vAlign w:val="center"/>
          </w:tcPr>
          <w:p w14:paraId="6B4A653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扶手带</w:t>
            </w:r>
          </w:p>
        </w:tc>
        <w:tc>
          <w:tcPr>
            <w:tcW w:w="4819" w:type="dxa"/>
            <w:vAlign w:val="center"/>
          </w:tcPr>
          <w:p w14:paraId="36A7D84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表面无毛刺，无机械损伤，运行无摩擦。</w:t>
            </w:r>
          </w:p>
        </w:tc>
        <w:tc>
          <w:tcPr>
            <w:tcW w:w="1701" w:type="dxa"/>
            <w:vAlign w:val="center"/>
          </w:tcPr>
          <w:p w14:paraId="19F563F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02D3926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55A878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27</w:t>
            </w:r>
          </w:p>
        </w:tc>
        <w:tc>
          <w:tcPr>
            <w:tcW w:w="1701" w:type="dxa"/>
            <w:vAlign w:val="center"/>
          </w:tcPr>
          <w:p w14:paraId="4B5F6AE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扶手带运行</w:t>
            </w:r>
          </w:p>
        </w:tc>
        <w:tc>
          <w:tcPr>
            <w:tcW w:w="4819" w:type="dxa"/>
            <w:vAlign w:val="center"/>
          </w:tcPr>
          <w:p w14:paraId="0B1DC96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用同步率测试仪等仪器分别测量左右扶手带和梯级、踏板或者胶带速度，检查是否符合要求。</w:t>
            </w:r>
          </w:p>
        </w:tc>
        <w:tc>
          <w:tcPr>
            <w:tcW w:w="1701" w:type="dxa"/>
            <w:vAlign w:val="center"/>
          </w:tcPr>
          <w:p w14:paraId="5C39BFC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42B4B4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2175106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28</w:t>
            </w:r>
          </w:p>
        </w:tc>
        <w:tc>
          <w:tcPr>
            <w:tcW w:w="1701" w:type="dxa"/>
            <w:vAlign w:val="center"/>
          </w:tcPr>
          <w:p w14:paraId="718F947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扶手护壁板</w:t>
            </w:r>
          </w:p>
        </w:tc>
        <w:tc>
          <w:tcPr>
            <w:tcW w:w="4819" w:type="dxa"/>
            <w:vAlign w:val="center"/>
          </w:tcPr>
          <w:p w14:paraId="6AE0D32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牢固可靠</w:t>
            </w:r>
          </w:p>
        </w:tc>
        <w:tc>
          <w:tcPr>
            <w:tcW w:w="1701" w:type="dxa"/>
            <w:vAlign w:val="center"/>
          </w:tcPr>
          <w:p w14:paraId="6979E03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42B8A8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0199833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29</w:t>
            </w:r>
          </w:p>
        </w:tc>
        <w:tc>
          <w:tcPr>
            <w:tcW w:w="1701" w:type="dxa"/>
            <w:vAlign w:val="center"/>
          </w:tcPr>
          <w:p w14:paraId="0B7B39A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上下出入口处</w:t>
            </w:r>
          </w:p>
          <w:p w14:paraId="5E58133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照明</w:t>
            </w:r>
          </w:p>
        </w:tc>
        <w:tc>
          <w:tcPr>
            <w:tcW w:w="4819" w:type="dxa"/>
            <w:vAlign w:val="center"/>
          </w:tcPr>
          <w:p w14:paraId="41635473">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工作正常</w:t>
            </w:r>
          </w:p>
        </w:tc>
        <w:tc>
          <w:tcPr>
            <w:tcW w:w="1701" w:type="dxa"/>
            <w:vAlign w:val="center"/>
          </w:tcPr>
          <w:p w14:paraId="077A0DF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01892C4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37" w:hRule="atLeast"/>
          <w:jc w:val="center"/>
        </w:trPr>
        <w:tc>
          <w:tcPr>
            <w:tcW w:w="680" w:type="dxa"/>
            <w:vAlign w:val="center"/>
          </w:tcPr>
          <w:p w14:paraId="73998B4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30</w:t>
            </w:r>
          </w:p>
        </w:tc>
        <w:tc>
          <w:tcPr>
            <w:tcW w:w="1701" w:type="dxa"/>
            <w:vAlign w:val="center"/>
          </w:tcPr>
          <w:p w14:paraId="1121F41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上下出入口和扶梯之间保护栏杆</w:t>
            </w:r>
          </w:p>
        </w:tc>
        <w:tc>
          <w:tcPr>
            <w:tcW w:w="4819" w:type="dxa"/>
            <w:vAlign w:val="center"/>
          </w:tcPr>
          <w:p w14:paraId="6F69B32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牢固可靠</w:t>
            </w:r>
          </w:p>
        </w:tc>
        <w:tc>
          <w:tcPr>
            <w:tcW w:w="1701" w:type="dxa"/>
            <w:vAlign w:val="center"/>
          </w:tcPr>
          <w:p w14:paraId="7D0B3F4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492AB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02B8F49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31</w:t>
            </w:r>
          </w:p>
        </w:tc>
        <w:tc>
          <w:tcPr>
            <w:tcW w:w="1701" w:type="dxa"/>
            <w:vAlign w:val="center"/>
          </w:tcPr>
          <w:p w14:paraId="3066802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出入口安全警示标志</w:t>
            </w:r>
          </w:p>
        </w:tc>
        <w:tc>
          <w:tcPr>
            <w:tcW w:w="4819" w:type="dxa"/>
            <w:vAlign w:val="center"/>
          </w:tcPr>
          <w:p w14:paraId="3A88C97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齐全，醒目。</w:t>
            </w:r>
          </w:p>
        </w:tc>
        <w:tc>
          <w:tcPr>
            <w:tcW w:w="1701" w:type="dxa"/>
            <w:vAlign w:val="center"/>
          </w:tcPr>
          <w:p w14:paraId="2AA470F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5209A36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1BFF68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32</w:t>
            </w:r>
          </w:p>
        </w:tc>
        <w:tc>
          <w:tcPr>
            <w:tcW w:w="1701" w:type="dxa"/>
            <w:vAlign w:val="center"/>
          </w:tcPr>
          <w:p w14:paraId="0059EAA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分离机房、各驱动和转向站</w:t>
            </w:r>
          </w:p>
        </w:tc>
        <w:tc>
          <w:tcPr>
            <w:tcW w:w="4819" w:type="dxa"/>
            <w:vAlign w:val="center"/>
          </w:tcPr>
          <w:p w14:paraId="5AD7DC3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清洁，无杂物。</w:t>
            </w:r>
          </w:p>
        </w:tc>
        <w:tc>
          <w:tcPr>
            <w:tcW w:w="1701" w:type="dxa"/>
            <w:vAlign w:val="center"/>
          </w:tcPr>
          <w:p w14:paraId="402D6C9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512B9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177B494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33</w:t>
            </w:r>
          </w:p>
        </w:tc>
        <w:tc>
          <w:tcPr>
            <w:tcW w:w="1701" w:type="dxa"/>
            <w:vAlign w:val="center"/>
          </w:tcPr>
          <w:p w14:paraId="6CE0A7C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自动运行功能</w:t>
            </w:r>
          </w:p>
        </w:tc>
        <w:tc>
          <w:tcPr>
            <w:tcW w:w="4819" w:type="dxa"/>
            <w:vAlign w:val="center"/>
          </w:tcPr>
          <w:p w14:paraId="734F04A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工作正常</w:t>
            </w:r>
          </w:p>
        </w:tc>
        <w:tc>
          <w:tcPr>
            <w:tcW w:w="1701" w:type="dxa"/>
            <w:vAlign w:val="center"/>
          </w:tcPr>
          <w:p w14:paraId="74DF1E9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0DB37A0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D9A192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34</w:t>
            </w:r>
          </w:p>
        </w:tc>
        <w:tc>
          <w:tcPr>
            <w:tcW w:w="1701" w:type="dxa"/>
            <w:vAlign w:val="center"/>
          </w:tcPr>
          <w:p w14:paraId="3897025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紧急停止开关</w:t>
            </w:r>
          </w:p>
        </w:tc>
        <w:tc>
          <w:tcPr>
            <w:tcW w:w="4819" w:type="dxa"/>
            <w:vAlign w:val="center"/>
          </w:tcPr>
          <w:p w14:paraId="42A5C71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操作试验紧急停止开关功能是否正常</w:t>
            </w:r>
          </w:p>
        </w:tc>
        <w:tc>
          <w:tcPr>
            <w:tcW w:w="1701" w:type="dxa"/>
            <w:vAlign w:val="center"/>
          </w:tcPr>
          <w:p w14:paraId="4DADD87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5F4C62D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0083C8C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35</w:t>
            </w:r>
          </w:p>
        </w:tc>
        <w:tc>
          <w:tcPr>
            <w:tcW w:w="1701" w:type="dxa"/>
            <w:vAlign w:val="center"/>
          </w:tcPr>
          <w:p w14:paraId="7C7D298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驱动主机的固定</w:t>
            </w:r>
          </w:p>
        </w:tc>
        <w:tc>
          <w:tcPr>
            <w:tcW w:w="4819" w:type="dxa"/>
            <w:vAlign w:val="center"/>
          </w:tcPr>
          <w:p w14:paraId="3A74D97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牢固可靠</w:t>
            </w:r>
          </w:p>
        </w:tc>
        <w:tc>
          <w:tcPr>
            <w:tcW w:w="1701" w:type="dxa"/>
            <w:vAlign w:val="center"/>
          </w:tcPr>
          <w:p w14:paraId="2AB2A6E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0DE5BEE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6AB474C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36</w:t>
            </w:r>
          </w:p>
        </w:tc>
        <w:tc>
          <w:tcPr>
            <w:tcW w:w="1701" w:type="dxa"/>
            <w:vAlign w:val="center"/>
          </w:tcPr>
          <w:p w14:paraId="72A40CC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扶手带的运行</w:t>
            </w:r>
          </w:p>
          <w:p w14:paraId="1A4A689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速度</w:t>
            </w:r>
          </w:p>
        </w:tc>
        <w:tc>
          <w:tcPr>
            <w:tcW w:w="4819" w:type="dxa"/>
            <w:vAlign w:val="center"/>
          </w:tcPr>
          <w:p w14:paraId="1B4C972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相对于梯级、踏板或者胶带的速度允差为0～＋2％</w:t>
            </w:r>
          </w:p>
        </w:tc>
        <w:tc>
          <w:tcPr>
            <w:tcW w:w="1701" w:type="dxa"/>
            <w:vAlign w:val="center"/>
          </w:tcPr>
          <w:p w14:paraId="00BD348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6CC160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7DCC33A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37</w:t>
            </w:r>
          </w:p>
        </w:tc>
        <w:tc>
          <w:tcPr>
            <w:tcW w:w="1701" w:type="dxa"/>
            <w:vAlign w:val="center"/>
          </w:tcPr>
          <w:p w14:paraId="2DD735B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梯级链张紧装置</w:t>
            </w:r>
          </w:p>
        </w:tc>
        <w:tc>
          <w:tcPr>
            <w:tcW w:w="4819" w:type="dxa"/>
            <w:vAlign w:val="center"/>
          </w:tcPr>
          <w:p w14:paraId="065E4A6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验证张紧装置有效性</w:t>
            </w:r>
          </w:p>
        </w:tc>
        <w:tc>
          <w:tcPr>
            <w:tcW w:w="1701" w:type="dxa"/>
            <w:vAlign w:val="center"/>
          </w:tcPr>
          <w:p w14:paraId="39AB5BC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37DE1D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1BD2EAE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38</w:t>
            </w:r>
          </w:p>
        </w:tc>
        <w:tc>
          <w:tcPr>
            <w:tcW w:w="1701" w:type="dxa"/>
            <w:vAlign w:val="center"/>
          </w:tcPr>
          <w:p w14:paraId="098A147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梯级链润滑</w:t>
            </w:r>
          </w:p>
        </w:tc>
        <w:tc>
          <w:tcPr>
            <w:tcW w:w="4819" w:type="dxa"/>
            <w:vAlign w:val="center"/>
          </w:tcPr>
          <w:p w14:paraId="34E4118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运行工况正常</w:t>
            </w:r>
          </w:p>
        </w:tc>
        <w:tc>
          <w:tcPr>
            <w:tcW w:w="1701" w:type="dxa"/>
            <w:vAlign w:val="center"/>
          </w:tcPr>
          <w:p w14:paraId="41D885F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1386D8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0D87E7F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39</w:t>
            </w:r>
          </w:p>
        </w:tc>
        <w:tc>
          <w:tcPr>
            <w:tcW w:w="1701" w:type="dxa"/>
            <w:vAlign w:val="center"/>
          </w:tcPr>
          <w:p w14:paraId="1533ABF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制动衬厚度</w:t>
            </w:r>
          </w:p>
        </w:tc>
        <w:tc>
          <w:tcPr>
            <w:tcW w:w="4819" w:type="dxa"/>
            <w:vAlign w:val="center"/>
          </w:tcPr>
          <w:p w14:paraId="3CC94C5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不小于制造单位要求</w:t>
            </w:r>
          </w:p>
        </w:tc>
        <w:tc>
          <w:tcPr>
            <w:tcW w:w="1701" w:type="dxa"/>
            <w:vAlign w:val="center"/>
          </w:tcPr>
          <w:p w14:paraId="596D629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67FC26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4B4366F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40</w:t>
            </w:r>
          </w:p>
        </w:tc>
        <w:tc>
          <w:tcPr>
            <w:tcW w:w="1701" w:type="dxa"/>
            <w:vAlign w:val="center"/>
          </w:tcPr>
          <w:p w14:paraId="66206DD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主驱动链</w:t>
            </w:r>
          </w:p>
        </w:tc>
        <w:tc>
          <w:tcPr>
            <w:tcW w:w="4819" w:type="dxa"/>
            <w:vAlign w:val="center"/>
          </w:tcPr>
          <w:p w14:paraId="1E19C98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清理表面油污，润滑</w:t>
            </w:r>
          </w:p>
        </w:tc>
        <w:tc>
          <w:tcPr>
            <w:tcW w:w="1701" w:type="dxa"/>
            <w:vAlign w:val="center"/>
          </w:tcPr>
          <w:p w14:paraId="7F7B22B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3A1C7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4195D43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41</w:t>
            </w:r>
          </w:p>
        </w:tc>
        <w:tc>
          <w:tcPr>
            <w:tcW w:w="1701" w:type="dxa"/>
            <w:vAlign w:val="center"/>
          </w:tcPr>
          <w:p w14:paraId="6348AE2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电动机与减速机联轴器</w:t>
            </w:r>
          </w:p>
        </w:tc>
        <w:tc>
          <w:tcPr>
            <w:tcW w:w="4819" w:type="dxa"/>
            <w:vAlign w:val="center"/>
          </w:tcPr>
          <w:p w14:paraId="258C0F4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连接无松动，弹性元件外观良好，无老化</w:t>
            </w:r>
          </w:p>
          <w:p w14:paraId="3ED6935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等现象</w:t>
            </w:r>
          </w:p>
        </w:tc>
        <w:tc>
          <w:tcPr>
            <w:tcW w:w="1701" w:type="dxa"/>
            <w:vAlign w:val="center"/>
          </w:tcPr>
          <w:p w14:paraId="5BF61A6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10A99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233A8CB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42</w:t>
            </w:r>
          </w:p>
        </w:tc>
        <w:tc>
          <w:tcPr>
            <w:tcW w:w="1701" w:type="dxa"/>
            <w:vAlign w:val="center"/>
          </w:tcPr>
          <w:p w14:paraId="1BCB2F9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空载向下运行制动距离</w:t>
            </w:r>
          </w:p>
        </w:tc>
        <w:tc>
          <w:tcPr>
            <w:tcW w:w="4819" w:type="dxa"/>
            <w:vAlign w:val="center"/>
          </w:tcPr>
          <w:p w14:paraId="36CC2B6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符合标准值</w:t>
            </w:r>
          </w:p>
        </w:tc>
        <w:tc>
          <w:tcPr>
            <w:tcW w:w="1701" w:type="dxa"/>
            <w:vAlign w:val="center"/>
          </w:tcPr>
          <w:p w14:paraId="2D31D07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1488E0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451E148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43</w:t>
            </w:r>
          </w:p>
        </w:tc>
        <w:tc>
          <w:tcPr>
            <w:tcW w:w="1701" w:type="dxa"/>
            <w:vAlign w:val="center"/>
          </w:tcPr>
          <w:p w14:paraId="3D05FA8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制动器机械装置</w:t>
            </w:r>
          </w:p>
        </w:tc>
        <w:tc>
          <w:tcPr>
            <w:tcW w:w="4819" w:type="dxa"/>
            <w:vAlign w:val="center"/>
          </w:tcPr>
          <w:p w14:paraId="48C42D8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润滑，工作有效</w:t>
            </w:r>
          </w:p>
        </w:tc>
        <w:tc>
          <w:tcPr>
            <w:tcW w:w="1701" w:type="dxa"/>
            <w:vAlign w:val="center"/>
          </w:tcPr>
          <w:p w14:paraId="20E9B1E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19558A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1A1E27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44</w:t>
            </w:r>
          </w:p>
        </w:tc>
        <w:tc>
          <w:tcPr>
            <w:tcW w:w="1701" w:type="dxa"/>
            <w:vAlign w:val="center"/>
          </w:tcPr>
          <w:p w14:paraId="0E6E9E7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附加制动器</w:t>
            </w:r>
          </w:p>
        </w:tc>
        <w:tc>
          <w:tcPr>
            <w:tcW w:w="4819" w:type="dxa"/>
            <w:vAlign w:val="center"/>
          </w:tcPr>
          <w:p w14:paraId="4949F6B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清洁和润滑，功能效性</w:t>
            </w:r>
          </w:p>
        </w:tc>
        <w:tc>
          <w:tcPr>
            <w:tcW w:w="1701" w:type="dxa"/>
            <w:vAlign w:val="center"/>
          </w:tcPr>
          <w:p w14:paraId="36AE1FF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2EE1B3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50" w:hRule="atLeast"/>
          <w:jc w:val="center"/>
        </w:trPr>
        <w:tc>
          <w:tcPr>
            <w:tcW w:w="680" w:type="dxa"/>
            <w:vAlign w:val="center"/>
          </w:tcPr>
          <w:p w14:paraId="4CE4790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45</w:t>
            </w:r>
          </w:p>
        </w:tc>
        <w:tc>
          <w:tcPr>
            <w:tcW w:w="1701" w:type="dxa"/>
            <w:vAlign w:val="center"/>
          </w:tcPr>
          <w:p w14:paraId="3148E33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调整梳齿板梳齿与踏板面齿槽啮合深度和间隙</w:t>
            </w:r>
          </w:p>
        </w:tc>
        <w:tc>
          <w:tcPr>
            <w:tcW w:w="4819" w:type="dxa"/>
            <w:vAlign w:val="center"/>
          </w:tcPr>
          <w:p w14:paraId="639FC9D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符合标准值</w:t>
            </w:r>
          </w:p>
        </w:tc>
        <w:tc>
          <w:tcPr>
            <w:tcW w:w="1701" w:type="dxa"/>
            <w:vAlign w:val="center"/>
          </w:tcPr>
          <w:p w14:paraId="0DAFDA3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06D42CA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80" w:type="dxa"/>
            <w:vAlign w:val="center"/>
          </w:tcPr>
          <w:p w14:paraId="3A482F0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46</w:t>
            </w:r>
          </w:p>
        </w:tc>
        <w:tc>
          <w:tcPr>
            <w:tcW w:w="1701" w:type="dxa"/>
            <w:vAlign w:val="center"/>
          </w:tcPr>
          <w:p w14:paraId="4FA362E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扶手带速度监控系统</w:t>
            </w:r>
          </w:p>
        </w:tc>
        <w:tc>
          <w:tcPr>
            <w:tcW w:w="4819" w:type="dxa"/>
            <w:vAlign w:val="center"/>
          </w:tcPr>
          <w:p w14:paraId="4C2CDF0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工作正常</w:t>
            </w:r>
          </w:p>
        </w:tc>
        <w:tc>
          <w:tcPr>
            <w:tcW w:w="1701" w:type="dxa"/>
            <w:vAlign w:val="center"/>
          </w:tcPr>
          <w:p w14:paraId="3D7AA53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3E7EB2F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1468A49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47</w:t>
            </w:r>
          </w:p>
        </w:tc>
        <w:tc>
          <w:tcPr>
            <w:tcW w:w="1701" w:type="dxa"/>
            <w:vAlign w:val="center"/>
          </w:tcPr>
          <w:p w14:paraId="59CFFDF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主接触器</w:t>
            </w:r>
          </w:p>
        </w:tc>
        <w:tc>
          <w:tcPr>
            <w:tcW w:w="4819" w:type="dxa"/>
            <w:vAlign w:val="center"/>
          </w:tcPr>
          <w:p w14:paraId="6D90514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工作可靠</w:t>
            </w:r>
          </w:p>
        </w:tc>
        <w:tc>
          <w:tcPr>
            <w:tcW w:w="1701" w:type="dxa"/>
            <w:vAlign w:val="center"/>
          </w:tcPr>
          <w:p w14:paraId="4C2E812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7EC1549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5CFC80B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48</w:t>
            </w:r>
          </w:p>
        </w:tc>
        <w:tc>
          <w:tcPr>
            <w:tcW w:w="1701" w:type="dxa"/>
            <w:vAlign w:val="center"/>
          </w:tcPr>
          <w:p w14:paraId="7ABCF49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围裙板对接处及安全开关</w:t>
            </w:r>
          </w:p>
        </w:tc>
        <w:tc>
          <w:tcPr>
            <w:tcW w:w="4819" w:type="dxa"/>
            <w:vAlign w:val="center"/>
          </w:tcPr>
          <w:p w14:paraId="5D2F2153">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围裙板对接处紧密平滑、安全开关测试有效</w:t>
            </w:r>
          </w:p>
        </w:tc>
        <w:tc>
          <w:tcPr>
            <w:tcW w:w="1701" w:type="dxa"/>
            <w:vAlign w:val="center"/>
          </w:tcPr>
          <w:p w14:paraId="0F94AC6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bl>
    <w:p w14:paraId="16B32B0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自动扶梯与自动人行道维护保养质量监督抽查项目包含但不限于以上1-48项内容。项目1、2为电梯管理、维保资料检查，项目2-35项为半月维护保养项目、36-38项为季度维护保养项目、39-46项为半年维护保养项目、47、48项为年度维护保养项目。维护保养质量监督抽查，其中半月维护保养项目为必抽项目，现场抽查根据被抽查电梯实际情况，依据《电梯维护保养规则》（TSG T5002-2017）规定的季度、半年、年度维护保养项目进行监督抽查。</w:t>
      </w:r>
    </w:p>
    <w:p w14:paraId="35EC55FC">
      <w:pPr>
        <w:spacing w:line="24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347278A0">
      <w:pPr>
        <w:spacing w:line="56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曳引与强制驱动电梯检验质量监督抽查</w:t>
      </w:r>
    </w:p>
    <w:p w14:paraId="662D9C49">
      <w:pPr>
        <w:spacing w:line="240" w:lineRule="exact"/>
        <w:ind w:firstLine="0"/>
        <w:jc w:val="center"/>
        <w:rPr>
          <w:rFonts w:hint="eastAsia" w:ascii="宋体" w:hAnsi="宋体" w:eastAsia="宋体" w:cs="宋体"/>
          <w:color w:val="auto"/>
          <w:szCs w:val="21"/>
        </w:rPr>
      </w:pPr>
    </w:p>
    <w:tbl>
      <w:tblPr>
        <w:tblStyle w:val="2"/>
        <w:tblW w:w="89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67"/>
        <w:gridCol w:w="113"/>
        <w:gridCol w:w="1134"/>
        <w:gridCol w:w="5953"/>
        <w:gridCol w:w="1134"/>
      </w:tblGrid>
      <w:tr w14:paraId="65D42FB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80" w:type="dxa"/>
            <w:gridSpan w:val="2"/>
            <w:vAlign w:val="center"/>
          </w:tcPr>
          <w:p w14:paraId="259844C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134" w:type="dxa"/>
            <w:vAlign w:val="center"/>
          </w:tcPr>
          <w:p w14:paraId="21538E9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953" w:type="dxa"/>
            <w:tcBorders>
              <w:bottom w:val="single" w:color="auto" w:sz="8" w:space="0"/>
            </w:tcBorders>
            <w:vAlign w:val="center"/>
          </w:tcPr>
          <w:p w14:paraId="4AEFD1B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监督抽查内容与要求</w:t>
            </w:r>
          </w:p>
        </w:tc>
        <w:tc>
          <w:tcPr>
            <w:tcW w:w="1134" w:type="dxa"/>
            <w:vAlign w:val="center"/>
          </w:tcPr>
          <w:p w14:paraId="2651F62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抽查方法</w:t>
            </w:r>
          </w:p>
        </w:tc>
      </w:tr>
      <w:tr w14:paraId="301F7E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47" w:hRule="atLeast"/>
          <w:jc w:val="center"/>
        </w:trPr>
        <w:tc>
          <w:tcPr>
            <w:tcW w:w="680" w:type="dxa"/>
            <w:gridSpan w:val="2"/>
            <w:vAlign w:val="center"/>
          </w:tcPr>
          <w:p w14:paraId="25906BF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134" w:type="dxa"/>
            <w:vAlign w:val="center"/>
          </w:tcPr>
          <w:p w14:paraId="591FC21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技术资料审查</w:t>
            </w:r>
          </w:p>
        </w:tc>
        <w:tc>
          <w:tcPr>
            <w:tcW w:w="5953" w:type="dxa"/>
            <w:tcBorders>
              <w:top w:val="single" w:color="auto" w:sz="8" w:space="0"/>
              <w:bottom w:val="single" w:color="auto" w:sz="8" w:space="0"/>
            </w:tcBorders>
            <w:vAlign w:val="center"/>
          </w:tcPr>
          <w:p w14:paraId="18C7816C">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（1）审查被抽查电梯的制造单位、安装单位、维保单位、使用单位提供的制造、安装、改造或者重大修理、使用管理等相关资料；</w:t>
            </w:r>
          </w:p>
          <w:p w14:paraId="1F3A0344">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（5）审查技术资料与铭牌或可识别标志的一致性。</w:t>
            </w:r>
          </w:p>
        </w:tc>
        <w:tc>
          <w:tcPr>
            <w:tcW w:w="1134" w:type="dxa"/>
            <w:vAlign w:val="center"/>
          </w:tcPr>
          <w:p w14:paraId="160C6F5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现场查阅确认</w:t>
            </w:r>
          </w:p>
        </w:tc>
      </w:tr>
      <w:tr w14:paraId="5177367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47" w:hRule="atLeast"/>
          <w:jc w:val="center"/>
        </w:trPr>
        <w:tc>
          <w:tcPr>
            <w:tcW w:w="680" w:type="dxa"/>
            <w:gridSpan w:val="2"/>
            <w:vAlign w:val="center"/>
          </w:tcPr>
          <w:p w14:paraId="373AC7D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134" w:type="dxa"/>
            <w:vAlign w:val="center"/>
          </w:tcPr>
          <w:p w14:paraId="35B7200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通道及照明</w:t>
            </w:r>
          </w:p>
        </w:tc>
        <w:tc>
          <w:tcPr>
            <w:tcW w:w="5953" w:type="dxa"/>
            <w:tcBorders>
              <w:top w:val="single" w:color="auto" w:sz="8" w:space="0"/>
            </w:tcBorders>
            <w:vAlign w:val="center"/>
          </w:tcPr>
          <w:p w14:paraId="5A31160B">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(1)通往机器空间的通道保持通畅，相关人员能够安全、方便、无阻碍地使用；如果通往机器空间的通道高出楼梯所到平面不超过4.0m，可以采用固定的梯子作为通道；</w:t>
            </w:r>
          </w:p>
          <w:p w14:paraId="1E8B4175">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(2)进入机器空间的门附近的通道设有永久性电气照明。</w:t>
            </w:r>
          </w:p>
        </w:tc>
        <w:tc>
          <w:tcPr>
            <w:tcW w:w="1134" w:type="dxa"/>
            <w:vAlign w:val="center"/>
          </w:tcPr>
          <w:p w14:paraId="711492C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现场观察确认并测量相关数据 </w:t>
            </w:r>
          </w:p>
        </w:tc>
      </w:tr>
      <w:tr w14:paraId="7B202B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gridSpan w:val="2"/>
            <w:vAlign w:val="center"/>
          </w:tcPr>
          <w:p w14:paraId="437F478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134" w:type="dxa"/>
            <w:vAlign w:val="center"/>
          </w:tcPr>
          <w:p w14:paraId="6C8B483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井道照明</w:t>
            </w:r>
          </w:p>
        </w:tc>
        <w:tc>
          <w:tcPr>
            <w:tcW w:w="5953" w:type="dxa"/>
            <w:vAlign w:val="center"/>
          </w:tcPr>
          <w:p w14:paraId="00BFEECE">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井道内设有永久性电气照明；当部分封闭的井道附近有足够的电气照明时，井道内可以不设照明。</w:t>
            </w:r>
          </w:p>
        </w:tc>
        <w:tc>
          <w:tcPr>
            <w:tcW w:w="1134" w:type="dxa"/>
            <w:vAlign w:val="center"/>
          </w:tcPr>
          <w:p w14:paraId="689A53F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12EB2A7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98" w:hRule="atLeast"/>
          <w:jc w:val="center"/>
        </w:trPr>
        <w:tc>
          <w:tcPr>
            <w:tcW w:w="680" w:type="dxa"/>
            <w:gridSpan w:val="2"/>
            <w:vAlign w:val="center"/>
          </w:tcPr>
          <w:p w14:paraId="0485F99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134" w:type="dxa"/>
            <w:vAlign w:val="center"/>
          </w:tcPr>
          <w:p w14:paraId="38615B2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缓冲器</w:t>
            </w:r>
          </w:p>
        </w:tc>
        <w:tc>
          <w:tcPr>
            <w:tcW w:w="5953" w:type="dxa"/>
            <w:vAlign w:val="center"/>
          </w:tcPr>
          <w:p w14:paraId="3730699D">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(1)缓冲器无松动、明显倾斜、断裂、塑性变形、剥落、破损、严重锈蚀等现象；</w:t>
            </w:r>
          </w:p>
          <w:p w14:paraId="4CAA3146">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(2)耗能型缓冲器液位正确，验证柱塞复位的电气安全装置功能有效；</w:t>
            </w:r>
          </w:p>
          <w:p w14:paraId="11EE866C">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(3)对重缓冲器附近设有清晰的对重越程距离标识；</w:t>
            </w:r>
          </w:p>
          <w:p w14:paraId="6BD69F82">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(4)当轿厢位于顶层端站平层位置时，对重装置撞板与其缓冲器顶面间的距离不超过对重越程距离标识上标注的最大允许值。</w:t>
            </w:r>
          </w:p>
        </w:tc>
        <w:tc>
          <w:tcPr>
            <w:tcW w:w="1134" w:type="dxa"/>
            <w:vAlign w:val="center"/>
          </w:tcPr>
          <w:p w14:paraId="11FC06E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现场观察确认、测量相关数据并试验验证</w:t>
            </w:r>
          </w:p>
        </w:tc>
      </w:tr>
      <w:tr w14:paraId="04769B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680" w:type="dxa"/>
            <w:gridSpan w:val="2"/>
            <w:vAlign w:val="center"/>
          </w:tcPr>
          <w:p w14:paraId="31483A6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134" w:type="dxa"/>
            <w:vAlign w:val="center"/>
          </w:tcPr>
          <w:p w14:paraId="5B6B08C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接地故障保护措施</w:t>
            </w:r>
          </w:p>
        </w:tc>
        <w:tc>
          <w:tcPr>
            <w:tcW w:w="5953" w:type="dxa"/>
            <w:vAlign w:val="center"/>
          </w:tcPr>
          <w:p w14:paraId="1A0536B4">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含有电气安全装置的电路发生接地故障时，驱动主机立即停止运转，或者在第一次正常停止运转后，能够防止驱动主机再启动，恢复电梯运行只能通过手动复位。</w:t>
            </w:r>
          </w:p>
        </w:tc>
        <w:tc>
          <w:tcPr>
            <w:tcW w:w="1134" w:type="dxa"/>
            <w:vAlign w:val="center"/>
          </w:tcPr>
          <w:p w14:paraId="4568B9D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26A24C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24" w:hRule="atLeast"/>
          <w:jc w:val="center"/>
        </w:trPr>
        <w:tc>
          <w:tcPr>
            <w:tcW w:w="680" w:type="dxa"/>
            <w:gridSpan w:val="2"/>
            <w:vAlign w:val="center"/>
          </w:tcPr>
          <w:p w14:paraId="57A07D4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1134" w:type="dxa"/>
            <w:vAlign w:val="center"/>
          </w:tcPr>
          <w:p w14:paraId="363E84B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门旁路</w:t>
            </w:r>
          </w:p>
          <w:p w14:paraId="533CEB7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装置</w:t>
            </w:r>
          </w:p>
        </w:tc>
        <w:tc>
          <w:tcPr>
            <w:tcW w:w="5953" w:type="dxa"/>
            <w:vAlign w:val="center"/>
          </w:tcPr>
          <w:p w14:paraId="7C5646EC">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(1)层门和轿门旁路装置上或者附近标明“旁路”字样；</w:t>
            </w:r>
          </w:p>
          <w:p w14:paraId="41D98F20">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(2)处于旁路状态时，能够旁路层门关闭触点、层门门锁触点、轿门关闭触点、轿门门锁触点，但不能同时旁路层门和轿门的触点；对于手动层门不能同时旁路层门关闭触点和层门门锁触点。</w:t>
            </w:r>
          </w:p>
          <w:p w14:paraId="63FAAC00">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(3)处于旁路状态时，取消正常运行(包括自动门的任何运行)，并且只有在检修运行控制或者紧急电动运行控制下电梯才能运行，轿厢上的听觉信号和轿底的闪烁灯在运行期间起作用。</w:t>
            </w:r>
          </w:p>
          <w:p w14:paraId="097CEE73">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(4)提供独立的监控信号证实轿门处于关闭位置。</w:t>
            </w:r>
          </w:p>
        </w:tc>
        <w:tc>
          <w:tcPr>
            <w:tcW w:w="1134" w:type="dxa"/>
            <w:vAlign w:val="center"/>
          </w:tcPr>
          <w:p w14:paraId="70DD1D5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C6A6B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680" w:type="dxa"/>
            <w:gridSpan w:val="2"/>
            <w:vAlign w:val="center"/>
          </w:tcPr>
          <w:p w14:paraId="0962C5A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1134" w:type="dxa"/>
            <w:vAlign w:val="center"/>
          </w:tcPr>
          <w:p w14:paraId="498684E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制动器状态监测功能</w:t>
            </w:r>
          </w:p>
        </w:tc>
        <w:tc>
          <w:tcPr>
            <w:tcW w:w="5953" w:type="dxa"/>
            <w:vAlign w:val="center"/>
          </w:tcPr>
          <w:p w14:paraId="52C88057">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检查其是否能够监测制动器的每组制动力或者每次动作时每组机械部件的正确动作(松开或者制动)，当监测到失效时，是否能够防止电梯的正常运行。</w:t>
            </w:r>
          </w:p>
        </w:tc>
        <w:tc>
          <w:tcPr>
            <w:tcW w:w="1134" w:type="dxa"/>
            <w:vAlign w:val="center"/>
          </w:tcPr>
          <w:p w14:paraId="647510C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7BA8B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680" w:type="dxa"/>
            <w:gridSpan w:val="2"/>
            <w:vAlign w:val="center"/>
          </w:tcPr>
          <w:p w14:paraId="284F204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134" w:type="dxa"/>
            <w:vAlign w:val="center"/>
          </w:tcPr>
          <w:p w14:paraId="24AD757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紧急电动运行控制</w:t>
            </w:r>
          </w:p>
        </w:tc>
        <w:tc>
          <w:tcPr>
            <w:tcW w:w="5953" w:type="dxa"/>
            <w:vAlign w:val="center"/>
          </w:tcPr>
          <w:p w14:paraId="3EC72D77">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(1)紧急电动运行控制功能有效。</w:t>
            </w:r>
          </w:p>
          <w:p w14:paraId="383D62EC">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(2)操作紧急电动运行开关后，依靠持续按压的按钮来控制轿厢运行，按钮上或者其附近清晰地标明运行方向；进行紧急电动运行操作时，易于观察轿厢是否在开锁区域。</w:t>
            </w:r>
          </w:p>
        </w:tc>
        <w:tc>
          <w:tcPr>
            <w:tcW w:w="1134" w:type="dxa"/>
            <w:vAlign w:val="center"/>
          </w:tcPr>
          <w:p w14:paraId="012AC86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4660B4C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567" w:type="dxa"/>
            <w:vAlign w:val="center"/>
          </w:tcPr>
          <w:p w14:paraId="1AEABAE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1247" w:type="dxa"/>
            <w:gridSpan w:val="2"/>
            <w:vAlign w:val="center"/>
          </w:tcPr>
          <w:p w14:paraId="0CBDB5C0">
            <w:pPr>
              <w:spacing w:line="360" w:lineRule="auto"/>
              <w:ind w:firstLine="0"/>
              <w:jc w:val="center"/>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紧急操作</w:t>
            </w:r>
          </w:p>
          <w:p w14:paraId="2EA04FC8">
            <w:pPr>
              <w:spacing w:line="360" w:lineRule="auto"/>
              <w:ind w:firstLine="0"/>
              <w:jc w:val="center"/>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和动态测</w:t>
            </w:r>
          </w:p>
          <w:p w14:paraId="478377B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pacing w:val="-6"/>
                <w:sz w:val="24"/>
                <w:szCs w:val="24"/>
              </w:rPr>
              <w:t>试功能</w:t>
            </w:r>
          </w:p>
        </w:tc>
        <w:tc>
          <w:tcPr>
            <w:tcW w:w="5953" w:type="dxa"/>
            <w:vAlign w:val="center"/>
          </w:tcPr>
          <w:p w14:paraId="0FF65D8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pacing w:val="-6"/>
                <w:sz w:val="24"/>
                <w:szCs w:val="24"/>
              </w:rPr>
              <w:t>检查紧急操作和动态测试功能是否有效。</w:t>
            </w:r>
          </w:p>
        </w:tc>
        <w:tc>
          <w:tcPr>
            <w:tcW w:w="1134" w:type="dxa"/>
            <w:vAlign w:val="center"/>
          </w:tcPr>
          <w:p w14:paraId="666A764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4D630B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17" w:hRule="atLeast"/>
          <w:jc w:val="center"/>
        </w:trPr>
        <w:tc>
          <w:tcPr>
            <w:tcW w:w="567" w:type="dxa"/>
            <w:vAlign w:val="center"/>
          </w:tcPr>
          <w:p w14:paraId="26705F1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247" w:type="dxa"/>
            <w:gridSpan w:val="2"/>
            <w:vAlign w:val="center"/>
          </w:tcPr>
          <w:p w14:paraId="684BCE9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紧急报警装置(对讲系统)</w:t>
            </w:r>
          </w:p>
        </w:tc>
        <w:tc>
          <w:tcPr>
            <w:tcW w:w="5953" w:type="dxa"/>
            <w:vAlign w:val="center"/>
          </w:tcPr>
          <w:p w14:paraId="785548E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检查其是否符合以下要求：</w:t>
            </w:r>
            <w:r>
              <w:rPr>
                <w:rFonts w:hint="eastAsia" w:ascii="宋体" w:hAnsi="宋体" w:eastAsia="宋体" w:cs="宋体"/>
                <w:color w:val="auto"/>
                <w:spacing w:val="-6"/>
                <w:sz w:val="24"/>
                <w:szCs w:val="24"/>
              </w:rPr>
              <w:t>轿厢内的紧急报警装置采用由应急电源供电的双向对讲系统与救援服务持续联系；如果电梯行程大于30m或者轿厢内与进行紧急操作处之间无法直接对话，则在轿厢内和进行紧急操作处还设置由应急电源供电的双向对讲系统或类似装置。</w:t>
            </w:r>
          </w:p>
        </w:tc>
        <w:tc>
          <w:tcPr>
            <w:tcW w:w="1134" w:type="dxa"/>
            <w:vAlign w:val="center"/>
          </w:tcPr>
          <w:p w14:paraId="338F31C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0E9ADCD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567" w:type="dxa"/>
            <w:vAlign w:val="center"/>
          </w:tcPr>
          <w:p w14:paraId="4F728AE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1247" w:type="dxa"/>
            <w:gridSpan w:val="2"/>
            <w:vAlign w:val="center"/>
          </w:tcPr>
          <w:p w14:paraId="497F4C0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驱动主机停止装置</w:t>
            </w:r>
          </w:p>
        </w:tc>
        <w:tc>
          <w:tcPr>
            <w:tcW w:w="5953" w:type="dxa"/>
            <w:vAlign w:val="center"/>
          </w:tcPr>
          <w:p w14:paraId="0B98A3C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pacing w:val="-6"/>
                <w:sz w:val="24"/>
                <w:szCs w:val="24"/>
              </w:rPr>
              <w:t>检查在驱动主机附近1m之内是否设有可以直接接近的主开关或者其他停止装置，并且功能有效。</w:t>
            </w:r>
          </w:p>
        </w:tc>
        <w:tc>
          <w:tcPr>
            <w:tcW w:w="1134" w:type="dxa"/>
            <w:vAlign w:val="center"/>
          </w:tcPr>
          <w:p w14:paraId="59BA3A4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08E9CD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84" w:hRule="atLeast"/>
          <w:jc w:val="center"/>
        </w:trPr>
        <w:tc>
          <w:tcPr>
            <w:tcW w:w="567" w:type="dxa"/>
            <w:vAlign w:val="center"/>
          </w:tcPr>
          <w:p w14:paraId="54419EF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1247" w:type="dxa"/>
            <w:gridSpan w:val="2"/>
            <w:vAlign w:val="center"/>
          </w:tcPr>
          <w:p w14:paraId="5754621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制动器</w:t>
            </w:r>
          </w:p>
        </w:tc>
        <w:tc>
          <w:tcPr>
            <w:tcW w:w="5953" w:type="dxa"/>
            <w:vAlign w:val="center"/>
          </w:tcPr>
          <w:p w14:paraId="65583D03">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(1)能够从井道外独立地测试每个制动组；</w:t>
            </w:r>
          </w:p>
          <w:p w14:paraId="0838C69B">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(2)制动器动作灵活，制动时制动闸瓦(制动钳)紧密、均匀地贴合在制动轮(制动盘)上，电梯运行时制动闸瓦(制动钳)与制动轮(制动盘)不发生摩擦，制动闸瓦(制动钳)以及制动轮(制动盘)工作面上无油污。</w:t>
            </w:r>
          </w:p>
          <w:p w14:paraId="5E6137B7">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(3)需要定期拆解保养的提供了拆解保养过程的视频或者照片等见证资料</w:t>
            </w:r>
          </w:p>
        </w:tc>
        <w:tc>
          <w:tcPr>
            <w:tcW w:w="1134" w:type="dxa"/>
            <w:vAlign w:val="center"/>
          </w:tcPr>
          <w:p w14:paraId="7E74641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47C216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52" w:hRule="atLeast"/>
          <w:jc w:val="center"/>
        </w:trPr>
        <w:tc>
          <w:tcPr>
            <w:tcW w:w="567" w:type="dxa"/>
            <w:vAlign w:val="center"/>
          </w:tcPr>
          <w:p w14:paraId="33C1AEB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1247" w:type="dxa"/>
            <w:gridSpan w:val="2"/>
            <w:vAlign w:val="center"/>
          </w:tcPr>
          <w:p w14:paraId="112B343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手动紧急操作装置</w:t>
            </w:r>
          </w:p>
        </w:tc>
        <w:tc>
          <w:tcPr>
            <w:tcW w:w="5953" w:type="dxa"/>
            <w:vAlign w:val="center"/>
          </w:tcPr>
          <w:p w14:paraId="3653E76C">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(1)对于曳引与强制驱动电梯，能够通过持续手动操作的机械装置或者由自动充电的紧急电源供电的电气装置打开驱动主机制动器，并且该装置的失效不会导致制动功能的失效；</w:t>
            </w:r>
          </w:p>
          <w:p w14:paraId="7762ED29">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(2)手动松开制动器后仅在重力作用下轿厢(运载装置)不能移动时，能够通过手动机械装置、独立于主电源供电的手动操作电动装置或者其他措施将轿厢(运载装置)移动到附近层站；</w:t>
            </w:r>
          </w:p>
          <w:p w14:paraId="286D47CE">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(3)如果电梯的移动可能带动手动机械装置，该装置是平滑和无辐条的轮子；</w:t>
            </w:r>
          </w:p>
          <w:p w14:paraId="5061DABE">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(4)如果手动机械装置可以从驱动主机上拆卸或者脱出，设有最迟在其连接到驱动主机时起作用的电气安全装置；</w:t>
            </w:r>
          </w:p>
          <w:p w14:paraId="4638E4FE">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(5)液压驱动电梯设有手动操作的紧急下降阀，以在失电时操纵该阀使轿厢向下移动至层站；</w:t>
            </w:r>
          </w:p>
          <w:p w14:paraId="720DB890">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(6)对于轿厢上装有安全钳或者夹紧装置的液压驱动电梯，永久性地安装手动泵，以通过操纵该泵使轿厢向上移动；</w:t>
            </w:r>
          </w:p>
          <w:p w14:paraId="3897FB52">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(7)在紧急操作处，易于检查轿厢是否在开锁区域。</w:t>
            </w:r>
          </w:p>
        </w:tc>
        <w:tc>
          <w:tcPr>
            <w:tcW w:w="1134" w:type="dxa"/>
            <w:vAlign w:val="center"/>
          </w:tcPr>
          <w:p w14:paraId="053009D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现场观察确认并实验验证</w:t>
            </w:r>
          </w:p>
        </w:tc>
      </w:tr>
      <w:tr w14:paraId="37C323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567" w:type="dxa"/>
            <w:vAlign w:val="center"/>
          </w:tcPr>
          <w:p w14:paraId="7204EC3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1247" w:type="dxa"/>
            <w:gridSpan w:val="2"/>
            <w:vAlign w:val="center"/>
          </w:tcPr>
          <w:p w14:paraId="32D9269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钢丝绳</w:t>
            </w:r>
          </w:p>
        </w:tc>
        <w:tc>
          <w:tcPr>
            <w:tcW w:w="5953" w:type="dxa"/>
            <w:vAlign w:val="center"/>
          </w:tcPr>
          <w:p w14:paraId="501EFBBC">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悬挂钢丝绳、补偿钢丝绳应当无笼状畸变、绳股挤出、扭结、部分压扁、弯折、严重锈蚀、铁锈填满绳股间隙、直径小于其公称直径的90%等达到报废条件的现象</w:t>
            </w:r>
          </w:p>
        </w:tc>
        <w:tc>
          <w:tcPr>
            <w:tcW w:w="1134" w:type="dxa"/>
            <w:vAlign w:val="center"/>
          </w:tcPr>
          <w:p w14:paraId="363A39D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12FF98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17" w:hRule="atLeast"/>
          <w:jc w:val="center"/>
        </w:trPr>
        <w:tc>
          <w:tcPr>
            <w:tcW w:w="567" w:type="dxa"/>
            <w:vAlign w:val="center"/>
          </w:tcPr>
          <w:p w14:paraId="2BAEEB1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1247" w:type="dxa"/>
            <w:gridSpan w:val="2"/>
            <w:vAlign w:val="center"/>
          </w:tcPr>
          <w:p w14:paraId="44F4D52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包覆带</w:t>
            </w:r>
          </w:p>
        </w:tc>
        <w:tc>
          <w:tcPr>
            <w:tcW w:w="5953" w:type="dxa"/>
            <w:vAlign w:val="center"/>
          </w:tcPr>
          <w:p w14:paraId="0F8674E5">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(1)无包覆层变形(如鼓包、压痕、折痕、凹陷等)、包覆带承载体外露或者刺出、承载体断裂等达到报废条件的现象；</w:t>
            </w:r>
          </w:p>
          <w:p w14:paraId="60CA1E39">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(2)设有监测每根包覆带承载体强度的装置，当检测到任一根承载体破断时，能够防止电梯的下一次正常启动；</w:t>
            </w:r>
          </w:p>
          <w:p w14:paraId="3B61D522">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(3)用于查看包覆带使用时间或者电梯启动次数的装置完好。</w:t>
            </w:r>
          </w:p>
        </w:tc>
        <w:tc>
          <w:tcPr>
            <w:tcW w:w="1134" w:type="dxa"/>
            <w:vAlign w:val="center"/>
          </w:tcPr>
          <w:p w14:paraId="2E8CFCF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1641313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567" w:type="dxa"/>
            <w:vAlign w:val="center"/>
          </w:tcPr>
          <w:p w14:paraId="7F96035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1247" w:type="dxa"/>
            <w:gridSpan w:val="2"/>
            <w:vAlign w:val="center"/>
          </w:tcPr>
          <w:p w14:paraId="14BDF4C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悬挂或装置端部固定</w:t>
            </w:r>
          </w:p>
        </w:tc>
        <w:tc>
          <w:tcPr>
            <w:tcW w:w="5953" w:type="dxa"/>
            <w:vAlign w:val="center"/>
          </w:tcPr>
          <w:p w14:paraId="09070568">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(1)悬挂装置的端部固定部件无裂纹、松动等现象，端接装置的弹簧、螺母、开口销等连接部件无缺损：</w:t>
            </w:r>
          </w:p>
          <w:p w14:paraId="239DCE38">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(2)对于强制驱动电梯，采用带楔块的压紧装置或者至少用两个绳夹将悬挂装置固定在卷筒上。</w:t>
            </w:r>
          </w:p>
        </w:tc>
        <w:tc>
          <w:tcPr>
            <w:tcW w:w="1134" w:type="dxa"/>
            <w:vAlign w:val="center"/>
          </w:tcPr>
          <w:p w14:paraId="1DC3F53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301AAEE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567" w:type="dxa"/>
            <w:vAlign w:val="center"/>
          </w:tcPr>
          <w:p w14:paraId="4A171EC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1247" w:type="dxa"/>
            <w:gridSpan w:val="2"/>
            <w:vAlign w:val="center"/>
          </w:tcPr>
          <w:p w14:paraId="3BEAFFC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异常伸长保护措施</w:t>
            </w:r>
          </w:p>
        </w:tc>
        <w:tc>
          <w:tcPr>
            <w:tcW w:w="5953" w:type="dxa"/>
            <w:vAlign w:val="center"/>
          </w:tcPr>
          <w:p w14:paraId="2D97E43F">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如果轿厢(运载装置)悬挂在包覆带或者两根钢丝绳上，检查当任意一根悬挂装置发生异常相对伸长时，能够通过电气安全装置防止电梯的正常运行。</w:t>
            </w:r>
          </w:p>
        </w:tc>
        <w:tc>
          <w:tcPr>
            <w:tcW w:w="1134" w:type="dxa"/>
            <w:vAlign w:val="center"/>
          </w:tcPr>
          <w:p w14:paraId="2E97C70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1F45BF8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35" w:hRule="atLeast"/>
          <w:jc w:val="center"/>
        </w:trPr>
        <w:tc>
          <w:tcPr>
            <w:tcW w:w="567" w:type="dxa"/>
            <w:vAlign w:val="center"/>
          </w:tcPr>
          <w:p w14:paraId="690B49B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1247" w:type="dxa"/>
            <w:gridSpan w:val="2"/>
            <w:vAlign w:val="center"/>
          </w:tcPr>
          <w:p w14:paraId="010B9D6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非金属材质反绳轮</w:t>
            </w:r>
          </w:p>
        </w:tc>
        <w:tc>
          <w:tcPr>
            <w:tcW w:w="5953" w:type="dxa"/>
            <w:vAlign w:val="center"/>
          </w:tcPr>
          <w:p w14:paraId="5DBD2E7A">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(1)电梯的额定速度不大于1.75m/s；</w:t>
            </w:r>
          </w:p>
          <w:p w14:paraId="120A29CF">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(2)反绳轮上或者附近设有永久固定和清晰的标识，标明反绳轮制造单位名称或者商标、制造日期、维护保养要求(如润滑方法与周期)及报废条件；</w:t>
            </w:r>
          </w:p>
          <w:p w14:paraId="4C891D25">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(3)维护保养单位按照要求进行了维护保养，并且提供了维护保养过程的视频或者照片等见证材料；</w:t>
            </w:r>
          </w:p>
          <w:p w14:paraId="655B9D7E">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(4)在进行各项试验前、后，均未出现悬挂装置脱离轮槽(带槽)、轮及轮轴偏转、固定结构变形等现象。</w:t>
            </w:r>
          </w:p>
          <w:p w14:paraId="724AA4F1">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对于未按照前款第(1)和第(2)项对非金属材质反绳轮进行过监督检验的电梯，应当至少符合前款第(3)和第(4)项的要求。</w:t>
            </w:r>
          </w:p>
        </w:tc>
        <w:tc>
          <w:tcPr>
            <w:tcW w:w="1134" w:type="dxa"/>
            <w:vAlign w:val="center"/>
          </w:tcPr>
          <w:p w14:paraId="06D4DE5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7BB345D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567" w:type="dxa"/>
            <w:vAlign w:val="center"/>
          </w:tcPr>
          <w:p w14:paraId="2B094B5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1247" w:type="dxa"/>
            <w:gridSpan w:val="2"/>
            <w:vAlign w:val="center"/>
          </w:tcPr>
          <w:p w14:paraId="4D824D6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轿厢安全窗电气安全装置</w:t>
            </w:r>
          </w:p>
        </w:tc>
        <w:tc>
          <w:tcPr>
            <w:tcW w:w="5953" w:type="dxa"/>
            <w:vAlign w:val="center"/>
          </w:tcPr>
          <w:p w14:paraId="6DFD5CFF">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安全窗的锁紧由电气安全装置验证，该装置动作后能够使电梯停止运行。</w:t>
            </w:r>
          </w:p>
        </w:tc>
        <w:tc>
          <w:tcPr>
            <w:tcW w:w="1134" w:type="dxa"/>
            <w:vAlign w:val="center"/>
          </w:tcPr>
          <w:p w14:paraId="1B395CE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5B367C8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567" w:type="dxa"/>
            <w:vAlign w:val="center"/>
          </w:tcPr>
          <w:p w14:paraId="2B59B40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1247" w:type="dxa"/>
            <w:gridSpan w:val="2"/>
            <w:vAlign w:val="center"/>
          </w:tcPr>
          <w:p w14:paraId="3DD589B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轿厢安全门电气安全装置</w:t>
            </w:r>
          </w:p>
        </w:tc>
        <w:tc>
          <w:tcPr>
            <w:tcW w:w="5953" w:type="dxa"/>
            <w:vAlign w:val="center"/>
          </w:tcPr>
          <w:p w14:paraId="73294DAF">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安全门的锁紧由电气安全装置予以验证</w:t>
            </w:r>
          </w:p>
        </w:tc>
        <w:tc>
          <w:tcPr>
            <w:tcW w:w="1134" w:type="dxa"/>
            <w:vAlign w:val="center"/>
          </w:tcPr>
          <w:p w14:paraId="3FEB976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5357B81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01" w:hRule="atLeast"/>
          <w:jc w:val="center"/>
        </w:trPr>
        <w:tc>
          <w:tcPr>
            <w:tcW w:w="567" w:type="dxa"/>
            <w:vAlign w:val="center"/>
          </w:tcPr>
          <w:p w14:paraId="64B6B2C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1247" w:type="dxa"/>
            <w:gridSpan w:val="2"/>
            <w:vAlign w:val="center"/>
          </w:tcPr>
          <w:p w14:paraId="24CB49E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对重(平衡重)块</w:t>
            </w:r>
          </w:p>
        </w:tc>
        <w:tc>
          <w:tcPr>
            <w:tcW w:w="5953" w:type="dxa"/>
            <w:vAlign w:val="center"/>
          </w:tcPr>
          <w:p w14:paraId="22A78FD7">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(1)对重(平衡重)块无松动、移位等现象；</w:t>
            </w:r>
          </w:p>
          <w:p w14:paraId="184C867E">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(2)具有能够快速识别对重(平衡重)块数量的措施(例如标明数量或者总高度)，并且该措施不会被混淆；</w:t>
            </w:r>
          </w:p>
          <w:p w14:paraId="6569598F">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(3)非金属材质对重(平衡重)块（架）上、轿顶上或者底坑内有清晰的标识，标明对重(平衡重)块制造单位名称或者商标和报废条件。</w:t>
            </w:r>
          </w:p>
        </w:tc>
        <w:tc>
          <w:tcPr>
            <w:tcW w:w="1134" w:type="dxa"/>
            <w:vAlign w:val="center"/>
          </w:tcPr>
          <w:p w14:paraId="722495C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08360E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567" w:type="dxa"/>
            <w:vAlign w:val="center"/>
          </w:tcPr>
          <w:p w14:paraId="153624C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22</w:t>
            </w:r>
          </w:p>
        </w:tc>
        <w:tc>
          <w:tcPr>
            <w:tcW w:w="1247" w:type="dxa"/>
            <w:gridSpan w:val="2"/>
            <w:vAlign w:val="center"/>
          </w:tcPr>
          <w:p w14:paraId="6F9FDA4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轿厢照明及通风</w:t>
            </w:r>
          </w:p>
        </w:tc>
        <w:tc>
          <w:tcPr>
            <w:tcW w:w="5953" w:type="dxa"/>
            <w:vAlign w:val="center"/>
          </w:tcPr>
          <w:p w14:paraId="385F210B">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(1)轿厢正常照明和通风有效；</w:t>
            </w:r>
          </w:p>
          <w:p w14:paraId="1FD782B1">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(2)在正常照明电源发生故障的情况下，由紧急电源供电的应急照明能够自动投入工作。</w:t>
            </w:r>
          </w:p>
        </w:tc>
        <w:tc>
          <w:tcPr>
            <w:tcW w:w="1134" w:type="dxa"/>
            <w:vAlign w:val="center"/>
          </w:tcPr>
          <w:p w14:paraId="0118CBF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58D988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17" w:hRule="atLeast"/>
          <w:jc w:val="center"/>
        </w:trPr>
        <w:tc>
          <w:tcPr>
            <w:tcW w:w="567" w:type="dxa"/>
            <w:vAlign w:val="center"/>
          </w:tcPr>
          <w:p w14:paraId="36700CC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23</w:t>
            </w:r>
          </w:p>
        </w:tc>
        <w:tc>
          <w:tcPr>
            <w:tcW w:w="1247" w:type="dxa"/>
            <w:gridSpan w:val="2"/>
            <w:vAlign w:val="center"/>
          </w:tcPr>
          <w:p w14:paraId="4F0CF8A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轿厢语音播报系统</w:t>
            </w:r>
          </w:p>
        </w:tc>
        <w:tc>
          <w:tcPr>
            <w:tcW w:w="5953" w:type="dxa"/>
            <w:vAlign w:val="center"/>
          </w:tcPr>
          <w:p w14:paraId="1537E95B">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轿厢内设有语音播报系统，在停电、故障停梯、轿厢位置校正(再平层除外)、自动救援操作装置启动以及接收火灾信号退出正常服务时进行语音播报，提示、安抚轿厢内乘客。</w:t>
            </w:r>
            <w:r>
              <w:rPr>
                <w:rFonts w:hint="eastAsia" w:ascii="宋体" w:hAnsi="宋体" w:eastAsia="宋体" w:cs="宋体"/>
                <w:color w:val="auto"/>
                <w:spacing w:val="-6"/>
                <w:kern w:val="0"/>
                <w:sz w:val="24"/>
                <w:szCs w:val="24"/>
                <w:lang w:val="en-US" w:eastAsia="zh-CN" w:bidi="ar-SA"/>
              </w:rPr>
              <w:t>（未按照 TSG T7001-2023对轿厢语音播报系统进行监督检验的电梯，此项可以不检验。）</w:t>
            </w:r>
          </w:p>
        </w:tc>
        <w:tc>
          <w:tcPr>
            <w:tcW w:w="1134" w:type="dxa"/>
            <w:vAlign w:val="center"/>
          </w:tcPr>
          <w:p w14:paraId="1560728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442801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04" w:hRule="atLeast"/>
          <w:jc w:val="center"/>
        </w:trPr>
        <w:tc>
          <w:tcPr>
            <w:tcW w:w="567" w:type="dxa"/>
            <w:vAlign w:val="center"/>
          </w:tcPr>
          <w:p w14:paraId="3725C25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24</w:t>
            </w:r>
          </w:p>
        </w:tc>
        <w:tc>
          <w:tcPr>
            <w:tcW w:w="1247" w:type="dxa"/>
            <w:gridSpan w:val="2"/>
            <w:vAlign w:val="center"/>
          </w:tcPr>
          <w:p w14:paraId="58237FF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门间隙</w:t>
            </w:r>
          </w:p>
        </w:tc>
        <w:tc>
          <w:tcPr>
            <w:tcW w:w="5953" w:type="dxa"/>
            <w:vAlign w:val="center"/>
          </w:tcPr>
          <w:p w14:paraId="4958AA50">
            <w:pPr>
              <w:widowControl w:val="0"/>
              <w:spacing w:line="360" w:lineRule="auto"/>
              <w:ind w:firstLine="0" w:firstLineChars="0"/>
              <w:jc w:val="both"/>
              <w:rPr>
                <w:rFonts w:hint="eastAsia" w:ascii="宋体" w:hAnsi="宋体" w:eastAsia="宋体" w:cs="宋体"/>
                <w:snapToGrid w:val="0"/>
                <w:color w:val="auto"/>
                <w:kern w:val="0"/>
                <w:sz w:val="24"/>
                <w:szCs w:val="24"/>
                <w:lang w:val="zh-CN" w:eastAsia="zh-CN" w:bidi="ar-SA"/>
              </w:rPr>
            </w:pPr>
            <w:r>
              <w:rPr>
                <w:rFonts w:hint="eastAsia" w:ascii="宋体" w:hAnsi="宋体" w:eastAsia="宋体" w:cs="宋体"/>
                <w:snapToGrid w:val="0"/>
                <w:color w:val="auto"/>
                <w:kern w:val="0"/>
                <w:sz w:val="24"/>
                <w:szCs w:val="24"/>
                <w:lang w:val="zh-CN" w:eastAsia="zh-CN" w:bidi="ar-SA"/>
              </w:rPr>
              <w:t>(1)门扇之间及门扇与立柱、门楣和地坎之间的间隙，对于乘客电梯不大于6mm；对于载货电梯不大于10mm。</w:t>
            </w:r>
          </w:p>
          <w:p w14:paraId="2594927B">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snapToGrid w:val="0"/>
                <w:color w:val="auto"/>
                <w:kern w:val="0"/>
                <w:sz w:val="24"/>
                <w:szCs w:val="24"/>
                <w:lang w:val="zh-CN" w:eastAsia="zh-CN" w:bidi="ar-SA"/>
              </w:rPr>
              <w:t>(2)在水平移动层门和折叠层门最快门扇的开启方向，以150N的力施加在一个最不利的点，本条第(1)项所述的间隙对于旁开门不大于30mm，对于中分门其总和不大于45mm。</w:t>
            </w:r>
          </w:p>
        </w:tc>
        <w:tc>
          <w:tcPr>
            <w:tcW w:w="1134" w:type="dxa"/>
            <w:vAlign w:val="center"/>
          </w:tcPr>
          <w:p w14:paraId="4938139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bl>
    <w:p w14:paraId="4C8AFC06">
      <w:pPr>
        <w:spacing w:line="240" w:lineRule="exact"/>
        <w:ind w:firstLine="0"/>
        <w:rPr>
          <w:rFonts w:hint="eastAsia" w:ascii="宋体" w:hAnsi="宋体" w:eastAsia="宋体" w:cs="宋体"/>
          <w:color w:val="auto"/>
        </w:rPr>
      </w:pPr>
    </w:p>
    <w:tbl>
      <w:tblPr>
        <w:tblStyle w:val="2"/>
        <w:tblW w:w="89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67"/>
        <w:gridCol w:w="1247"/>
        <w:gridCol w:w="5953"/>
        <w:gridCol w:w="1134"/>
      </w:tblGrid>
      <w:tr w14:paraId="1FA046F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17" w:hRule="atLeast"/>
          <w:jc w:val="center"/>
        </w:trPr>
        <w:tc>
          <w:tcPr>
            <w:tcW w:w="567" w:type="dxa"/>
            <w:vAlign w:val="center"/>
          </w:tcPr>
          <w:p w14:paraId="5B3B3DC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25</w:t>
            </w:r>
          </w:p>
        </w:tc>
        <w:tc>
          <w:tcPr>
            <w:tcW w:w="1247" w:type="dxa"/>
            <w:vAlign w:val="center"/>
          </w:tcPr>
          <w:p w14:paraId="3A2200A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门再开启保护装置</w:t>
            </w:r>
          </w:p>
        </w:tc>
        <w:tc>
          <w:tcPr>
            <w:tcW w:w="5953" w:type="dxa"/>
            <w:vAlign w:val="center"/>
          </w:tcPr>
          <w:p w14:paraId="70E216C7">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（1）检查自动水平滑动门关闭过程中人员通过入口时，保护装置是否能够自动使门重新开启。</w:t>
            </w:r>
          </w:p>
          <w:p w14:paraId="63CE4134">
            <w:pPr>
              <w:widowControl w:val="0"/>
              <w:spacing w:line="360" w:lineRule="auto"/>
              <w:ind w:firstLine="0" w:firstLineChars="0"/>
              <w:jc w:val="both"/>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color w:val="auto"/>
                <w:spacing w:val="-4"/>
                <w:kern w:val="0"/>
                <w:sz w:val="24"/>
                <w:szCs w:val="24"/>
                <w:lang w:val="en-US" w:eastAsia="zh-CN" w:bidi="ar-SA"/>
              </w:rPr>
              <w:t>（2）对于未按照前款要求对门再开启保护装置进行过监督检验的电梯，检查当人员通过入口被正在关闭的门扇撞击或者将被撞击时，保护装置是否能够自动使门重新开启。</w:t>
            </w:r>
          </w:p>
        </w:tc>
        <w:tc>
          <w:tcPr>
            <w:tcW w:w="1134" w:type="dxa"/>
            <w:vAlign w:val="center"/>
          </w:tcPr>
          <w:p w14:paraId="7654A80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72D248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84" w:hRule="atLeast"/>
          <w:jc w:val="center"/>
        </w:trPr>
        <w:tc>
          <w:tcPr>
            <w:tcW w:w="567" w:type="dxa"/>
            <w:vAlign w:val="center"/>
          </w:tcPr>
          <w:p w14:paraId="0E95DD5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26</w:t>
            </w:r>
          </w:p>
        </w:tc>
        <w:tc>
          <w:tcPr>
            <w:tcW w:w="1247" w:type="dxa"/>
            <w:vAlign w:val="center"/>
          </w:tcPr>
          <w:p w14:paraId="7724C8E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门的运行与导向</w:t>
            </w:r>
          </w:p>
        </w:tc>
        <w:tc>
          <w:tcPr>
            <w:tcW w:w="5953" w:type="dxa"/>
            <w:vAlign w:val="center"/>
          </w:tcPr>
          <w:p w14:paraId="5661D2A4">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(1)层门和轿门正常运行时无脱轨、机械卡阻或者错位现象；</w:t>
            </w:r>
          </w:p>
          <w:p w14:paraId="27D68F29">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(2)层门导向装置失效时，层门保持装置能够使层门保持在原有位置；</w:t>
            </w:r>
          </w:p>
          <w:p w14:paraId="6FE94A70">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(3)在层门底部的保持装置上或者其附近设有识别保持装置最小啮合深度的标记，并且层门底部保持装置的啮合深度不小于标记所示的最小啮合深度(未按照 TSG T7001-2023进行监督检验的此项可以不抽查)。</w:t>
            </w:r>
          </w:p>
        </w:tc>
        <w:tc>
          <w:tcPr>
            <w:tcW w:w="1134" w:type="dxa"/>
            <w:vAlign w:val="center"/>
          </w:tcPr>
          <w:p w14:paraId="3365DC9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7312E5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567" w:type="dxa"/>
            <w:vAlign w:val="center"/>
          </w:tcPr>
          <w:p w14:paraId="2030C4B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27</w:t>
            </w:r>
          </w:p>
        </w:tc>
        <w:tc>
          <w:tcPr>
            <w:tcW w:w="1247" w:type="dxa"/>
            <w:vAlign w:val="center"/>
          </w:tcPr>
          <w:p w14:paraId="771FBA2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自动关闭层门装置</w:t>
            </w:r>
          </w:p>
        </w:tc>
        <w:tc>
          <w:tcPr>
            <w:tcW w:w="5953" w:type="dxa"/>
            <w:vAlign w:val="center"/>
          </w:tcPr>
          <w:p w14:paraId="29882E6C">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(1)在轿门驱动层门的情况下，当轿厢在开锁区域之外时，自动关闭层门装置能够使开启的层门关闭；</w:t>
            </w:r>
          </w:p>
          <w:p w14:paraId="1DA17DD7">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(2)自动关闭层门装置采用重块的，其防止重块坠落的措施保持有效；对于防爆电梯，无火花措施保持完好。</w:t>
            </w:r>
          </w:p>
        </w:tc>
        <w:tc>
          <w:tcPr>
            <w:tcW w:w="1134" w:type="dxa"/>
            <w:vAlign w:val="center"/>
          </w:tcPr>
          <w:p w14:paraId="2064A4F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3DA6282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01" w:hRule="atLeast"/>
          <w:jc w:val="center"/>
        </w:trPr>
        <w:tc>
          <w:tcPr>
            <w:tcW w:w="567" w:type="dxa"/>
            <w:vAlign w:val="center"/>
          </w:tcPr>
          <w:p w14:paraId="22338A2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28</w:t>
            </w:r>
          </w:p>
        </w:tc>
        <w:tc>
          <w:tcPr>
            <w:tcW w:w="1247" w:type="dxa"/>
            <w:vAlign w:val="center"/>
          </w:tcPr>
          <w:p w14:paraId="4781206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紧急开锁</w:t>
            </w:r>
          </w:p>
        </w:tc>
        <w:tc>
          <w:tcPr>
            <w:tcW w:w="5953" w:type="dxa"/>
            <w:vAlign w:val="center"/>
          </w:tcPr>
          <w:p w14:paraId="7008C812">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(1)每个层门均能够被专用钥匙从外面开启；紧急开锁后，在层门闭合时门锁装置未保持在开锁位置。</w:t>
            </w:r>
          </w:p>
          <w:p w14:paraId="44A6B344">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w:t>
            </w:r>
            <w:r>
              <w:rPr>
                <w:rFonts w:hint="eastAsia" w:ascii="宋体" w:hAnsi="宋体" w:eastAsia="宋体" w:cs="宋体"/>
                <w:color w:val="auto"/>
                <w:spacing w:val="6"/>
                <w:kern w:val="0"/>
                <w:sz w:val="24"/>
                <w:szCs w:val="24"/>
                <w:lang w:val="en-US" w:eastAsia="zh-CN" w:bidi="ar-SA"/>
              </w:rPr>
              <w:t>如果只能通过层门进入底坑，则从底坑爬梯并且在高度1.80m内和最大水平距离0.80m范围内能够安全地触及门锁，或者能够通过永久设置的装置从底坑中打开层门</w:t>
            </w:r>
            <w:r>
              <w:rPr>
                <w:rFonts w:hint="eastAsia" w:ascii="宋体" w:hAnsi="宋体" w:eastAsia="宋体" w:cs="宋体"/>
                <w:color w:val="auto"/>
                <w:kern w:val="0"/>
                <w:sz w:val="24"/>
                <w:szCs w:val="24"/>
                <w:lang w:val="en-US" w:eastAsia="zh-CN" w:bidi="ar-SA"/>
              </w:rPr>
              <w:t>(未按照 TSG T7001-2023进行监督检验的此项可以不抽查)</w:t>
            </w:r>
            <w:r>
              <w:rPr>
                <w:rFonts w:hint="eastAsia" w:ascii="宋体" w:hAnsi="宋体" w:eastAsia="宋体" w:cs="宋体"/>
                <w:color w:val="auto"/>
                <w:spacing w:val="6"/>
                <w:kern w:val="0"/>
                <w:sz w:val="24"/>
                <w:szCs w:val="24"/>
                <w:lang w:val="en-US" w:eastAsia="zh-CN" w:bidi="ar-SA"/>
              </w:rPr>
              <w:t>。</w:t>
            </w:r>
          </w:p>
        </w:tc>
        <w:tc>
          <w:tcPr>
            <w:tcW w:w="1134" w:type="dxa"/>
            <w:vAlign w:val="center"/>
          </w:tcPr>
          <w:p w14:paraId="78C3B08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2E6441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68" w:hRule="atLeast"/>
          <w:jc w:val="center"/>
        </w:trPr>
        <w:tc>
          <w:tcPr>
            <w:tcW w:w="567" w:type="dxa"/>
            <w:vAlign w:val="center"/>
          </w:tcPr>
          <w:p w14:paraId="4C6CCD4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29</w:t>
            </w:r>
          </w:p>
        </w:tc>
        <w:tc>
          <w:tcPr>
            <w:tcW w:w="1247" w:type="dxa"/>
            <w:vAlign w:val="center"/>
          </w:tcPr>
          <w:p w14:paraId="656E89A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门的锁紧与闭合</w:t>
            </w:r>
          </w:p>
        </w:tc>
        <w:tc>
          <w:tcPr>
            <w:tcW w:w="5953" w:type="dxa"/>
            <w:vAlign w:val="center"/>
          </w:tcPr>
          <w:p w14:paraId="406A0838">
            <w:pPr>
              <w:spacing w:line="360" w:lineRule="auto"/>
              <w:ind w:firstLine="0"/>
              <w:contextualSpacing/>
              <w:rPr>
                <w:rFonts w:hint="eastAsia" w:ascii="宋体" w:hAnsi="宋体" w:eastAsia="宋体" w:cs="宋体"/>
                <w:snapToGrid w:val="0"/>
                <w:color w:val="auto"/>
                <w:sz w:val="24"/>
                <w:szCs w:val="24"/>
                <w:lang w:val="zh-CN"/>
              </w:rPr>
            </w:pPr>
            <w:r>
              <w:rPr>
                <w:rFonts w:hint="eastAsia" w:ascii="宋体" w:hAnsi="宋体" w:eastAsia="宋体" w:cs="宋体"/>
                <w:snapToGrid w:val="0"/>
                <w:color w:val="auto"/>
                <w:sz w:val="24"/>
                <w:szCs w:val="24"/>
                <w:lang w:val="zh-CN"/>
              </w:rPr>
              <w:t>(1)锁紧动作由重力、永久磁铁或者弹簧来产生和保持，即使永久磁铁或者弹簧失效，重力也不能导致开锁；</w:t>
            </w:r>
          </w:p>
          <w:p w14:paraId="195B293A">
            <w:pPr>
              <w:spacing w:line="360" w:lineRule="auto"/>
              <w:ind w:firstLine="0"/>
              <w:contextualSpacing/>
              <w:rPr>
                <w:rFonts w:hint="eastAsia" w:ascii="宋体" w:hAnsi="宋体" w:eastAsia="宋体" w:cs="宋体"/>
                <w:snapToGrid w:val="0"/>
                <w:color w:val="auto"/>
                <w:sz w:val="24"/>
                <w:szCs w:val="24"/>
                <w:lang w:val="zh-CN"/>
              </w:rPr>
            </w:pPr>
            <w:r>
              <w:rPr>
                <w:rFonts w:hint="eastAsia" w:ascii="宋体" w:hAnsi="宋体" w:eastAsia="宋体" w:cs="宋体"/>
                <w:snapToGrid w:val="0"/>
                <w:color w:val="auto"/>
                <w:sz w:val="24"/>
                <w:szCs w:val="24"/>
                <w:lang w:val="zh-CN"/>
              </w:rPr>
              <w:t>(2)轿厢(运载装置)在锁紧元件啮合不小于7mm时才能启动；</w:t>
            </w:r>
          </w:p>
          <w:p w14:paraId="486C9F61">
            <w:pPr>
              <w:spacing w:line="360" w:lineRule="auto"/>
              <w:ind w:firstLine="0"/>
              <w:contextualSpacing/>
              <w:rPr>
                <w:rFonts w:hint="eastAsia" w:ascii="宋体" w:hAnsi="宋体" w:eastAsia="宋体" w:cs="宋体"/>
                <w:snapToGrid w:val="0"/>
                <w:color w:val="auto"/>
                <w:sz w:val="24"/>
                <w:szCs w:val="24"/>
                <w:lang w:val="zh-CN"/>
              </w:rPr>
            </w:pPr>
            <w:r>
              <w:rPr>
                <w:rFonts w:hint="eastAsia" w:ascii="宋体" w:hAnsi="宋体" w:eastAsia="宋体" w:cs="宋体"/>
                <w:snapToGrid w:val="0"/>
                <w:color w:val="auto"/>
                <w:sz w:val="24"/>
                <w:szCs w:val="24"/>
                <w:lang w:val="zh-CN"/>
              </w:rPr>
              <w:t>(3)检查层门、轿门锁紧状态的电气安全装置功能有效；</w:t>
            </w:r>
          </w:p>
          <w:p w14:paraId="2CB700AA">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snapToGrid w:val="0"/>
                <w:color w:val="auto"/>
                <w:kern w:val="0"/>
                <w:sz w:val="24"/>
                <w:szCs w:val="24"/>
                <w:lang w:val="zh-CN" w:eastAsia="zh-CN" w:bidi="ar-SA"/>
              </w:rPr>
              <w:t>(4)每个层门和轿门的闭合均由电气安全装置来验证；如果滑动门是由数个间接机械连接的门扇组成，则未被锁住的门扇上设有电气安全装置以验证其闭合状态；与门的驱动部件直接机械连接的轿门门扇可以不设置电气安全装置。</w:t>
            </w:r>
          </w:p>
        </w:tc>
        <w:tc>
          <w:tcPr>
            <w:tcW w:w="1134" w:type="dxa"/>
            <w:vAlign w:val="center"/>
          </w:tcPr>
          <w:p w14:paraId="6A56258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74BB56A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84" w:hRule="atLeast"/>
          <w:jc w:val="center"/>
        </w:trPr>
        <w:tc>
          <w:tcPr>
            <w:tcW w:w="567" w:type="dxa"/>
            <w:vAlign w:val="center"/>
          </w:tcPr>
          <w:p w14:paraId="658C38A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30</w:t>
            </w:r>
          </w:p>
        </w:tc>
        <w:tc>
          <w:tcPr>
            <w:tcW w:w="1247" w:type="dxa"/>
            <w:vAlign w:val="center"/>
          </w:tcPr>
          <w:p w14:paraId="3701CA6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应急救援试验</w:t>
            </w:r>
          </w:p>
        </w:tc>
        <w:tc>
          <w:tcPr>
            <w:tcW w:w="5953" w:type="dxa"/>
            <w:vAlign w:val="center"/>
          </w:tcPr>
          <w:p w14:paraId="1F36DB81">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(1)检查机房内或者紧急和测试操作屏上是否设有清晰的应急救援程序；</w:t>
            </w:r>
          </w:p>
          <w:p w14:paraId="46674B30">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(2)检查建筑物内的救援通道是否保持通畅，应急救援人员是否能够无阻碍地抵达实施紧急操作的位置，以及各层站处；</w:t>
            </w:r>
          </w:p>
          <w:p w14:paraId="4830A738">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（3）在空载工况下，模拟停电和停梯故障，按照相应的应急救援程序进行操作。观察是否能够安全、及时的解救被困人员。</w:t>
            </w:r>
          </w:p>
        </w:tc>
        <w:tc>
          <w:tcPr>
            <w:tcW w:w="1134" w:type="dxa"/>
            <w:vAlign w:val="center"/>
          </w:tcPr>
          <w:p w14:paraId="7AB39D8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2EC501B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6D9F9D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48" w:hRule="atLeast"/>
          <w:jc w:val="center"/>
        </w:trPr>
        <w:tc>
          <w:tcPr>
            <w:tcW w:w="567" w:type="dxa"/>
            <w:vAlign w:val="center"/>
          </w:tcPr>
          <w:p w14:paraId="64243A6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31</w:t>
            </w:r>
          </w:p>
        </w:tc>
        <w:tc>
          <w:tcPr>
            <w:tcW w:w="1247" w:type="dxa"/>
            <w:vAlign w:val="center"/>
          </w:tcPr>
          <w:p w14:paraId="0E016EA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对重(平衡重)限速器-安全钳联动试验</w:t>
            </w:r>
          </w:p>
        </w:tc>
        <w:tc>
          <w:tcPr>
            <w:tcW w:w="5953" w:type="dxa"/>
            <w:vAlign w:val="center"/>
          </w:tcPr>
          <w:p w14:paraId="6DE7A067">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以轿厢空载，以检修速度上行进行限速器-安全钳联动试验，观察限速器、安全钳动作是否可靠，试验后，未出现对电梯正常使用有不利影响的损坏</w:t>
            </w:r>
          </w:p>
        </w:tc>
        <w:tc>
          <w:tcPr>
            <w:tcW w:w="1134" w:type="dxa"/>
            <w:vAlign w:val="center"/>
          </w:tcPr>
          <w:p w14:paraId="550130E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141FCFF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567" w:type="dxa"/>
            <w:vAlign w:val="center"/>
          </w:tcPr>
          <w:p w14:paraId="146ACD7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32</w:t>
            </w:r>
          </w:p>
        </w:tc>
        <w:tc>
          <w:tcPr>
            <w:tcW w:w="1247" w:type="dxa"/>
            <w:vAlign w:val="center"/>
          </w:tcPr>
          <w:p w14:paraId="652D0DA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轿厢(运载装置)限速器-安全钳</w:t>
            </w:r>
          </w:p>
          <w:p w14:paraId="68C32FC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试验</w:t>
            </w:r>
          </w:p>
        </w:tc>
        <w:tc>
          <w:tcPr>
            <w:tcW w:w="5953" w:type="dxa"/>
            <w:vAlign w:val="center"/>
          </w:tcPr>
          <w:p w14:paraId="4FF028A3">
            <w:pPr>
              <w:spacing w:line="360" w:lineRule="auto"/>
              <w:ind w:firstLine="0"/>
              <w:outlineLvl w:val="3"/>
              <w:rPr>
                <w:rFonts w:hint="eastAsia" w:ascii="宋体" w:hAnsi="宋体" w:eastAsia="宋体" w:cs="宋体"/>
                <w:color w:val="auto"/>
                <w:sz w:val="24"/>
                <w:szCs w:val="24"/>
              </w:rPr>
            </w:pPr>
            <w:r>
              <w:rPr>
                <w:rFonts w:hint="eastAsia" w:ascii="宋体" w:hAnsi="宋体" w:eastAsia="宋体" w:cs="宋体"/>
                <w:color w:val="auto"/>
                <w:sz w:val="24"/>
                <w:szCs w:val="24"/>
              </w:rPr>
              <w:t>（1）检查限速器各调节部位封记完好，运转时无碰擦、卡阻、转动不灵活等现象，动作正常；动作速度符合要求。抽查现场可以通过查看限速器调试证书、校验记录，结合限速器的状态确认其动作速度是否符合要求；发现调节部位封记缺损等可能影响限速器动作速度的情况，抽查人员应当通过现场见证施工或者维护保养单位测试的方式予以确认。</w:t>
            </w:r>
          </w:p>
          <w:p w14:paraId="1B6FF04C">
            <w:pPr>
              <w:spacing w:line="360" w:lineRule="auto"/>
              <w:ind w:firstLine="0"/>
              <w:outlineLvl w:val="3"/>
              <w:rPr>
                <w:rFonts w:hint="eastAsia" w:ascii="宋体" w:hAnsi="宋体" w:eastAsia="宋体" w:cs="宋体"/>
                <w:color w:val="auto"/>
                <w:sz w:val="24"/>
                <w:szCs w:val="24"/>
              </w:rPr>
            </w:pPr>
            <w:r>
              <w:rPr>
                <w:rFonts w:hint="eastAsia" w:ascii="宋体" w:hAnsi="宋体" w:eastAsia="宋体" w:cs="宋体"/>
                <w:color w:val="auto"/>
                <w:sz w:val="24"/>
                <w:szCs w:val="24"/>
              </w:rPr>
              <w:t>（2）检查限速器或者其他装置上设置的在轿厢(运载装置)上行、下行速度达到限速器动作速度之前动作的电气安全装置；对于安全钳释放后限速器不能自动复位的，用于验证限速器复位状态的电气安全装置；用于检查限速器绳断裂或者过分伸长的电气安全装置；轿厢(运载装置)上设置的在轿厢(运载装置)安全钳动作以前或者同时使驱动主机停止运转的电气安全装置。</w:t>
            </w:r>
          </w:p>
          <w:p w14:paraId="1AF77E82">
            <w:pPr>
              <w:widowControl w:val="0"/>
              <w:spacing w:line="360" w:lineRule="auto"/>
              <w:ind w:firstLine="0" w:firstLineChars="0"/>
              <w:jc w:val="both"/>
              <w:rPr>
                <w:rFonts w:hint="eastAsia" w:ascii="宋体" w:hAnsi="宋体" w:eastAsia="宋体" w:cs="宋体"/>
                <w:color w:val="auto"/>
                <w:spacing w:val="-10"/>
                <w:kern w:val="0"/>
                <w:sz w:val="24"/>
                <w:szCs w:val="24"/>
                <w:lang w:val="en-US" w:eastAsia="zh-CN" w:bidi="ar-SA"/>
              </w:rPr>
            </w:pPr>
            <w:r>
              <w:rPr>
                <w:rFonts w:hint="eastAsia" w:ascii="宋体" w:hAnsi="宋体" w:eastAsia="宋体" w:cs="宋体"/>
                <w:color w:val="auto"/>
                <w:kern w:val="0"/>
                <w:sz w:val="24"/>
                <w:szCs w:val="24"/>
                <w:lang w:val="en-US" w:eastAsia="zh-CN" w:bidi="ar-SA"/>
              </w:rPr>
              <w:t>（3）轿厢空载，以检修速度下行进行限速器-安全钳联动试验，观察限速器、安全钳动作是否可靠，试验后，未出现对电梯正常使用有不利影响的损坏)。</w:t>
            </w:r>
          </w:p>
        </w:tc>
        <w:tc>
          <w:tcPr>
            <w:tcW w:w="1134" w:type="dxa"/>
            <w:vAlign w:val="center"/>
          </w:tcPr>
          <w:p w14:paraId="44E73CE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515245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567" w:type="dxa"/>
            <w:vAlign w:val="center"/>
          </w:tcPr>
          <w:p w14:paraId="0EB1CC6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33</w:t>
            </w:r>
          </w:p>
        </w:tc>
        <w:tc>
          <w:tcPr>
            <w:tcW w:w="1247" w:type="dxa"/>
            <w:vAlign w:val="center"/>
          </w:tcPr>
          <w:p w14:paraId="1505D09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缓冲器</w:t>
            </w:r>
          </w:p>
          <w:p w14:paraId="20DDFAD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试验</w:t>
            </w:r>
          </w:p>
        </w:tc>
        <w:tc>
          <w:tcPr>
            <w:tcW w:w="5953" w:type="dxa"/>
            <w:vAlign w:val="center"/>
          </w:tcPr>
          <w:p w14:paraId="768245CD">
            <w:pPr>
              <w:widowControl w:val="0"/>
              <w:spacing w:line="360" w:lineRule="auto"/>
              <w:ind w:firstLine="0" w:firstLineChars="0"/>
              <w:jc w:val="both"/>
              <w:rPr>
                <w:rFonts w:hint="eastAsia" w:ascii="宋体" w:hAnsi="宋体" w:eastAsia="宋体" w:cs="宋体"/>
                <w:color w:val="auto"/>
                <w:spacing w:val="-10"/>
                <w:kern w:val="0"/>
                <w:sz w:val="24"/>
                <w:szCs w:val="24"/>
                <w:lang w:val="en-US" w:eastAsia="zh-CN" w:bidi="ar-SA"/>
              </w:rPr>
            </w:pPr>
            <w:r>
              <w:rPr>
                <w:rFonts w:hint="eastAsia" w:ascii="宋体" w:hAnsi="宋体" w:eastAsia="宋体" w:cs="宋体"/>
                <w:color w:val="auto"/>
                <w:kern w:val="0"/>
                <w:sz w:val="24"/>
                <w:szCs w:val="24"/>
                <w:lang w:val="en-US" w:eastAsia="zh-CN" w:bidi="ar-SA"/>
              </w:rPr>
              <w:t>轿厢空载，以检修速度运行的工况使缓冲器被压缩，轿厢(运载装置)、对重停在其上再离开后，观察缓冲器是否未出现对电梯正常使用有不利影响的损坏(如明显倾斜断裂、塑性变形、剥落、破损等)。</w:t>
            </w:r>
          </w:p>
        </w:tc>
        <w:tc>
          <w:tcPr>
            <w:tcW w:w="1134" w:type="dxa"/>
            <w:vAlign w:val="center"/>
          </w:tcPr>
          <w:p w14:paraId="7059527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022DFB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51" w:hRule="atLeast"/>
          <w:jc w:val="center"/>
        </w:trPr>
        <w:tc>
          <w:tcPr>
            <w:tcW w:w="567" w:type="dxa"/>
            <w:vAlign w:val="center"/>
          </w:tcPr>
          <w:p w14:paraId="7F08690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34</w:t>
            </w:r>
          </w:p>
        </w:tc>
        <w:tc>
          <w:tcPr>
            <w:tcW w:w="1247" w:type="dxa"/>
            <w:vAlign w:val="center"/>
          </w:tcPr>
          <w:p w14:paraId="130BCC2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轿厢上行超速保护装置试验</w:t>
            </w:r>
          </w:p>
        </w:tc>
        <w:tc>
          <w:tcPr>
            <w:tcW w:w="5953" w:type="dxa"/>
            <w:vAlign w:val="center"/>
          </w:tcPr>
          <w:p w14:paraId="71053736">
            <w:pPr>
              <w:widowControl w:val="0"/>
              <w:spacing w:line="360" w:lineRule="auto"/>
              <w:ind w:firstLine="0" w:firstLineChars="0"/>
              <w:jc w:val="both"/>
              <w:rPr>
                <w:rFonts w:hint="eastAsia" w:ascii="宋体" w:hAnsi="宋体" w:eastAsia="宋体" w:cs="宋体"/>
                <w:color w:val="auto"/>
                <w:spacing w:val="-10"/>
                <w:kern w:val="0"/>
                <w:sz w:val="24"/>
                <w:szCs w:val="24"/>
                <w:lang w:val="en-US" w:eastAsia="zh-CN" w:bidi="ar-SA"/>
              </w:rPr>
            </w:pPr>
            <w:r>
              <w:rPr>
                <w:rFonts w:hint="eastAsia" w:ascii="宋体" w:hAnsi="宋体" w:eastAsia="宋体" w:cs="宋体"/>
                <w:color w:val="auto"/>
                <w:spacing w:val="-10"/>
                <w:kern w:val="0"/>
                <w:sz w:val="24"/>
                <w:szCs w:val="24"/>
                <w:lang w:val="en-US" w:eastAsia="zh-CN" w:bidi="ar-SA"/>
              </w:rPr>
              <w:t>（1）检查控制柜或者紧急和测试操作屏上是否标有轿厢上行超速保护装置动作试验方法。</w:t>
            </w:r>
          </w:p>
          <w:p w14:paraId="0B9CB799">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（2）检查轿厢上行超速保护装置上的电气安全装置功能是否有效。</w:t>
            </w:r>
          </w:p>
          <w:p w14:paraId="40517E6F">
            <w:pPr>
              <w:widowControl w:val="0"/>
              <w:spacing w:line="360" w:lineRule="auto"/>
              <w:ind w:firstLine="0" w:firstLineChars="0"/>
              <w:jc w:val="both"/>
              <w:rPr>
                <w:rFonts w:hint="eastAsia" w:ascii="宋体" w:hAnsi="宋体" w:eastAsia="宋体" w:cs="宋体"/>
                <w:color w:val="auto"/>
                <w:spacing w:val="-10"/>
                <w:kern w:val="0"/>
                <w:sz w:val="24"/>
                <w:szCs w:val="24"/>
                <w:lang w:val="en-US" w:eastAsia="zh-CN" w:bidi="ar-SA"/>
              </w:rPr>
            </w:pPr>
            <w:r>
              <w:rPr>
                <w:rFonts w:hint="eastAsia" w:ascii="宋体" w:hAnsi="宋体" w:eastAsia="宋体" w:cs="宋体"/>
                <w:color w:val="auto"/>
                <w:spacing w:val="-10"/>
                <w:kern w:val="0"/>
                <w:sz w:val="24"/>
                <w:szCs w:val="24"/>
                <w:lang w:val="en-US" w:eastAsia="zh-CN" w:bidi="ar-SA"/>
              </w:rPr>
              <w:t>（3）采用存在内部冗余的制动器作为轿厢上行超速保护装置减速部件的，检查当制动器机械部件动作(松开或者制动)失效或者制动力不足时，是否能够防止电梯正常运行；</w:t>
            </w:r>
          </w:p>
          <w:p w14:paraId="50459EC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pacing w:val="-10"/>
                <w:sz w:val="24"/>
                <w:szCs w:val="24"/>
              </w:rPr>
              <w:t>(4)按照以上所述的试验方法进行动作试验，观察轿厢上行超速保护装置动作是否可靠。</w:t>
            </w:r>
          </w:p>
        </w:tc>
        <w:tc>
          <w:tcPr>
            <w:tcW w:w="1134" w:type="dxa"/>
            <w:vAlign w:val="center"/>
          </w:tcPr>
          <w:p w14:paraId="79F066D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78C70B7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44" w:hRule="atLeast"/>
          <w:jc w:val="center"/>
        </w:trPr>
        <w:tc>
          <w:tcPr>
            <w:tcW w:w="567" w:type="dxa"/>
            <w:vAlign w:val="center"/>
          </w:tcPr>
          <w:p w14:paraId="4511D5B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35</w:t>
            </w:r>
          </w:p>
        </w:tc>
        <w:tc>
          <w:tcPr>
            <w:tcW w:w="1247" w:type="dxa"/>
            <w:vAlign w:val="center"/>
          </w:tcPr>
          <w:p w14:paraId="4ED2396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轿厢意外移动保护装置试验</w:t>
            </w:r>
          </w:p>
        </w:tc>
        <w:tc>
          <w:tcPr>
            <w:tcW w:w="5953" w:type="dxa"/>
            <w:vAlign w:val="center"/>
          </w:tcPr>
          <w:p w14:paraId="45AB1C15">
            <w:pPr>
              <w:widowControl w:val="0"/>
              <w:spacing w:line="360" w:lineRule="auto"/>
              <w:ind w:firstLine="0" w:firstLineChars="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（1）检查控制柜或者紧急和测试操作屏上是否标有轿厢意外移动保护装置动作试验方法。</w:t>
            </w:r>
          </w:p>
          <w:p w14:paraId="17071971">
            <w:pPr>
              <w:widowControl w:val="0"/>
              <w:spacing w:line="360" w:lineRule="auto"/>
              <w:ind w:firstLine="0" w:firstLineChars="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（2）检查轿厢意外移动保护装置上的电气安全装置功能是否有效。</w:t>
            </w:r>
          </w:p>
          <w:p w14:paraId="122C504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（3）采用存在内部冗余的制动器作为轿厢意外移动保护装置制停部件的，检查当制动器机械部件动作(松开或者制动)失效或者制动力不足时，是否能够关闭轿门和层门，并且能够防止电梯正常运行。</w:t>
            </w:r>
          </w:p>
          <w:p w14:paraId="4FCAA4B8">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(4)按照以上所述的试验方法进行动作试验，观察轿厢意外移动保护装置动作是否可靠。</w:t>
            </w:r>
          </w:p>
        </w:tc>
        <w:tc>
          <w:tcPr>
            <w:tcW w:w="1134" w:type="dxa"/>
            <w:vAlign w:val="center"/>
          </w:tcPr>
          <w:p w14:paraId="2A956D4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1D1B2E3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567" w:type="dxa"/>
            <w:vAlign w:val="center"/>
          </w:tcPr>
          <w:p w14:paraId="4122A3D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36</w:t>
            </w:r>
          </w:p>
        </w:tc>
        <w:tc>
          <w:tcPr>
            <w:tcW w:w="1247" w:type="dxa"/>
            <w:vAlign w:val="center"/>
          </w:tcPr>
          <w:p w14:paraId="55425BA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空载工况曳引能力试验</w:t>
            </w:r>
          </w:p>
        </w:tc>
        <w:tc>
          <w:tcPr>
            <w:tcW w:w="5953" w:type="dxa"/>
            <w:vAlign w:val="center"/>
          </w:tcPr>
          <w:p w14:paraId="72D530AF">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(1)轿厢空载，当对重压在缓冲器上而驱动主机按电梯上行方向旋转时，观察悬挂装置是否相对曳引轮打滑，或者驱动主机停止运转；</w:t>
            </w:r>
          </w:p>
          <w:p w14:paraId="06BF4DE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(2)轿厢空载，以额定速度上行至行程上部，切断电动机与制动器供电，观察轿厢(运载装置)是否完全停止。</w:t>
            </w:r>
          </w:p>
        </w:tc>
        <w:tc>
          <w:tcPr>
            <w:tcW w:w="1134" w:type="dxa"/>
            <w:vAlign w:val="center"/>
          </w:tcPr>
          <w:p w14:paraId="455E7F7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748D44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567" w:type="dxa"/>
            <w:vAlign w:val="center"/>
          </w:tcPr>
          <w:p w14:paraId="6099307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35</w:t>
            </w:r>
          </w:p>
        </w:tc>
        <w:tc>
          <w:tcPr>
            <w:tcW w:w="1247" w:type="dxa"/>
            <w:vAlign w:val="center"/>
          </w:tcPr>
          <w:p w14:paraId="1AF2A9D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运行试验</w:t>
            </w:r>
          </w:p>
        </w:tc>
        <w:tc>
          <w:tcPr>
            <w:tcW w:w="5953" w:type="dxa"/>
            <w:vAlign w:val="center"/>
          </w:tcPr>
          <w:p w14:paraId="5F594629">
            <w:pPr>
              <w:spacing w:line="360" w:lineRule="auto"/>
              <w:ind w:firstLine="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rPr>
              <w:t>在轿厢空载工况下，以额定速度上、下运行，观察呼梯、楼层显示等信号系统是否功能有效、指示正确、动作无误，轿厢平层良好，无异常现象发生。</w:t>
            </w:r>
          </w:p>
        </w:tc>
        <w:tc>
          <w:tcPr>
            <w:tcW w:w="1134" w:type="dxa"/>
            <w:vAlign w:val="center"/>
          </w:tcPr>
          <w:p w14:paraId="3EBD564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bl>
    <w:p w14:paraId="07D654A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各类乘客与载货电梯检验质量监督抽查包含但不限于以上内容，项目1-37项为曳引驱动乘客电梯与载货电梯定期检验项目，部分项目适用于强制驱动载货电梯、液压乘客与载货电梯、曳引驱动消防员电梯、曳引驱动防爆电梯、液压驱动防爆电梯曳引驱动斜行乘客与载货电梯、强制驱动斜行乘客与载货电梯。检验质量监督抽查现场根据被抽查电梯实际情况，依据《电梯监督检验和定期检验规则》（TSG T 7001-2023）规定的相关项目进行监督抽查。</w:t>
      </w:r>
    </w:p>
    <w:p w14:paraId="1EA782B2">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543C82A2">
      <w:pPr>
        <w:spacing w:line="56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自动扶梯与自动人行道检验质量监督抽查</w:t>
      </w:r>
    </w:p>
    <w:p w14:paraId="512C0B76">
      <w:pPr>
        <w:spacing w:line="240" w:lineRule="exact"/>
        <w:ind w:firstLine="0"/>
        <w:jc w:val="center"/>
        <w:rPr>
          <w:rFonts w:hint="eastAsia" w:ascii="宋体" w:hAnsi="宋体" w:eastAsia="宋体" w:cs="宋体"/>
          <w:color w:val="auto"/>
          <w:szCs w:val="21"/>
        </w:rPr>
      </w:pPr>
    </w:p>
    <w:tbl>
      <w:tblPr>
        <w:tblStyle w:val="3"/>
        <w:tblW w:w="89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2976"/>
        <w:gridCol w:w="2977"/>
        <w:gridCol w:w="1134"/>
      </w:tblGrid>
      <w:tr w14:paraId="120A48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603A4A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134" w:type="dxa"/>
            <w:vAlign w:val="center"/>
          </w:tcPr>
          <w:p w14:paraId="5C81A08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953" w:type="dxa"/>
            <w:gridSpan w:val="2"/>
            <w:vAlign w:val="center"/>
          </w:tcPr>
          <w:p w14:paraId="33FC3E6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抽查内容及要求</w:t>
            </w:r>
          </w:p>
        </w:tc>
        <w:tc>
          <w:tcPr>
            <w:tcW w:w="1134" w:type="dxa"/>
            <w:vAlign w:val="center"/>
          </w:tcPr>
          <w:p w14:paraId="5A3C7A4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监督抽查</w:t>
            </w:r>
          </w:p>
          <w:p w14:paraId="6480367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方法</w:t>
            </w:r>
          </w:p>
        </w:tc>
      </w:tr>
      <w:tr w14:paraId="624D8C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00E7471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134" w:type="dxa"/>
            <w:vAlign w:val="center"/>
          </w:tcPr>
          <w:p w14:paraId="47F10B7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技术资料审查</w:t>
            </w:r>
          </w:p>
        </w:tc>
        <w:tc>
          <w:tcPr>
            <w:tcW w:w="5953" w:type="dxa"/>
            <w:gridSpan w:val="2"/>
            <w:vAlign w:val="center"/>
          </w:tcPr>
          <w:p w14:paraId="0A2011CB">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（1）审查被抽查电梯的制造单位、安装单位、维保单位、使用单位提供的制造、安装、改造或者重大修理、使用管理等相关资料；</w:t>
            </w:r>
          </w:p>
          <w:p w14:paraId="45F20FF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（5）审查技术资料与铭牌或可识别标志的一致性。</w:t>
            </w:r>
          </w:p>
        </w:tc>
        <w:tc>
          <w:tcPr>
            <w:tcW w:w="1134" w:type="dxa"/>
            <w:vAlign w:val="center"/>
          </w:tcPr>
          <w:p w14:paraId="1306567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现场查阅确认</w:t>
            </w:r>
          </w:p>
        </w:tc>
      </w:tr>
      <w:tr w14:paraId="2BF36E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2376B4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134" w:type="dxa"/>
            <w:vAlign w:val="center"/>
          </w:tcPr>
          <w:p w14:paraId="20D265F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接地故障保护措施</w:t>
            </w:r>
          </w:p>
        </w:tc>
        <w:tc>
          <w:tcPr>
            <w:tcW w:w="5953" w:type="dxa"/>
            <w:gridSpan w:val="2"/>
            <w:vAlign w:val="center"/>
          </w:tcPr>
          <w:p w14:paraId="4D78A63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含有电气安全装置的电路发生接地故障时，驱动主机立即停止运转。</w:t>
            </w:r>
          </w:p>
        </w:tc>
        <w:tc>
          <w:tcPr>
            <w:tcW w:w="1134" w:type="dxa"/>
            <w:vAlign w:val="center"/>
          </w:tcPr>
          <w:p w14:paraId="2D22C7A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0A8DFE9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5458DB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ED7418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134" w:type="dxa"/>
            <w:vAlign w:val="center"/>
          </w:tcPr>
          <w:p w14:paraId="493D042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旋转部件防护措施</w:t>
            </w:r>
          </w:p>
        </w:tc>
        <w:tc>
          <w:tcPr>
            <w:tcW w:w="5953" w:type="dxa"/>
            <w:gridSpan w:val="2"/>
            <w:vAlign w:val="center"/>
          </w:tcPr>
          <w:p w14:paraId="2F24EFD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检查驱动主机的旋转部件、驱动站和转向站的梯级或者踏板转向部分是否设有防护装置和警示标志，以防止人员受到伤害。</w:t>
            </w:r>
          </w:p>
        </w:tc>
        <w:tc>
          <w:tcPr>
            <w:tcW w:w="1134" w:type="dxa"/>
            <w:vAlign w:val="center"/>
          </w:tcPr>
          <w:p w14:paraId="2E94C39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268E78D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75CEC00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D4EA2F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134" w:type="dxa"/>
            <w:vAlign w:val="center"/>
          </w:tcPr>
          <w:p w14:paraId="6AACAB2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工作制动器状态监测功能</w:t>
            </w:r>
          </w:p>
        </w:tc>
        <w:tc>
          <w:tcPr>
            <w:tcW w:w="5953" w:type="dxa"/>
            <w:gridSpan w:val="2"/>
            <w:vAlign w:val="center"/>
          </w:tcPr>
          <w:p w14:paraId="37C46C4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检查受检设备启动后而工作制动器没有松开时，电梯安全装置是否能够使驱动主机立即停止运行；故障锁定功能是否保持有效。</w:t>
            </w:r>
          </w:p>
        </w:tc>
        <w:tc>
          <w:tcPr>
            <w:tcW w:w="1134" w:type="dxa"/>
            <w:vAlign w:val="center"/>
          </w:tcPr>
          <w:p w14:paraId="6BBFFFA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25543B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5AD49C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27963B8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134" w:type="dxa"/>
            <w:vAlign w:val="center"/>
          </w:tcPr>
          <w:p w14:paraId="6CFDE3A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手动盘车装置</w:t>
            </w:r>
          </w:p>
        </w:tc>
        <w:tc>
          <w:tcPr>
            <w:tcW w:w="5953" w:type="dxa"/>
            <w:gridSpan w:val="2"/>
            <w:vAlign w:val="center"/>
          </w:tcPr>
          <w:p w14:paraId="55F8E54E">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r>
              <w:rPr>
                <w:rFonts w:hint="eastAsia" w:ascii="宋体" w:hAnsi="宋体" w:eastAsia="宋体" w:cs="宋体"/>
                <w:snapToGrid w:val="0"/>
                <w:color w:val="auto"/>
                <w:kern w:val="0"/>
                <w:sz w:val="24"/>
                <w:szCs w:val="24"/>
                <w:lang w:val="en-US" w:eastAsia="zh-CN" w:bidi="ar-SA"/>
              </w:rPr>
              <w:t>盘车手轮是平滑和无辐条的，并且在其上或者附近</w:t>
            </w:r>
            <w:r>
              <w:rPr>
                <w:rFonts w:hint="eastAsia" w:ascii="宋体" w:hAnsi="宋体" w:eastAsia="宋体" w:cs="宋体"/>
                <w:color w:val="auto"/>
                <w:kern w:val="0"/>
                <w:sz w:val="24"/>
                <w:szCs w:val="24"/>
                <w:lang w:val="en-US" w:eastAsia="zh-CN" w:bidi="ar-SA"/>
              </w:rPr>
              <w:t>清晰地标出操作说明和运行方向；</w:t>
            </w:r>
          </w:p>
          <w:p w14:paraId="5DAD9992">
            <w:pPr>
              <w:spacing w:line="360" w:lineRule="auto"/>
              <w:ind w:firstLine="0"/>
              <w:rPr>
                <w:rFonts w:hint="eastAsia" w:ascii="宋体" w:hAnsi="宋体" w:eastAsia="宋体" w:cs="宋体"/>
                <w:color w:val="auto"/>
                <w:sz w:val="24"/>
                <w:szCs w:val="24"/>
              </w:rPr>
            </w:pPr>
            <w:r>
              <w:rPr>
                <w:rFonts w:hint="eastAsia" w:ascii="宋体" w:hAnsi="宋体" w:eastAsia="宋体" w:cs="宋体"/>
                <w:snapToGrid w:val="0"/>
                <w:color w:val="auto"/>
                <w:sz w:val="24"/>
                <w:szCs w:val="24"/>
              </w:rPr>
              <w:t>(2)对于可拆卸式</w:t>
            </w:r>
            <w:r>
              <w:rPr>
                <w:rFonts w:hint="eastAsia" w:ascii="宋体" w:hAnsi="宋体" w:eastAsia="宋体" w:cs="宋体"/>
                <w:color w:val="auto"/>
                <w:sz w:val="24"/>
                <w:szCs w:val="24"/>
              </w:rPr>
              <w:t>手动</w:t>
            </w:r>
            <w:r>
              <w:rPr>
                <w:rFonts w:hint="eastAsia" w:ascii="宋体" w:hAnsi="宋体" w:eastAsia="宋体" w:cs="宋体"/>
                <w:snapToGrid w:val="0"/>
                <w:color w:val="auto"/>
                <w:sz w:val="24"/>
                <w:szCs w:val="24"/>
              </w:rPr>
              <w:t>盘车</w:t>
            </w:r>
            <w:r>
              <w:rPr>
                <w:rFonts w:hint="eastAsia" w:ascii="宋体" w:hAnsi="宋体" w:eastAsia="宋体" w:cs="宋体"/>
                <w:color w:val="auto"/>
                <w:sz w:val="24"/>
                <w:szCs w:val="24"/>
              </w:rPr>
              <w:t>装置，设有最迟在该装置连接到驱动主机时起作用的电气安全装置</w:t>
            </w:r>
            <w:r>
              <w:rPr>
                <w:rFonts w:hint="eastAsia" w:ascii="宋体" w:hAnsi="宋体" w:eastAsia="宋体" w:cs="宋体"/>
                <w:snapToGrid w:val="0"/>
                <w:color w:val="auto"/>
                <w:sz w:val="24"/>
                <w:szCs w:val="24"/>
              </w:rPr>
              <w:t>。</w:t>
            </w:r>
          </w:p>
        </w:tc>
        <w:tc>
          <w:tcPr>
            <w:tcW w:w="1134" w:type="dxa"/>
            <w:vAlign w:val="center"/>
          </w:tcPr>
          <w:p w14:paraId="3CA240D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035B1AA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2241829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1DC2A10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1134" w:type="dxa"/>
            <w:vAlign w:val="center"/>
          </w:tcPr>
          <w:p w14:paraId="5C382C6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驱动链电气安全装置</w:t>
            </w:r>
          </w:p>
        </w:tc>
        <w:tc>
          <w:tcPr>
            <w:tcW w:w="5953" w:type="dxa"/>
            <w:gridSpan w:val="2"/>
            <w:vAlign w:val="center"/>
          </w:tcPr>
          <w:p w14:paraId="6FA311A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检查当驱动主机驱动链过度松弛和断裂时，电气安全装置是否能够使受检设备自动停止运行，并且能够触发附加制动器动作(设有附加制动器时)</w:t>
            </w:r>
          </w:p>
        </w:tc>
        <w:tc>
          <w:tcPr>
            <w:tcW w:w="1134" w:type="dxa"/>
            <w:vAlign w:val="center"/>
          </w:tcPr>
          <w:p w14:paraId="5F12E09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934DF8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6DB44B1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4BC152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1134" w:type="dxa"/>
            <w:vAlign w:val="center"/>
          </w:tcPr>
          <w:p w14:paraId="69C2E05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出入口防护装置</w:t>
            </w:r>
          </w:p>
        </w:tc>
        <w:tc>
          <w:tcPr>
            <w:tcW w:w="5953" w:type="dxa"/>
            <w:gridSpan w:val="2"/>
            <w:vAlign w:val="center"/>
          </w:tcPr>
          <w:p w14:paraId="51B3BC84">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对于人员在出入口可能接触到扶手带的外缘并且引起危险的区域，检查是否设置能够阻止乘客进入该区域的永久固定的防护装置，或者符合以下要求的永久固定的防护装置[对于未按照 TSG T7001-2023对出入口防护装置进行过监督检验的，允许只满足下列第(1)项要求]：</w:t>
            </w:r>
          </w:p>
          <w:p w14:paraId="48632A03">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(1)至少高出扶手带100mm，位于扶手带外缘80mm～120mm处；</w:t>
            </w:r>
          </w:p>
          <w:p w14:paraId="200B7B7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(2)从楼层板起高度不小于1100mm。</w:t>
            </w:r>
          </w:p>
        </w:tc>
        <w:tc>
          <w:tcPr>
            <w:tcW w:w="1134" w:type="dxa"/>
            <w:vAlign w:val="center"/>
          </w:tcPr>
          <w:p w14:paraId="07A1A9B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1EF06B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DD4BFC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134" w:type="dxa"/>
            <w:vAlign w:val="center"/>
          </w:tcPr>
          <w:p w14:paraId="316E8D4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防护挡板</w:t>
            </w:r>
          </w:p>
        </w:tc>
        <w:tc>
          <w:tcPr>
            <w:tcW w:w="5953" w:type="dxa"/>
            <w:gridSpan w:val="2"/>
            <w:vAlign w:val="center"/>
          </w:tcPr>
          <w:p w14:paraId="2DD5C90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建筑障碍物会引起人员伤害的，检查是否采取了预防措施。受检设备与楼板有交叉或者受检设备之间有交叉的、检查交叉处是否设有垂直固定、无锐利边缘的封闭防护挡板，其位于扶手带上方的防护高度不小于0.30m，并且延伸至扶手带下缘以下至少25mm。扶手带外缘与任何障碍物之间的距离不小于400mm的，可以不设置防护挡板。</w:t>
            </w:r>
          </w:p>
        </w:tc>
        <w:tc>
          <w:tcPr>
            <w:tcW w:w="1134" w:type="dxa"/>
            <w:vAlign w:val="center"/>
          </w:tcPr>
          <w:p w14:paraId="0D39B42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58389A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87F0E9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1134" w:type="dxa"/>
            <w:vAlign w:val="center"/>
          </w:tcPr>
          <w:p w14:paraId="66B30FE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连续输送保护</w:t>
            </w:r>
          </w:p>
        </w:tc>
        <w:tc>
          <w:tcPr>
            <w:tcW w:w="5953" w:type="dxa"/>
            <w:gridSpan w:val="2"/>
            <w:vAlign w:val="center"/>
          </w:tcPr>
          <w:p w14:paraId="23F4AD1E">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(1)具有相同的输送能力并且同方向运行；</w:t>
            </w:r>
          </w:p>
          <w:p w14:paraId="5B91F335">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(2)在梯级、踏板或者胶带到达梳齿与踏面相交线之前2.00m～3.00m处，设有乘客易于触及的附加紧急停止开关；</w:t>
            </w:r>
          </w:p>
          <w:p w14:paraId="3D6C788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(3)当其中一台受检设备停止运行时，其他继续运行可能造成人流拥堵的设备也停止运行。</w:t>
            </w:r>
          </w:p>
        </w:tc>
        <w:tc>
          <w:tcPr>
            <w:tcW w:w="1134" w:type="dxa"/>
            <w:vAlign w:val="center"/>
          </w:tcPr>
          <w:p w14:paraId="4F01375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016142F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F84C8B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134" w:type="dxa"/>
            <w:vAlign w:val="center"/>
          </w:tcPr>
          <w:p w14:paraId="2954AC5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检修盖板与楼层板</w:t>
            </w:r>
          </w:p>
        </w:tc>
        <w:tc>
          <w:tcPr>
            <w:tcW w:w="5953" w:type="dxa"/>
            <w:gridSpan w:val="2"/>
            <w:vAlign w:val="center"/>
          </w:tcPr>
          <w:p w14:paraId="27BE1A28">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(1)检修盖板与楼层板的安装和固定能够防止人员踩踏或者自重作用而导致的倾覆、翻转。</w:t>
            </w:r>
          </w:p>
          <w:p w14:paraId="669CA22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监测检修盖板和楼层板的电气安全装置能够在移除任何一块检修盖板或者楼层板时动作，对于机械结构能够保证只能先移除某块检修盖板或者楼层板的，至少在移除该块检修盖板或者楼层板后电气安全装置动作。</w:t>
            </w:r>
          </w:p>
        </w:tc>
        <w:tc>
          <w:tcPr>
            <w:tcW w:w="1134" w:type="dxa"/>
            <w:vAlign w:val="center"/>
          </w:tcPr>
          <w:p w14:paraId="19D4689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63B526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47B7FBE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636204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1134" w:type="dxa"/>
            <w:vAlign w:val="center"/>
          </w:tcPr>
          <w:p w14:paraId="25B996B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梳齿与梳齿板</w:t>
            </w:r>
          </w:p>
        </w:tc>
        <w:tc>
          <w:tcPr>
            <w:tcW w:w="5953" w:type="dxa"/>
            <w:gridSpan w:val="2"/>
            <w:vAlign w:val="center"/>
          </w:tcPr>
          <w:p w14:paraId="5F5057FF">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(1)梳齿板梳齿完好，无缺损；</w:t>
            </w:r>
          </w:p>
          <w:p w14:paraId="6FFCE52D">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(2)梳齿板梳齿与踏面齿槽的啮合深度至少为4mm，梳齿槽根部与踏面的间隙不超过4mm；</w:t>
            </w:r>
          </w:p>
          <w:p w14:paraId="321F1F9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(3)梯级或者踏板进入梳齿板处有异物卡入，并且梳齿与梯级或者踏板不能正常啮合而导致梳齿板与梯级或者踏板发生碰撞时，受检设备能够自动停止运行。</w:t>
            </w:r>
          </w:p>
        </w:tc>
        <w:tc>
          <w:tcPr>
            <w:tcW w:w="1134" w:type="dxa"/>
            <w:vAlign w:val="center"/>
          </w:tcPr>
          <w:p w14:paraId="65BB1B3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71E82AA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2543AB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1134" w:type="dxa"/>
            <w:vAlign w:val="center"/>
          </w:tcPr>
          <w:p w14:paraId="4A68415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紧急停止开关</w:t>
            </w:r>
          </w:p>
        </w:tc>
        <w:tc>
          <w:tcPr>
            <w:tcW w:w="5953" w:type="dxa"/>
            <w:gridSpan w:val="2"/>
            <w:vAlign w:val="center"/>
          </w:tcPr>
          <w:p w14:paraId="698E26C2">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r>
              <w:rPr>
                <w:rFonts w:hint="eastAsia" w:ascii="宋体" w:hAnsi="宋体" w:eastAsia="宋体" w:cs="宋体"/>
                <w:color w:val="auto"/>
                <w:spacing w:val="-6"/>
                <w:kern w:val="0"/>
                <w:sz w:val="24"/>
                <w:szCs w:val="24"/>
                <w:lang w:val="en-US" w:eastAsia="zh-CN" w:bidi="ar-SA"/>
              </w:rPr>
              <w:t>受检设备出入口附近设有紧急停止开关，必要时增设附加紧急停止开关，以使紧急停止开关之间的距离不超过30m(适用于自动扶梯)或者40m(适用于自动人行道)</w:t>
            </w:r>
            <w:r>
              <w:rPr>
                <w:rFonts w:hint="eastAsia" w:ascii="宋体" w:hAnsi="宋体" w:eastAsia="宋体" w:cs="宋体"/>
                <w:color w:val="auto"/>
                <w:kern w:val="0"/>
                <w:sz w:val="24"/>
                <w:szCs w:val="24"/>
                <w:lang w:val="en-US" w:eastAsia="zh-CN" w:bidi="ar-SA"/>
              </w:rPr>
              <w:t>；</w:t>
            </w:r>
          </w:p>
          <w:p w14:paraId="390FC03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(2)各紧急停止开关标识清晰，对于位于扶手装置高度1/2以下的紧急停止开关，在扶手装置高度1/2以上的醒目位置还设有直径至少为80mm的红底白字“急停”指示标记，箭头指向该开关。</w:t>
            </w:r>
          </w:p>
        </w:tc>
        <w:tc>
          <w:tcPr>
            <w:tcW w:w="1134" w:type="dxa"/>
            <w:vAlign w:val="center"/>
          </w:tcPr>
          <w:p w14:paraId="408C3BE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现场观察确认、测量相关数据并试验验证</w:t>
            </w:r>
          </w:p>
        </w:tc>
      </w:tr>
      <w:tr w14:paraId="4098921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91BC77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1134" w:type="dxa"/>
            <w:vAlign w:val="center"/>
          </w:tcPr>
          <w:p w14:paraId="543EA31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安全标志</w:t>
            </w:r>
          </w:p>
        </w:tc>
        <w:tc>
          <w:tcPr>
            <w:tcW w:w="5953" w:type="dxa"/>
            <w:gridSpan w:val="2"/>
            <w:vAlign w:val="center"/>
          </w:tcPr>
          <w:p w14:paraId="3B9201F8">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在受检设备出入口附近设有包括必须拉住小孩、必须抱着宠物、必须握住扶手带和禁止使用非专用手推车等内容的安全乘用图形标志。</w:t>
            </w:r>
          </w:p>
        </w:tc>
        <w:tc>
          <w:tcPr>
            <w:tcW w:w="1134" w:type="dxa"/>
            <w:vAlign w:val="center"/>
          </w:tcPr>
          <w:p w14:paraId="6EF7767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4847941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04BD444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4D7C39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1134" w:type="dxa"/>
            <w:vAlign w:val="center"/>
          </w:tcPr>
          <w:p w14:paraId="010DB67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扶手装置</w:t>
            </w:r>
          </w:p>
        </w:tc>
        <w:tc>
          <w:tcPr>
            <w:tcW w:w="5953" w:type="dxa"/>
            <w:gridSpan w:val="2"/>
            <w:vAlign w:val="center"/>
          </w:tcPr>
          <w:p w14:paraId="477B1618">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(1)扶手带完好，表面无龟裂、剥离、严重磨损，扶手带单一开裂处最大裂纹宽度不大于3mm；</w:t>
            </w:r>
          </w:p>
          <w:p w14:paraId="1B47A1DA">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(2)扶手转向端入口处的最低点与地板之间的垂直距离不小于0.10m，并且不大于0.25 m。</w:t>
            </w:r>
          </w:p>
          <w:p w14:paraId="75F0C40D">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(3)朝向梯级、踏板或者胶带一侧的部分光滑、平齐；装设方向与运行方向不一致的压条或者镶条凸出高度不大于3mm，其边缘呈圆角或者倒角状；沿运行方向的盖板连接处结构能够防止勾绊；</w:t>
            </w:r>
          </w:p>
          <w:p w14:paraId="058EFC7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(4)扶手带入口保护装置功能有效。</w:t>
            </w:r>
          </w:p>
        </w:tc>
        <w:tc>
          <w:tcPr>
            <w:tcW w:w="1134" w:type="dxa"/>
            <w:vAlign w:val="center"/>
          </w:tcPr>
          <w:p w14:paraId="3CB5421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2B3418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221A3A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1134" w:type="dxa"/>
            <w:vAlign w:val="center"/>
          </w:tcPr>
          <w:p w14:paraId="6A37B60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扶手带速度监测装置</w:t>
            </w:r>
          </w:p>
        </w:tc>
        <w:tc>
          <w:tcPr>
            <w:tcW w:w="5953" w:type="dxa"/>
            <w:gridSpan w:val="2"/>
            <w:vAlign w:val="center"/>
          </w:tcPr>
          <w:p w14:paraId="0985060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检查当扶手带速度与梯级、踏板或者胶带实际速度偏差最大超过15%，并且持续时间在5s～15s范围内时，扶手带速度监测装置是否能够使受检设备自动停止运行。</w:t>
            </w:r>
          </w:p>
        </w:tc>
        <w:tc>
          <w:tcPr>
            <w:tcW w:w="1134" w:type="dxa"/>
            <w:vAlign w:val="center"/>
          </w:tcPr>
          <w:p w14:paraId="7551A4A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4E40180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620A570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ECBE78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1134" w:type="dxa"/>
            <w:vAlign w:val="center"/>
          </w:tcPr>
          <w:p w14:paraId="74D4F1F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防爬装置</w:t>
            </w:r>
          </w:p>
        </w:tc>
        <w:tc>
          <w:tcPr>
            <w:tcW w:w="5953" w:type="dxa"/>
            <w:gridSpan w:val="2"/>
            <w:vAlign w:val="center"/>
          </w:tcPr>
          <w:p w14:paraId="343F4F89">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人员能够爬上外盖板并且存在跌落风险的，检查在受检设备的外盖板上是否装设了符合以下要求的防爬装置：</w:t>
            </w:r>
          </w:p>
          <w:p w14:paraId="73E05457">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(1)在位于地平面上方1000mm土50mm处；</w:t>
            </w:r>
          </w:p>
          <w:p w14:paraId="74F1824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(2)其高度至少与扶手带表面齐平，下部与外盖板相交，平行于外盖板方向上的延伸长度不小于1000mm，并且在此长度范围内无踩脚处。</w:t>
            </w:r>
          </w:p>
        </w:tc>
        <w:tc>
          <w:tcPr>
            <w:tcW w:w="1134" w:type="dxa"/>
            <w:vAlign w:val="center"/>
          </w:tcPr>
          <w:p w14:paraId="63F84CF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4D7E7DD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1B46DDA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1134" w:type="dxa"/>
            <w:vAlign w:val="center"/>
          </w:tcPr>
          <w:p w14:paraId="33E0623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阻挡装置</w:t>
            </w:r>
          </w:p>
        </w:tc>
        <w:tc>
          <w:tcPr>
            <w:tcW w:w="5953" w:type="dxa"/>
            <w:gridSpan w:val="2"/>
            <w:vAlign w:val="center"/>
          </w:tcPr>
          <w:p w14:paraId="6EC8B7A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对于与墙相邻并且外盖板的宽度大于125mm的受检设备，或者相邻平行布置并且共用外盖板的宽度大于125mm的自动扶梯或者倾斜的自动人行道，检查在上、下端部装设的阻挡装置是否能够防止人员进入外盖板区域，并且延伸到高度距离扶手带下缘25mm～150mm处。</w:t>
            </w:r>
          </w:p>
        </w:tc>
        <w:tc>
          <w:tcPr>
            <w:tcW w:w="1134" w:type="dxa"/>
            <w:vAlign w:val="center"/>
          </w:tcPr>
          <w:p w14:paraId="65B2B6D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799B6EA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6BF44B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1134" w:type="dxa"/>
            <w:vAlign w:val="center"/>
          </w:tcPr>
          <w:p w14:paraId="1A0E3192">
            <w:pPr>
              <w:autoSpaceDE w:val="0"/>
              <w:autoSpaceDN w:val="0"/>
              <w:spacing w:line="36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防滑行</w:t>
            </w:r>
          </w:p>
          <w:p w14:paraId="7B7605E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装置</w:t>
            </w:r>
          </w:p>
        </w:tc>
        <w:tc>
          <w:tcPr>
            <w:tcW w:w="5953" w:type="dxa"/>
            <w:gridSpan w:val="2"/>
            <w:vAlign w:val="center"/>
          </w:tcPr>
          <w:p w14:paraId="44FC50F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自动扶梯或者倾斜的自动人行道和相邻的墙之间装有接近扶手带高度的扶手盖板，并且建筑物(墙)和扶手带中心线之间的距离大于300mm时，或者相邻自动扶梯或者倾斜的自动人行道的扶手带中心线之间的距离大于400mm时，检查在扶手盖板上装设的防滑行装置是否无锐角或者锐边，与扶手带的距离不小于100mm，并且防滑行装置之间的间隔距离不大于1800mm，高度不小于20mm。</w:t>
            </w:r>
          </w:p>
        </w:tc>
        <w:tc>
          <w:tcPr>
            <w:tcW w:w="1134" w:type="dxa"/>
            <w:vAlign w:val="center"/>
          </w:tcPr>
          <w:p w14:paraId="4505E46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6CCA63D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A1D542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1134" w:type="dxa"/>
            <w:vAlign w:val="center"/>
          </w:tcPr>
          <w:p w14:paraId="52A7431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围裙板与梯级、踏板间隙</w:t>
            </w:r>
          </w:p>
        </w:tc>
        <w:tc>
          <w:tcPr>
            <w:tcW w:w="5953" w:type="dxa"/>
            <w:gridSpan w:val="2"/>
            <w:vAlign w:val="center"/>
          </w:tcPr>
          <w:p w14:paraId="19787FCC">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(1)任何一侧的水平间隙不大于4mm，并且两侧对称位置处的间隙总和不大于7mm；</w:t>
            </w:r>
          </w:p>
          <w:p w14:paraId="43E2E48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(2)围裙板设置在踏板之上时，踏板表面与围裙板下端的垂直间隙不大于4mm，踏板侧边与围裙板垂直投影间不产生间隙。</w:t>
            </w:r>
          </w:p>
        </w:tc>
        <w:tc>
          <w:tcPr>
            <w:tcW w:w="1134" w:type="dxa"/>
            <w:vAlign w:val="center"/>
          </w:tcPr>
          <w:p w14:paraId="4AD060C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05F75F9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92AB6E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1134" w:type="dxa"/>
            <w:vAlign w:val="center"/>
          </w:tcPr>
          <w:p w14:paraId="426BCD4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围裙板防夹装置</w:t>
            </w:r>
          </w:p>
        </w:tc>
        <w:tc>
          <w:tcPr>
            <w:tcW w:w="5953" w:type="dxa"/>
            <w:gridSpan w:val="2"/>
            <w:vAlign w:val="center"/>
          </w:tcPr>
          <w:p w14:paraId="0ED02300">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(1)无松动、缺损等现象；</w:t>
            </w:r>
          </w:p>
          <w:p w14:paraId="28A71D5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(2)端点位于梳齿与踏面相交线前(梯级侧)不小于50mm，但不大于150mm的位置。</w:t>
            </w:r>
          </w:p>
        </w:tc>
        <w:tc>
          <w:tcPr>
            <w:tcW w:w="1134" w:type="dxa"/>
            <w:vAlign w:val="center"/>
          </w:tcPr>
          <w:p w14:paraId="007C10A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38BB51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F649E1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1134" w:type="dxa"/>
            <w:vAlign w:val="center"/>
          </w:tcPr>
          <w:p w14:paraId="72DFA54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围裙板防夹开关</w:t>
            </w:r>
          </w:p>
        </w:tc>
        <w:tc>
          <w:tcPr>
            <w:tcW w:w="5953" w:type="dxa"/>
            <w:gridSpan w:val="2"/>
            <w:vAlign w:val="center"/>
          </w:tcPr>
          <w:p w14:paraId="3368AFB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对于设有围裙板防夹开关的自动扶梯，检查夹入梯级和围裙板之间的异物最迟到达围裙板防夹开关处时，该开关是否能够有效动作，使自动扶梯在该梯级到达梳齿板前自动停止运行。</w:t>
            </w:r>
          </w:p>
        </w:tc>
        <w:tc>
          <w:tcPr>
            <w:tcW w:w="1134" w:type="dxa"/>
            <w:vAlign w:val="center"/>
          </w:tcPr>
          <w:p w14:paraId="2935B68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检查人员现场观察确认</w:t>
            </w:r>
          </w:p>
        </w:tc>
      </w:tr>
      <w:tr w14:paraId="5B3B1B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2D9465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22</w:t>
            </w:r>
          </w:p>
        </w:tc>
        <w:tc>
          <w:tcPr>
            <w:tcW w:w="1134" w:type="dxa"/>
            <w:vAlign w:val="center"/>
          </w:tcPr>
          <w:p w14:paraId="739255D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梯级、踏板（胶带）</w:t>
            </w:r>
          </w:p>
        </w:tc>
        <w:tc>
          <w:tcPr>
            <w:tcW w:w="5953" w:type="dxa"/>
            <w:gridSpan w:val="2"/>
            <w:vAlign w:val="center"/>
          </w:tcPr>
          <w:p w14:paraId="5DE42360">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(1)梯级、踏板或者胶带完好，无破损；</w:t>
            </w:r>
          </w:p>
          <w:p w14:paraId="65C1F17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在工作区段内的任何位置，从踏面测得的两个相邻梯级或者踏板之间的间隙不大于6mm；在自动人行道过渡曲线区段、如果踏板的前缘和相邻踏板的后缘啮合，其间隙允许增至8mm（现场检查至少抽取20%的课件梯级或者踏板测量相应的间隙）。</w:t>
            </w:r>
          </w:p>
        </w:tc>
        <w:tc>
          <w:tcPr>
            <w:tcW w:w="1134" w:type="dxa"/>
            <w:vAlign w:val="center"/>
          </w:tcPr>
          <w:p w14:paraId="61C89C1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1DAC3FF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B36FF1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23</w:t>
            </w:r>
          </w:p>
        </w:tc>
        <w:tc>
          <w:tcPr>
            <w:tcW w:w="1134" w:type="dxa"/>
            <w:vAlign w:val="center"/>
          </w:tcPr>
          <w:p w14:paraId="02808407">
            <w:pPr>
              <w:autoSpaceDE w:val="0"/>
              <w:autoSpaceDN w:val="0"/>
              <w:spacing w:line="36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梯级、踏板下陷</w:t>
            </w:r>
          </w:p>
          <w:p w14:paraId="4185D3C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保护</w:t>
            </w:r>
          </w:p>
        </w:tc>
        <w:tc>
          <w:tcPr>
            <w:tcW w:w="5953" w:type="dxa"/>
            <w:gridSpan w:val="2"/>
            <w:vAlign w:val="center"/>
          </w:tcPr>
          <w:p w14:paraId="27BB834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抽查现场由施工或者维护保养单位卸除1～2个梯级或者踏板，将缺口检修运行至电气安全装置处，检查电气安全装置至梳齿与踏面相交线的距离是否大于工作制动器的最大制停距离：该装置动作后，是否能够使受检设备停止运行；故障锁定功能是否保持有效。</w:t>
            </w:r>
          </w:p>
        </w:tc>
        <w:tc>
          <w:tcPr>
            <w:tcW w:w="1134" w:type="dxa"/>
            <w:vAlign w:val="center"/>
          </w:tcPr>
          <w:p w14:paraId="55656A9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225C99E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767ECB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68807E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24</w:t>
            </w:r>
          </w:p>
        </w:tc>
        <w:tc>
          <w:tcPr>
            <w:tcW w:w="1134" w:type="dxa"/>
            <w:vAlign w:val="center"/>
          </w:tcPr>
          <w:p w14:paraId="57B67C86">
            <w:pPr>
              <w:autoSpaceDE w:val="0"/>
              <w:autoSpaceDN w:val="0"/>
              <w:spacing w:line="36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梯级、踏板缺失</w:t>
            </w:r>
          </w:p>
          <w:p w14:paraId="39FE2F7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保护</w:t>
            </w:r>
          </w:p>
        </w:tc>
        <w:tc>
          <w:tcPr>
            <w:tcW w:w="5953" w:type="dxa"/>
            <w:gridSpan w:val="2"/>
            <w:vAlign w:val="center"/>
          </w:tcPr>
          <w:p w14:paraId="155C65F3">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抽查现场由施工或者维护保养单位卸除1个梯级或者踏板，将缺口运行至返回分支内与回转段下部相接的直线段位置，正常启动受检设备上行和下行，检查人员分别确认缺口到达梳齿板位置之前，电气安全装置是否能够使受检设备自动停止运行；故障锁定功能是否保持有效。</w:t>
            </w:r>
          </w:p>
        </w:tc>
        <w:tc>
          <w:tcPr>
            <w:tcW w:w="1134" w:type="dxa"/>
            <w:vAlign w:val="center"/>
          </w:tcPr>
          <w:p w14:paraId="6AE593A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4A12A95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1192D0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262472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25</w:t>
            </w:r>
          </w:p>
        </w:tc>
        <w:tc>
          <w:tcPr>
            <w:tcW w:w="1134" w:type="dxa"/>
            <w:vAlign w:val="center"/>
          </w:tcPr>
          <w:p w14:paraId="3B4F19A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非操纵逆转保护</w:t>
            </w:r>
          </w:p>
        </w:tc>
        <w:tc>
          <w:tcPr>
            <w:tcW w:w="5953" w:type="dxa"/>
            <w:gridSpan w:val="2"/>
            <w:vAlign w:val="center"/>
          </w:tcPr>
          <w:p w14:paraId="61182D1F">
            <w:pPr>
              <w:spacing w:line="360" w:lineRule="auto"/>
              <w:ind w:firstLine="0"/>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检查梯级、踏板或者胶带改变规定运行方向时，非操纵逆转保护装置是否能够使自动扶梯或者倾斜角不小于6°的自动人行道自动停止运行；故障锁定功能是否保持有效。</w:t>
            </w:r>
          </w:p>
        </w:tc>
        <w:tc>
          <w:tcPr>
            <w:tcW w:w="1134" w:type="dxa"/>
            <w:vAlign w:val="center"/>
          </w:tcPr>
          <w:p w14:paraId="37CFC41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D4E180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657A27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04DB45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26</w:t>
            </w:r>
          </w:p>
        </w:tc>
        <w:tc>
          <w:tcPr>
            <w:tcW w:w="1134" w:type="dxa"/>
            <w:vAlign w:val="center"/>
          </w:tcPr>
          <w:p w14:paraId="55A3904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驱动元件保护</w:t>
            </w:r>
          </w:p>
        </w:tc>
        <w:tc>
          <w:tcPr>
            <w:tcW w:w="5953" w:type="dxa"/>
            <w:gridSpan w:val="2"/>
            <w:vAlign w:val="center"/>
          </w:tcPr>
          <w:p w14:paraId="1C68B64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检查直接驱动梯级、踏板或者胶带的元件断裂或者过分伸长时，受检设备是否能够自动停止运行；故障锁定功能是否保持有效。</w:t>
            </w:r>
          </w:p>
        </w:tc>
        <w:tc>
          <w:tcPr>
            <w:tcW w:w="1134" w:type="dxa"/>
            <w:vAlign w:val="center"/>
          </w:tcPr>
          <w:p w14:paraId="207F88A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A2F56D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516ED1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22D3BC1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27</w:t>
            </w:r>
          </w:p>
        </w:tc>
        <w:tc>
          <w:tcPr>
            <w:tcW w:w="1134" w:type="dxa"/>
            <w:vAlign w:val="center"/>
          </w:tcPr>
          <w:p w14:paraId="788C921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距离缩短保护</w:t>
            </w:r>
          </w:p>
        </w:tc>
        <w:tc>
          <w:tcPr>
            <w:tcW w:w="5953" w:type="dxa"/>
            <w:gridSpan w:val="2"/>
            <w:vAlign w:val="center"/>
          </w:tcPr>
          <w:p w14:paraId="658CA8B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检查驱动装置与转向装置之间的距离发生过分伸长或者缩短时，受检设备是否能够自动停止运行。</w:t>
            </w:r>
          </w:p>
        </w:tc>
        <w:tc>
          <w:tcPr>
            <w:tcW w:w="1134" w:type="dxa"/>
            <w:vAlign w:val="center"/>
          </w:tcPr>
          <w:p w14:paraId="6767422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01B345F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54A55C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0A59462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28</w:t>
            </w:r>
          </w:p>
        </w:tc>
        <w:tc>
          <w:tcPr>
            <w:tcW w:w="1134" w:type="dxa"/>
            <w:vAlign w:val="center"/>
          </w:tcPr>
          <w:p w14:paraId="2EEF61A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运行试验</w:t>
            </w:r>
          </w:p>
        </w:tc>
        <w:tc>
          <w:tcPr>
            <w:tcW w:w="5953" w:type="dxa"/>
            <w:gridSpan w:val="2"/>
            <w:vAlign w:val="center"/>
          </w:tcPr>
          <w:p w14:paraId="2AE747D8">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(1)对于由使用者的进入而自动启动或者加速的受检设备，观察在使用者到达梳齿与踏面相交线之前，受检设备是否已经启动和加速，其运行方向标识是否正确并且清晰可见；</w:t>
            </w:r>
          </w:p>
          <w:p w14:paraId="467EDE60">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对于由使用者的进入而自动启动的受检设备，观察、测量当使用者从预定运行方向进入时，是否经过足够的时间(至少为预期输送时间再加上10s)才能自动停止运行：当使用者从预定运行方向相反的方向进入时，是否仍按照预先确定的方向启动，运行时间不少于10s；</w:t>
            </w:r>
          </w:p>
          <w:p w14:paraId="20E3B85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(3)受检设备空载，以正常速度进行两个方向的连续运行，观察其是否运行平稳，无异常碰擦、干涉、松动、抖动和声响。</w:t>
            </w:r>
          </w:p>
        </w:tc>
        <w:tc>
          <w:tcPr>
            <w:tcW w:w="1134" w:type="dxa"/>
            <w:vAlign w:val="center"/>
          </w:tcPr>
          <w:p w14:paraId="6024384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6DA0012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895DA6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29</w:t>
            </w:r>
          </w:p>
        </w:tc>
        <w:tc>
          <w:tcPr>
            <w:tcW w:w="1134" w:type="dxa"/>
            <w:vAlign w:val="center"/>
          </w:tcPr>
          <w:p w14:paraId="6E62CDD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扶手带运行速度偏差试验</w:t>
            </w:r>
          </w:p>
        </w:tc>
        <w:tc>
          <w:tcPr>
            <w:tcW w:w="5953" w:type="dxa"/>
            <w:gridSpan w:val="2"/>
            <w:vAlign w:val="center"/>
          </w:tcPr>
          <w:p w14:paraId="70D93AF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受检设备空载，分别测量、计算两个方向的扶手带运行速度相对于梯级、踏板或者胶带实际速度的偏差，判断其是否在0％～＋2%范围内。</w:t>
            </w:r>
          </w:p>
        </w:tc>
        <w:tc>
          <w:tcPr>
            <w:tcW w:w="1134" w:type="dxa"/>
            <w:vAlign w:val="center"/>
          </w:tcPr>
          <w:p w14:paraId="66CC0D0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1F52A0F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17EDD5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2A648E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30</w:t>
            </w:r>
          </w:p>
        </w:tc>
        <w:tc>
          <w:tcPr>
            <w:tcW w:w="1134" w:type="dxa"/>
            <w:vAlign w:val="center"/>
          </w:tcPr>
          <w:p w14:paraId="14D112B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制停距离试验</w:t>
            </w:r>
          </w:p>
        </w:tc>
        <w:tc>
          <w:tcPr>
            <w:tcW w:w="2976" w:type="dxa"/>
            <w:vAlign w:val="center"/>
          </w:tcPr>
          <w:p w14:paraId="09F5449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（1）自动扶梯制停距离：</w:t>
            </w:r>
          </w:p>
          <w:p w14:paraId="760251B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名义速度    制停距离范围</w:t>
            </w:r>
          </w:p>
          <w:p w14:paraId="013E05F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0.50m/s     0.20m～1.00m</w:t>
            </w:r>
          </w:p>
          <w:p w14:paraId="3D1DAC8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0.65m/s     0.30m～1.30m</w:t>
            </w:r>
          </w:p>
          <w:p w14:paraId="60A63A7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0.75m/s     0.40m～1.50m</w:t>
            </w:r>
          </w:p>
          <w:p w14:paraId="789178D7">
            <w:pPr>
              <w:spacing w:line="360" w:lineRule="auto"/>
              <w:ind w:firstLine="0"/>
              <w:jc w:val="center"/>
              <w:rPr>
                <w:rFonts w:hint="eastAsia" w:ascii="宋体" w:hAnsi="宋体" w:eastAsia="宋体" w:cs="宋体"/>
                <w:color w:val="auto"/>
                <w:sz w:val="24"/>
                <w:szCs w:val="24"/>
              </w:rPr>
            </w:pPr>
          </w:p>
        </w:tc>
        <w:tc>
          <w:tcPr>
            <w:tcW w:w="2977" w:type="dxa"/>
            <w:vAlign w:val="center"/>
          </w:tcPr>
          <w:p w14:paraId="0D9B287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（2）自动人行道制停距离</w:t>
            </w:r>
          </w:p>
          <w:p w14:paraId="1B4B072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名义速度    制停距离范围</w:t>
            </w:r>
          </w:p>
          <w:p w14:paraId="5E9B077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0.50m/s     0.20m～1.00m</w:t>
            </w:r>
          </w:p>
          <w:p w14:paraId="748B0DD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0.65m/s     0.30m～1.30m</w:t>
            </w:r>
          </w:p>
          <w:p w14:paraId="2DA57A8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0.75m/s     0.40m～1.50m</w:t>
            </w:r>
          </w:p>
          <w:p w14:paraId="5D97E6F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0.90m/s     0.55m～1.70m</w:t>
            </w:r>
          </w:p>
        </w:tc>
        <w:tc>
          <w:tcPr>
            <w:tcW w:w="1134" w:type="dxa"/>
            <w:vAlign w:val="center"/>
          </w:tcPr>
          <w:p w14:paraId="7524479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现场观察确认、测量相关数据并试验验证</w:t>
            </w:r>
          </w:p>
        </w:tc>
      </w:tr>
      <w:tr w14:paraId="7A719B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EF8480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31</w:t>
            </w:r>
          </w:p>
        </w:tc>
        <w:tc>
          <w:tcPr>
            <w:tcW w:w="1134" w:type="dxa"/>
            <w:vAlign w:val="center"/>
          </w:tcPr>
          <w:p w14:paraId="08E109D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附加制动器试验</w:t>
            </w:r>
          </w:p>
        </w:tc>
        <w:tc>
          <w:tcPr>
            <w:tcW w:w="5953" w:type="dxa"/>
            <w:gridSpan w:val="2"/>
            <w:vAlign w:val="center"/>
          </w:tcPr>
          <w:p w14:paraId="52F01931">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(1)检查在附加制动器动作开始时是否能够强制切断控制电路；</w:t>
            </w:r>
          </w:p>
          <w:p w14:paraId="6FE57F79">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自动扶梯监督检验时，将总制动载荷均匀分布在上部2/3的可见梯级上进行试验：自动人行道监督检验以及受检设备定期检验时，进行空载试验。在工作制动器松开状态下，受检设备下行时触发附加制动器动作，观察附加制动器是否能够使受检设备可靠制停；</w:t>
            </w:r>
          </w:p>
          <w:p w14:paraId="7D91EA9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(3)如果受检设备设有两个及以上驱动主机，并且采用工作</w:t>
            </w:r>
            <w:r>
              <w:rPr>
                <w:rFonts w:hint="eastAsia" w:ascii="宋体" w:hAnsi="宋体" w:eastAsia="宋体" w:cs="宋体"/>
                <w:color w:val="auto"/>
                <w:sz w:val="24"/>
                <w:szCs w:val="24"/>
              </w:rPr>
              <w:t>制动器互为附加制动器时</w:t>
            </w:r>
            <w:r>
              <w:rPr>
                <w:rFonts w:hint="eastAsia" w:ascii="宋体" w:hAnsi="宋体" w:eastAsia="宋体" w:cs="宋体"/>
                <w:color w:val="auto"/>
                <w:sz w:val="24"/>
                <w:szCs w:val="24"/>
              </w:rPr>
              <w:t>，检查每一制动器是否均符合本条第(1)和第(2)项的要求。</w:t>
            </w:r>
          </w:p>
        </w:tc>
        <w:tc>
          <w:tcPr>
            <w:tcW w:w="1134" w:type="dxa"/>
            <w:vAlign w:val="center"/>
          </w:tcPr>
          <w:p w14:paraId="3C6C9DC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bl>
    <w:p w14:paraId="3FDE1D8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自动扶梯与自动人行道检验质量监督抽查项目包含但不限于以上内容，项目1-31项为自动扶梯与自动人行道定期检验项目。检验质量监督抽查现场根据被抽查电梯实际情况，依据《电梯监督检验和定期检验规则》（TSG T 7001-2023）规定的相关项目进行监督抽查。</w:t>
      </w:r>
    </w:p>
    <w:p w14:paraId="2C1867A0">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B99BF38">
      <w:pPr>
        <w:spacing w:line="360" w:lineRule="auto"/>
        <w:ind w:firstLine="480" w:firstLineChars="200"/>
        <w:rPr>
          <w:rFonts w:hint="eastAsia" w:ascii="宋体" w:hAnsi="宋体" w:eastAsia="宋体" w:cs="宋体"/>
          <w:color w:val="auto"/>
          <w:sz w:val="24"/>
          <w:szCs w:val="24"/>
        </w:rPr>
      </w:pPr>
    </w:p>
    <w:p w14:paraId="4091396E">
      <w:pPr>
        <w:spacing w:line="56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曳引与强制驱动电梯检测质量监督抽查</w:t>
      </w:r>
    </w:p>
    <w:p w14:paraId="2753A472">
      <w:pPr>
        <w:spacing w:line="240" w:lineRule="exact"/>
        <w:ind w:firstLine="0"/>
        <w:jc w:val="left"/>
        <w:rPr>
          <w:rFonts w:hint="eastAsia" w:ascii="宋体" w:hAnsi="宋体" w:eastAsia="宋体" w:cs="宋体"/>
          <w:color w:val="auto"/>
          <w:szCs w:val="21"/>
        </w:rPr>
      </w:pPr>
    </w:p>
    <w:tbl>
      <w:tblPr>
        <w:tblStyle w:val="3"/>
        <w:tblW w:w="89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5953"/>
        <w:gridCol w:w="1134"/>
      </w:tblGrid>
      <w:tr w14:paraId="6C7A5C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80" w:type="dxa"/>
            <w:vAlign w:val="center"/>
          </w:tcPr>
          <w:p w14:paraId="39380D3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134" w:type="dxa"/>
            <w:vAlign w:val="center"/>
          </w:tcPr>
          <w:p w14:paraId="75A9865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953" w:type="dxa"/>
            <w:vAlign w:val="center"/>
          </w:tcPr>
          <w:p w14:paraId="3C86583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抽查内容及要求</w:t>
            </w:r>
          </w:p>
        </w:tc>
        <w:tc>
          <w:tcPr>
            <w:tcW w:w="1134" w:type="dxa"/>
            <w:vAlign w:val="center"/>
          </w:tcPr>
          <w:p w14:paraId="68831C8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监督抽查</w:t>
            </w:r>
          </w:p>
          <w:p w14:paraId="05EEB94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方法</w:t>
            </w:r>
          </w:p>
        </w:tc>
      </w:tr>
      <w:tr w14:paraId="281E39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47" w:hRule="atLeast"/>
          <w:jc w:val="center"/>
        </w:trPr>
        <w:tc>
          <w:tcPr>
            <w:tcW w:w="680" w:type="dxa"/>
            <w:vAlign w:val="center"/>
          </w:tcPr>
          <w:p w14:paraId="623E021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134" w:type="dxa"/>
            <w:vAlign w:val="center"/>
          </w:tcPr>
          <w:p w14:paraId="0437D9E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技术资料</w:t>
            </w:r>
          </w:p>
        </w:tc>
        <w:tc>
          <w:tcPr>
            <w:tcW w:w="5953" w:type="dxa"/>
            <w:vAlign w:val="center"/>
          </w:tcPr>
          <w:p w14:paraId="0DDEA19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审查电梯使用单位是否提供以下适用于受检电梯的资料：</w:t>
            </w:r>
          </w:p>
          <w:p w14:paraId="6633C7A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(1)电气原理图、液压系统原理图、安装使用维护保养说明书、检验和检测报告；</w:t>
            </w:r>
          </w:p>
          <w:p w14:paraId="622538F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(2)日常使用状况记录、维护保养记录、运行故障和事故记录。</w:t>
            </w:r>
          </w:p>
        </w:tc>
        <w:tc>
          <w:tcPr>
            <w:tcW w:w="1134" w:type="dxa"/>
            <w:vAlign w:val="center"/>
          </w:tcPr>
          <w:p w14:paraId="33AB896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现场审查</w:t>
            </w:r>
          </w:p>
          <w:p w14:paraId="196350B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资料</w:t>
            </w:r>
          </w:p>
        </w:tc>
      </w:tr>
      <w:tr w14:paraId="463D01A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680" w:type="dxa"/>
            <w:vAlign w:val="center"/>
          </w:tcPr>
          <w:p w14:paraId="32BD32E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134" w:type="dxa"/>
            <w:vAlign w:val="center"/>
          </w:tcPr>
          <w:p w14:paraId="5AA29A8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通道及</w:t>
            </w:r>
          </w:p>
          <w:p w14:paraId="565252B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照明</w:t>
            </w:r>
          </w:p>
        </w:tc>
        <w:tc>
          <w:tcPr>
            <w:tcW w:w="5953" w:type="dxa"/>
            <w:vAlign w:val="center"/>
          </w:tcPr>
          <w:p w14:paraId="307EC6A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(1)通往机器空间的通道保持通畅，相关人员能够安全、方便、无阻碍地使用，如果通往机器空间的通道高出楼梯所到平面不超过4.0m，可以采用固定的梯子作为通道；</w:t>
            </w:r>
          </w:p>
          <w:p w14:paraId="5D974F4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(2)进入机器空间的门附近的通道设有永久性电气照明。</w:t>
            </w:r>
          </w:p>
        </w:tc>
        <w:tc>
          <w:tcPr>
            <w:tcW w:w="1134" w:type="dxa"/>
            <w:vAlign w:val="center"/>
          </w:tcPr>
          <w:p w14:paraId="453BF3E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645F56D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74" w:hRule="atLeast"/>
          <w:jc w:val="center"/>
        </w:trPr>
        <w:tc>
          <w:tcPr>
            <w:tcW w:w="680" w:type="dxa"/>
            <w:vAlign w:val="center"/>
          </w:tcPr>
          <w:p w14:paraId="664808C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134" w:type="dxa"/>
            <w:vAlign w:val="center"/>
          </w:tcPr>
          <w:p w14:paraId="4AA7173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机房通道门及警示标志</w:t>
            </w:r>
          </w:p>
        </w:tc>
        <w:tc>
          <w:tcPr>
            <w:tcW w:w="5953" w:type="dxa"/>
            <w:vAlign w:val="center"/>
          </w:tcPr>
          <w:p w14:paraId="3AEFD58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(1)机房通道门不能向机房内开启，其高度不小于1.80m，宽度不小于0.60m，门上装有用钥匙开启的锁，门开启后不用钥匙能够将其关闭和锁住，门锁住后不用钥匙能够从机房内将门打开；</w:t>
            </w:r>
          </w:p>
          <w:p w14:paraId="01716DA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(2)机房通道门外侧设有包含“电梯机器——危险﹑未经允许禁止入内”文字的警示标志。</w:t>
            </w:r>
          </w:p>
        </w:tc>
        <w:tc>
          <w:tcPr>
            <w:tcW w:w="1134" w:type="dxa"/>
            <w:vAlign w:val="center"/>
          </w:tcPr>
          <w:p w14:paraId="1E5E15F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5B9D2E5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680" w:type="dxa"/>
            <w:vAlign w:val="center"/>
          </w:tcPr>
          <w:p w14:paraId="1E14B9D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134" w:type="dxa"/>
            <w:vAlign w:val="center"/>
          </w:tcPr>
          <w:p w14:paraId="1898B31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并道照明</w:t>
            </w:r>
          </w:p>
        </w:tc>
        <w:tc>
          <w:tcPr>
            <w:tcW w:w="5953" w:type="dxa"/>
            <w:vAlign w:val="center"/>
          </w:tcPr>
          <w:p w14:paraId="6161611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(1)井道内设有永久性电气照明：当部分封闭的井道附近有足够的电气照明时，井道内可以不设照明；</w:t>
            </w:r>
          </w:p>
          <w:p w14:paraId="0D0828C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(2)斜行电梯的井道内设置永久性人行通道的，沿着人行通道设有应急照明。</w:t>
            </w:r>
          </w:p>
        </w:tc>
        <w:tc>
          <w:tcPr>
            <w:tcW w:w="1134" w:type="dxa"/>
            <w:vAlign w:val="center"/>
          </w:tcPr>
          <w:p w14:paraId="715CB37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38A9147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406911F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3817637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134" w:type="dxa"/>
            <w:vAlign w:val="center"/>
          </w:tcPr>
          <w:p w14:paraId="3C054D4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主开关</w:t>
            </w:r>
          </w:p>
        </w:tc>
        <w:tc>
          <w:tcPr>
            <w:tcW w:w="5953" w:type="dxa"/>
            <w:vAlign w:val="center"/>
          </w:tcPr>
          <w:p w14:paraId="0ABEA44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检查每台电梯是否单独配置主开关，并且其不能切断轿厢照明和通风、机器空间照明、电梯井道照明以及轿顶、滑轮间和底坑电源插座的电源。</w:t>
            </w:r>
          </w:p>
        </w:tc>
        <w:tc>
          <w:tcPr>
            <w:tcW w:w="1134" w:type="dxa"/>
            <w:vAlign w:val="center"/>
          </w:tcPr>
          <w:p w14:paraId="7113161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3C6C3BF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25E6F9B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31" w:hRule="atLeast"/>
          <w:jc w:val="center"/>
        </w:trPr>
        <w:tc>
          <w:tcPr>
            <w:tcW w:w="680" w:type="dxa"/>
            <w:vAlign w:val="center"/>
          </w:tcPr>
          <w:p w14:paraId="37F7AF4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1134" w:type="dxa"/>
            <w:vAlign w:val="center"/>
          </w:tcPr>
          <w:p w14:paraId="7FB045C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极限位置限制装置</w:t>
            </w:r>
          </w:p>
        </w:tc>
        <w:tc>
          <w:tcPr>
            <w:tcW w:w="5953" w:type="dxa"/>
            <w:vAlign w:val="center"/>
          </w:tcPr>
          <w:p w14:paraId="7549DC3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检查极限位置限制装置是否能够在轿厢(运载装置)、对重接触缓冲器之前或者柱塞接触缓冲停止装置之前起作用，并且在缓冲器被压缩或者柱塞在缓冲停止区的期间能够保持其作用状态。</w:t>
            </w:r>
          </w:p>
        </w:tc>
        <w:tc>
          <w:tcPr>
            <w:tcW w:w="1134" w:type="dxa"/>
            <w:vAlign w:val="center"/>
          </w:tcPr>
          <w:p w14:paraId="58212A6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4410924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7C1B71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680" w:type="dxa"/>
            <w:vAlign w:val="center"/>
          </w:tcPr>
          <w:p w14:paraId="729B0F4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1134" w:type="dxa"/>
            <w:vAlign w:val="center"/>
          </w:tcPr>
          <w:p w14:paraId="7160479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底坑设施和装置</w:t>
            </w:r>
          </w:p>
        </w:tc>
        <w:tc>
          <w:tcPr>
            <w:tcW w:w="5953" w:type="dxa"/>
            <w:vAlign w:val="center"/>
          </w:tcPr>
          <w:p w14:paraId="4142576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(1)底坑内设有在进入底坑时以及在底坑地面上均能够方便操作的停止装置和进入底坑时方便操作的井道照明操作装置，并且功能有效；</w:t>
            </w:r>
          </w:p>
          <w:p w14:paraId="277345F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(2)底坑地面平整，无渗水、积水。</w:t>
            </w:r>
          </w:p>
        </w:tc>
        <w:tc>
          <w:tcPr>
            <w:tcW w:w="1134" w:type="dxa"/>
            <w:vAlign w:val="center"/>
          </w:tcPr>
          <w:p w14:paraId="1BB89A5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62EAD97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179B4B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98" w:hRule="atLeast"/>
          <w:jc w:val="center"/>
        </w:trPr>
        <w:tc>
          <w:tcPr>
            <w:tcW w:w="680" w:type="dxa"/>
            <w:vAlign w:val="center"/>
          </w:tcPr>
          <w:p w14:paraId="3B08AD5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134" w:type="dxa"/>
            <w:vAlign w:val="center"/>
          </w:tcPr>
          <w:p w14:paraId="2E99F9D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缓冲器</w:t>
            </w:r>
          </w:p>
        </w:tc>
        <w:tc>
          <w:tcPr>
            <w:tcW w:w="5953" w:type="dxa"/>
            <w:vAlign w:val="center"/>
          </w:tcPr>
          <w:p w14:paraId="448532A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(1)缓冲器无松动、明显倾斜、断裂、塑性变形、剥落、破损、严重锈蚀等现象；</w:t>
            </w:r>
          </w:p>
          <w:p w14:paraId="651FD5F3">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(2)耗能型缓冲器液位正确，验证柱塞复位的电气安全装置功能有效；</w:t>
            </w:r>
          </w:p>
          <w:p w14:paraId="36C17EC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(3)对重缓冲器附近设有清晰的对重越程距离标识；</w:t>
            </w:r>
          </w:p>
          <w:p w14:paraId="480CD3A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(4)当轿厢位于顶层端站平层位置时，对重装置撞板与其缓冲器顶面间的距离不超过对重越程距离标识上标注的最大允许值</w:t>
            </w:r>
          </w:p>
        </w:tc>
        <w:tc>
          <w:tcPr>
            <w:tcW w:w="1134" w:type="dxa"/>
            <w:vAlign w:val="center"/>
          </w:tcPr>
          <w:p w14:paraId="3FA1947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378804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7D0C7F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75" w:hRule="atLeast"/>
          <w:jc w:val="center"/>
        </w:trPr>
        <w:tc>
          <w:tcPr>
            <w:tcW w:w="680" w:type="dxa"/>
            <w:vAlign w:val="center"/>
          </w:tcPr>
          <w:p w14:paraId="3B7A1C6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1134" w:type="dxa"/>
            <w:vAlign w:val="center"/>
          </w:tcPr>
          <w:p w14:paraId="07F7A12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进入底坑的措施</w:t>
            </w:r>
          </w:p>
        </w:tc>
        <w:tc>
          <w:tcPr>
            <w:tcW w:w="5953" w:type="dxa"/>
            <w:vAlign w:val="center"/>
          </w:tcPr>
          <w:p w14:paraId="21EB531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(1)供人员从层门进入底坑的梯子为永久设置的固定式梯子，并且不凸入电梯的运行空间；</w:t>
            </w:r>
          </w:p>
          <w:p w14:paraId="47994EE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(2)供人员从层门进入底坑的梯子为永久设置的非固定式梯子，如果该梯子在展开位置可能与运动部件发生碰撞，当其不在存放位置时，能够通过电气安全装置防止电梯运行；</w:t>
            </w:r>
          </w:p>
          <w:p w14:paraId="18BB0B2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(3)供人员进入底坑的通道门不向底坑内开启，其高度不小于1.80m，宽度不小于0.60m (对于斜行电梯，可以采用尺寸不小于0.80m×0.80m 的活板门)，门上装有带钥匙的锁，门开启后不用钥匙能够将其关闭和锁住，门锁住后不用钥匙能够从底坑内将门打开，在井道外，通道门附近设有包含“电梯井道——危险未经允许禁止入内”文字的警示标志。</w:t>
            </w:r>
          </w:p>
        </w:tc>
        <w:tc>
          <w:tcPr>
            <w:tcW w:w="1134" w:type="dxa"/>
            <w:vAlign w:val="center"/>
          </w:tcPr>
          <w:p w14:paraId="5428090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57B3587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4678030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134" w:type="dxa"/>
            <w:vAlign w:val="center"/>
          </w:tcPr>
          <w:p w14:paraId="4D6B542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断相、错相保护功能</w:t>
            </w:r>
          </w:p>
        </w:tc>
        <w:tc>
          <w:tcPr>
            <w:tcW w:w="5953" w:type="dxa"/>
            <w:vAlign w:val="center"/>
          </w:tcPr>
          <w:p w14:paraId="7BD7D88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检查断相、错相保护功能是否有效，电梯运行与相序无关时，可以不设错相保护。</w:t>
            </w:r>
          </w:p>
        </w:tc>
        <w:tc>
          <w:tcPr>
            <w:tcW w:w="1134" w:type="dxa"/>
            <w:vAlign w:val="center"/>
          </w:tcPr>
          <w:p w14:paraId="53D4F26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286374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475E86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74" w:hRule="atLeast"/>
          <w:jc w:val="center"/>
        </w:trPr>
        <w:tc>
          <w:tcPr>
            <w:tcW w:w="680" w:type="dxa"/>
            <w:vAlign w:val="center"/>
          </w:tcPr>
          <w:p w14:paraId="4643EA9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1134" w:type="dxa"/>
            <w:vAlign w:val="center"/>
          </w:tcPr>
          <w:p w14:paraId="15A9858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接地保护措施</w:t>
            </w:r>
          </w:p>
        </w:tc>
        <w:tc>
          <w:tcPr>
            <w:tcW w:w="5953" w:type="dxa"/>
            <w:vAlign w:val="center"/>
          </w:tcPr>
          <w:p w14:paraId="3818977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(1)机器空间的电气设备及线管、线槽的外露可导电部分与保护导体(PE，地线)可靠连接；</w:t>
            </w:r>
          </w:p>
          <w:p w14:paraId="615B378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(2)含有电气安全装置的电路发生接地故障时，驱动主机立即停止运转，或者在第一次正常停止运转后，能够防止驱动主机再启动，恢复电梯运行只能通过手动复位。</w:t>
            </w:r>
          </w:p>
        </w:tc>
        <w:tc>
          <w:tcPr>
            <w:tcW w:w="1134" w:type="dxa"/>
            <w:vAlign w:val="center"/>
          </w:tcPr>
          <w:p w14:paraId="31F16F3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CDB3E7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507023F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74" w:hRule="atLeast"/>
          <w:jc w:val="center"/>
        </w:trPr>
        <w:tc>
          <w:tcPr>
            <w:tcW w:w="680" w:type="dxa"/>
            <w:vAlign w:val="center"/>
          </w:tcPr>
          <w:p w14:paraId="25717AC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1134" w:type="dxa"/>
            <w:vAlign w:val="center"/>
          </w:tcPr>
          <w:p w14:paraId="64663B1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门回路监测功能</w:t>
            </w:r>
          </w:p>
        </w:tc>
        <w:tc>
          <w:tcPr>
            <w:tcW w:w="5953" w:type="dxa"/>
            <w:vAlign w:val="center"/>
          </w:tcPr>
          <w:p w14:paraId="5B6EC1F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当轿厢停在开锁区域内、轿门开启并且层门门锁释放时，门回路监测系统是否对检查轿门关闭位置的电气安全装置、检查层门锁紧装置锁紧位置的电气安全装置，或者轿门电气安全装置和层门电气安全装置所构成的电路，以及监控信号的正确动作进行监测，监测到故障时是否能够防止电梯的正常运行。</w:t>
            </w:r>
          </w:p>
        </w:tc>
        <w:tc>
          <w:tcPr>
            <w:tcW w:w="1134" w:type="dxa"/>
            <w:vAlign w:val="center"/>
          </w:tcPr>
          <w:p w14:paraId="3409ED6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13542BC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1BB5992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74" w:hRule="atLeast"/>
          <w:jc w:val="center"/>
        </w:trPr>
        <w:tc>
          <w:tcPr>
            <w:tcW w:w="680" w:type="dxa"/>
            <w:vAlign w:val="center"/>
          </w:tcPr>
          <w:p w14:paraId="18A6AB5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1134" w:type="dxa"/>
            <w:vAlign w:val="center"/>
          </w:tcPr>
          <w:p w14:paraId="6384D55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制动器</w:t>
            </w:r>
          </w:p>
        </w:tc>
        <w:tc>
          <w:tcPr>
            <w:tcW w:w="5953" w:type="dxa"/>
            <w:vAlign w:val="center"/>
          </w:tcPr>
          <w:p w14:paraId="784465A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(1)能够从井道外独立地测试每个制动组；</w:t>
            </w:r>
          </w:p>
          <w:p w14:paraId="544BA3E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(2)制动器动作灵活，制动时制动闸瓦(制动钳)紧密、均匀地贴合在制动轮(制动盘)上，电梯运行时制动闸瓦(制动钳)与制动轮(制动盘)不发生摩擦，制动闸瓦(制动钳)以及制动轮(制动盘)工作面上无油污。</w:t>
            </w:r>
          </w:p>
        </w:tc>
        <w:tc>
          <w:tcPr>
            <w:tcW w:w="1134" w:type="dxa"/>
            <w:vAlign w:val="center"/>
          </w:tcPr>
          <w:p w14:paraId="061AE00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273660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287E9D6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1DF8AA1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1134" w:type="dxa"/>
            <w:vAlign w:val="center"/>
          </w:tcPr>
          <w:p w14:paraId="7D22204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制动器状态监测</w:t>
            </w:r>
          </w:p>
          <w:p w14:paraId="6501DAC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功能</w:t>
            </w:r>
          </w:p>
        </w:tc>
        <w:tc>
          <w:tcPr>
            <w:tcW w:w="5953" w:type="dxa"/>
            <w:vAlign w:val="center"/>
          </w:tcPr>
          <w:p w14:paraId="471CE6A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检查其是否能够监测制动器的每组制动力或者每次动作时每组机械部件的正确动作(松开或者制动)，当监测到失效时，是否能够防止电梯的正常运行。</w:t>
            </w:r>
          </w:p>
        </w:tc>
        <w:tc>
          <w:tcPr>
            <w:tcW w:w="1134" w:type="dxa"/>
            <w:vAlign w:val="center"/>
          </w:tcPr>
          <w:p w14:paraId="1204384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2E5B25E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14C04B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680" w:type="dxa"/>
            <w:vAlign w:val="center"/>
          </w:tcPr>
          <w:p w14:paraId="402252E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1134" w:type="dxa"/>
            <w:vAlign w:val="center"/>
          </w:tcPr>
          <w:p w14:paraId="69A9E16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紧急电动运行控制</w:t>
            </w:r>
          </w:p>
        </w:tc>
        <w:tc>
          <w:tcPr>
            <w:tcW w:w="5953" w:type="dxa"/>
            <w:vAlign w:val="center"/>
          </w:tcPr>
          <w:p w14:paraId="400C0A9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(1)紧急电动运行控制功能有效；</w:t>
            </w:r>
          </w:p>
          <w:p w14:paraId="1157190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(2)操作紧急电动运行开关后，依靠持续按压按钮来控制轿厢运行，按钮上或者其附近清晰地标明运行方向，进行紧急电动运行操作时，易于观察轿厢是否在开锁区域。</w:t>
            </w:r>
          </w:p>
        </w:tc>
        <w:tc>
          <w:tcPr>
            <w:tcW w:w="1134" w:type="dxa"/>
            <w:vAlign w:val="center"/>
          </w:tcPr>
          <w:p w14:paraId="015180B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12D118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7654AA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74" w:hRule="atLeast"/>
          <w:jc w:val="center"/>
        </w:trPr>
        <w:tc>
          <w:tcPr>
            <w:tcW w:w="680" w:type="dxa"/>
            <w:vAlign w:val="center"/>
          </w:tcPr>
          <w:p w14:paraId="7F6B326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1134" w:type="dxa"/>
            <w:vAlign w:val="center"/>
          </w:tcPr>
          <w:p w14:paraId="35B9D46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紧急和测试操作屏</w:t>
            </w:r>
          </w:p>
        </w:tc>
        <w:tc>
          <w:tcPr>
            <w:tcW w:w="5953" w:type="dxa"/>
            <w:vAlign w:val="center"/>
          </w:tcPr>
          <w:p w14:paraId="7CDB295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(1)紧急操作和动态测试功能有效；</w:t>
            </w:r>
          </w:p>
          <w:p w14:paraId="4CC953B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(2)设有显示装置或者观察窗，以获得轿厢运行方向、速度以及是否到达开锁区域的信息；</w:t>
            </w:r>
          </w:p>
          <w:p w14:paraId="3941D16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(3)设有停止装置，除非在其附近1m 之内有可以直接接近的主开关或者其他停止装置。</w:t>
            </w:r>
          </w:p>
        </w:tc>
        <w:tc>
          <w:tcPr>
            <w:tcW w:w="1134" w:type="dxa"/>
            <w:vAlign w:val="center"/>
          </w:tcPr>
          <w:p w14:paraId="176637C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bl>
    <w:tbl>
      <w:tblPr>
        <w:tblStyle w:val="3"/>
        <w:tblpPr w:leftFromText="180" w:rightFromText="180" w:vertAnchor="text" w:horzAnchor="margin" w:tblpX="-189" w:tblpY="52"/>
        <w:tblW w:w="9091"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0"/>
        <w:gridCol w:w="1134"/>
        <w:gridCol w:w="5953"/>
        <w:gridCol w:w="1134"/>
      </w:tblGrid>
      <w:tr w14:paraId="147D40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68" w:hRule="atLeast"/>
        </w:trPr>
        <w:tc>
          <w:tcPr>
            <w:tcW w:w="870" w:type="dxa"/>
            <w:vAlign w:val="center"/>
          </w:tcPr>
          <w:p w14:paraId="7AF334E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1134" w:type="dxa"/>
            <w:vAlign w:val="center"/>
          </w:tcPr>
          <w:p w14:paraId="063102A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紧急报警装置(对讲系统)</w:t>
            </w:r>
          </w:p>
        </w:tc>
        <w:tc>
          <w:tcPr>
            <w:tcW w:w="5953" w:type="dxa"/>
            <w:vAlign w:val="center"/>
          </w:tcPr>
          <w:p w14:paraId="3F379B6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轿厢内的紧急报警装置采用由应急电源供电的双向对讲系统与救援服务持续联系，如果电梯行程大于30m或者轿厢内与进行紧急操作处之间无法直接对话，则在轿厢内和进行紧急操作处还设置由应急电源供电的双向对讲系统或者类似装置；</w:t>
            </w:r>
          </w:p>
          <w:p w14:paraId="4ED0FB8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对于消防员电梯，还设有在优先召回和消防服务阶段用于轿厢和消防员入口层之间、轿厢和机房或者紧急和测试操作屏之间的双向对讲系统或者类似装置，并且无需按压控制按钮即可实现轿厢和消防员入口层之间的通信。</w:t>
            </w:r>
          </w:p>
        </w:tc>
        <w:tc>
          <w:tcPr>
            <w:tcW w:w="1134" w:type="dxa"/>
            <w:vAlign w:val="center"/>
          </w:tcPr>
          <w:p w14:paraId="773C0DC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53E1DC6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51" w:hRule="atLeast"/>
        </w:trPr>
        <w:tc>
          <w:tcPr>
            <w:tcW w:w="870" w:type="dxa"/>
            <w:vAlign w:val="center"/>
          </w:tcPr>
          <w:p w14:paraId="5CF12DA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1134" w:type="dxa"/>
            <w:vAlign w:val="center"/>
          </w:tcPr>
          <w:p w14:paraId="1E8351D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门旁路</w:t>
            </w:r>
          </w:p>
          <w:p w14:paraId="75172B3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装置</w:t>
            </w:r>
          </w:p>
        </w:tc>
        <w:tc>
          <w:tcPr>
            <w:tcW w:w="5953" w:type="dxa"/>
            <w:vAlign w:val="center"/>
          </w:tcPr>
          <w:p w14:paraId="395DA41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(1)层门和轿门旁路装置上或者附近标明“旁路”字样；</w:t>
            </w:r>
          </w:p>
          <w:p w14:paraId="51BDE37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(2)处于旁路状态时，能够旁路层门关闭触点、层门门锁触点、轿门关闭触点、轿门门锁触点，但不能同时旁路层门和轿门的触点，对于手动层门，不能同时旁路层门关闭触点和层门门锁触点；</w:t>
            </w:r>
          </w:p>
          <w:p w14:paraId="2FAAD01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(3)处于旁路状态时，取消正常运行(包括自动门的任何运行)，并且只有在检修运行控制或者紧急电动运行控制下电梯才能运行，轿厢上的听觉信号和轿底的闪烁灯在运行期间起作用；</w:t>
            </w:r>
          </w:p>
          <w:p w14:paraId="6C0E4F8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(4)提供独立的监控信号证实轿门处于关闭位置。</w:t>
            </w:r>
          </w:p>
        </w:tc>
        <w:tc>
          <w:tcPr>
            <w:tcW w:w="1134" w:type="dxa"/>
            <w:vAlign w:val="center"/>
          </w:tcPr>
          <w:p w14:paraId="0A1F9BE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A8D821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6A9CB8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4" w:hRule="atLeast"/>
        </w:trPr>
        <w:tc>
          <w:tcPr>
            <w:tcW w:w="870" w:type="dxa"/>
            <w:vAlign w:val="center"/>
          </w:tcPr>
          <w:p w14:paraId="0530BF4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1134" w:type="dxa"/>
            <w:vAlign w:val="center"/>
          </w:tcPr>
          <w:p w14:paraId="398E04D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驱动主机停止装置</w:t>
            </w:r>
          </w:p>
        </w:tc>
        <w:tc>
          <w:tcPr>
            <w:tcW w:w="5953" w:type="dxa"/>
            <w:vAlign w:val="center"/>
          </w:tcPr>
          <w:p w14:paraId="5ED51B2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检查在驱动主机附近1m 之内是否设有可以直接接近的主开关或者停止装置，并且功能有效。</w:t>
            </w:r>
          </w:p>
        </w:tc>
        <w:tc>
          <w:tcPr>
            <w:tcW w:w="1134" w:type="dxa"/>
            <w:vAlign w:val="center"/>
          </w:tcPr>
          <w:p w14:paraId="7A5DB66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4DD9CA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870" w:type="dxa"/>
            <w:vAlign w:val="center"/>
          </w:tcPr>
          <w:p w14:paraId="6624DFC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1134" w:type="dxa"/>
            <w:vAlign w:val="center"/>
          </w:tcPr>
          <w:p w14:paraId="37BCC55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曳引轮绳槽(带槽)</w:t>
            </w:r>
          </w:p>
        </w:tc>
        <w:tc>
          <w:tcPr>
            <w:tcW w:w="5953" w:type="dxa"/>
            <w:vAlign w:val="center"/>
          </w:tcPr>
          <w:p w14:paraId="008003C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检查曳引轮绳槽(带槽)是否无缺损或者不正常磨损。</w:t>
            </w:r>
          </w:p>
        </w:tc>
        <w:tc>
          <w:tcPr>
            <w:tcW w:w="1134" w:type="dxa"/>
            <w:vAlign w:val="center"/>
          </w:tcPr>
          <w:p w14:paraId="0C52269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340C932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06776AC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70" w:type="dxa"/>
            <w:vAlign w:val="center"/>
          </w:tcPr>
          <w:p w14:paraId="2E96E54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1134" w:type="dxa"/>
            <w:vAlign w:val="center"/>
          </w:tcPr>
          <w:p w14:paraId="1E8AA02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钢丝绳</w:t>
            </w:r>
          </w:p>
        </w:tc>
        <w:tc>
          <w:tcPr>
            <w:tcW w:w="5953" w:type="dxa"/>
            <w:vAlign w:val="center"/>
          </w:tcPr>
          <w:p w14:paraId="43351E7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检查悬挂钢丝绳、补偿钢丝绳无笼状畸变、绳股挤出、扭结、部分压扁、弯折、严重锈蚀、铁锈填满绳股间隙、直径小于其公称直径的90%等达到报废条件的现象。</w:t>
            </w:r>
          </w:p>
        </w:tc>
        <w:tc>
          <w:tcPr>
            <w:tcW w:w="1134" w:type="dxa"/>
            <w:vAlign w:val="center"/>
          </w:tcPr>
          <w:p w14:paraId="3D38D80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62EBEF4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02D909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17" w:hRule="atLeast"/>
        </w:trPr>
        <w:tc>
          <w:tcPr>
            <w:tcW w:w="870" w:type="dxa"/>
            <w:vAlign w:val="center"/>
          </w:tcPr>
          <w:p w14:paraId="7571372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22</w:t>
            </w:r>
          </w:p>
        </w:tc>
        <w:tc>
          <w:tcPr>
            <w:tcW w:w="1134" w:type="dxa"/>
            <w:vAlign w:val="center"/>
          </w:tcPr>
          <w:p w14:paraId="38B1A7F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包覆带</w:t>
            </w:r>
          </w:p>
        </w:tc>
        <w:tc>
          <w:tcPr>
            <w:tcW w:w="5953" w:type="dxa"/>
            <w:vAlign w:val="center"/>
          </w:tcPr>
          <w:p w14:paraId="7E9A337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(1)无包覆层变形(如鼓包、压痕、折痕、凹陷等)、包覆带承载体外露或者刺出、承载体断裂等达到报废条件的现象；</w:t>
            </w:r>
          </w:p>
          <w:p w14:paraId="6FFF4F4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(2)设有监测每根包覆带承载体强度的装置，当检测到任一根承载体破断时，能够防止电梯的下一次正常启动；</w:t>
            </w:r>
          </w:p>
          <w:p w14:paraId="7722B2C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(3)用于查看包覆带使用时间或者电梯启动次数的装置完好。</w:t>
            </w:r>
          </w:p>
        </w:tc>
        <w:tc>
          <w:tcPr>
            <w:tcW w:w="1134" w:type="dxa"/>
            <w:vAlign w:val="center"/>
          </w:tcPr>
          <w:p w14:paraId="53FB5CF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25A053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40E3265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trPr>
        <w:tc>
          <w:tcPr>
            <w:tcW w:w="870" w:type="dxa"/>
            <w:vAlign w:val="center"/>
          </w:tcPr>
          <w:p w14:paraId="5F25501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23</w:t>
            </w:r>
          </w:p>
        </w:tc>
        <w:tc>
          <w:tcPr>
            <w:tcW w:w="1134" w:type="dxa"/>
            <w:vAlign w:val="center"/>
          </w:tcPr>
          <w:p w14:paraId="0C28E9A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悬挂装置端部固定</w:t>
            </w:r>
          </w:p>
        </w:tc>
        <w:tc>
          <w:tcPr>
            <w:tcW w:w="5953" w:type="dxa"/>
            <w:vAlign w:val="center"/>
          </w:tcPr>
          <w:p w14:paraId="46C9228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(1)悬挂装置的端部固定部件无裂纹、松动等现象，端接装置的弹簧、螺母、开口销等连接部件无缺损；</w:t>
            </w:r>
          </w:p>
          <w:p w14:paraId="3B937CE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(2)对于强制驱动电梯，采用带楔块的压紧装置或者至少用两个绳夹将悬挂装置固定在卷筒上。</w:t>
            </w:r>
          </w:p>
        </w:tc>
        <w:tc>
          <w:tcPr>
            <w:tcW w:w="1134" w:type="dxa"/>
            <w:vAlign w:val="center"/>
          </w:tcPr>
          <w:p w14:paraId="224B034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01773A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0F7E0A6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57" w:hRule="atLeast"/>
        </w:trPr>
        <w:tc>
          <w:tcPr>
            <w:tcW w:w="870" w:type="dxa"/>
            <w:vAlign w:val="center"/>
          </w:tcPr>
          <w:p w14:paraId="64F30DF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24</w:t>
            </w:r>
          </w:p>
        </w:tc>
        <w:tc>
          <w:tcPr>
            <w:tcW w:w="1134" w:type="dxa"/>
            <w:vAlign w:val="center"/>
          </w:tcPr>
          <w:p w14:paraId="0D0E5FA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补偿装置</w:t>
            </w:r>
          </w:p>
        </w:tc>
        <w:tc>
          <w:tcPr>
            <w:tcW w:w="5953" w:type="dxa"/>
            <w:vAlign w:val="center"/>
          </w:tcPr>
          <w:p w14:paraId="2D801D6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(1)补偿装置的端部固定部件无裂纹、松动等现象；</w:t>
            </w:r>
          </w:p>
          <w:p w14:paraId="3B6BBC9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(2)使用电气安全装置来检查补偿绳的最小张紧位置(对于斜行电梯，当不采用重力张紧装置时，设置电气安全装置检查补偿绳的最大张紧位置)，当电梯的额定速度大于 3.5m/s(对于斜行电梯，大于 2.5m/s)时，设有防跳装置，该装置动作时由电气安全装置使电梯停止运行。</w:t>
            </w:r>
          </w:p>
        </w:tc>
        <w:tc>
          <w:tcPr>
            <w:tcW w:w="1134" w:type="dxa"/>
            <w:vAlign w:val="center"/>
          </w:tcPr>
          <w:p w14:paraId="14DBD8A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6893401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bl>
    <w:p w14:paraId="4DF78DA5">
      <w:pPr>
        <w:spacing w:line="240" w:lineRule="auto"/>
        <w:ind w:firstLine="0"/>
        <w:rPr>
          <w:rFonts w:hint="eastAsia" w:ascii="宋体" w:hAnsi="宋体" w:eastAsia="宋体" w:cs="宋体"/>
          <w:color w:val="auto"/>
        </w:rPr>
      </w:pPr>
    </w:p>
    <w:tbl>
      <w:tblPr>
        <w:tblStyle w:val="3"/>
        <w:tblpPr w:leftFromText="180" w:rightFromText="180" w:vertAnchor="text" w:tblpY="52"/>
        <w:tblW w:w="8901"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5953"/>
        <w:gridCol w:w="1134"/>
      </w:tblGrid>
      <w:tr w14:paraId="4F118A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52" w:hRule="atLeast"/>
        </w:trPr>
        <w:tc>
          <w:tcPr>
            <w:tcW w:w="680" w:type="dxa"/>
            <w:vAlign w:val="center"/>
          </w:tcPr>
          <w:p w14:paraId="5F63A44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25</w:t>
            </w:r>
          </w:p>
        </w:tc>
        <w:tc>
          <w:tcPr>
            <w:tcW w:w="1134" w:type="dxa"/>
            <w:vAlign w:val="center"/>
          </w:tcPr>
          <w:p w14:paraId="3F353F3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手动紧急操作装置</w:t>
            </w:r>
          </w:p>
        </w:tc>
        <w:tc>
          <w:tcPr>
            <w:tcW w:w="5953" w:type="dxa"/>
            <w:vAlign w:val="center"/>
          </w:tcPr>
          <w:p w14:paraId="1B1A47C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(1)对于曳引与强制驱动电梯，能够通过持续手动操作的机械装置或者由自动充电的紧急电源供电的电气装置打开驱动主机制动器，并且该装置的失效不会导致制动功能的失效；</w:t>
            </w:r>
          </w:p>
          <w:p w14:paraId="137CC56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(2)手动松开制动器后仅在重力作用下轿厢(运载装置)不能移动时，能够通过手动机械装置、独立于主电源供电的手动操作电动装置或者其他措施将轿厢(运载装置)移动到附近层站；</w:t>
            </w:r>
          </w:p>
          <w:p w14:paraId="59CEEF2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(3)如果电梯的移动可能带动手动机械装置，该装置是平滑和无辐条的轮子；</w:t>
            </w:r>
          </w:p>
          <w:p w14:paraId="46AC0CB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(4)如果手动机械装置可以从驱动主机上拆卸或者脱出，设有最迟在其连接到驱动主机时起作用的电气安全装置；</w:t>
            </w:r>
          </w:p>
          <w:p w14:paraId="04CDAED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(5)液压驱动电梯设有手动操作的紧急下降阀，以在失电时操纵该阀使轿厢向下移动至层站；</w:t>
            </w:r>
          </w:p>
          <w:p w14:paraId="0B493CE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(6)对于轿厢上装有安全钳或者夹紧装置的液压驱动电梯，永久性地安装手动泵，以通过操纵该泵使轿厢向上移动；</w:t>
            </w:r>
          </w:p>
          <w:p w14:paraId="37DAC88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(7)在紧急操作处，易于检查轿厢是否在开锁区域。</w:t>
            </w:r>
          </w:p>
        </w:tc>
        <w:tc>
          <w:tcPr>
            <w:tcW w:w="1134" w:type="dxa"/>
            <w:vAlign w:val="center"/>
          </w:tcPr>
          <w:p w14:paraId="1B49434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113ACF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680" w:type="dxa"/>
            <w:vAlign w:val="center"/>
          </w:tcPr>
          <w:p w14:paraId="495AAC8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26</w:t>
            </w:r>
          </w:p>
        </w:tc>
        <w:tc>
          <w:tcPr>
            <w:tcW w:w="1134" w:type="dxa"/>
            <w:vAlign w:val="center"/>
          </w:tcPr>
          <w:p w14:paraId="156B55E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异常伸长保护措施</w:t>
            </w:r>
          </w:p>
        </w:tc>
        <w:tc>
          <w:tcPr>
            <w:tcW w:w="5953" w:type="dxa"/>
            <w:vAlign w:val="center"/>
          </w:tcPr>
          <w:p w14:paraId="229BF2D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如果轿厢(运载装置)悬挂在包覆带或者两根钢丝绳上，检查当任意一根悬挂装置发生异常相对伸长时，是否能够通过电气安全装置防止电梯的正常运行。</w:t>
            </w:r>
          </w:p>
        </w:tc>
        <w:tc>
          <w:tcPr>
            <w:tcW w:w="1134" w:type="dxa"/>
            <w:vAlign w:val="center"/>
          </w:tcPr>
          <w:p w14:paraId="17D5F7C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6F93277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3C2B66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trPr>
        <w:tc>
          <w:tcPr>
            <w:tcW w:w="680" w:type="dxa"/>
            <w:vAlign w:val="center"/>
          </w:tcPr>
          <w:p w14:paraId="0425A46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27</w:t>
            </w:r>
          </w:p>
        </w:tc>
        <w:tc>
          <w:tcPr>
            <w:tcW w:w="1134" w:type="dxa"/>
            <w:vAlign w:val="center"/>
          </w:tcPr>
          <w:p w14:paraId="3A0ABD5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旋转部件防护装置</w:t>
            </w:r>
          </w:p>
        </w:tc>
        <w:tc>
          <w:tcPr>
            <w:tcW w:w="5953" w:type="dxa"/>
            <w:vAlign w:val="center"/>
          </w:tcPr>
          <w:p w14:paraId="1F790B7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检查曳引轮、滑轮、限速器和张紧轮是否设置防护装置，以避免人身伤害、钢丝绳(包覆带)因松弛而脱离绳槽(带槽)、异物进入钢丝绳(包覆带)与绳槽(带槽)之间，并且防护装置与运动部件无碰擦。</w:t>
            </w:r>
          </w:p>
        </w:tc>
        <w:tc>
          <w:tcPr>
            <w:tcW w:w="1134" w:type="dxa"/>
            <w:vAlign w:val="center"/>
          </w:tcPr>
          <w:p w14:paraId="384F498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6A138D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47F6E2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57" w:hRule="atLeast"/>
        </w:trPr>
        <w:tc>
          <w:tcPr>
            <w:tcW w:w="680" w:type="dxa"/>
            <w:vAlign w:val="center"/>
          </w:tcPr>
          <w:p w14:paraId="4619B0A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28</w:t>
            </w:r>
          </w:p>
        </w:tc>
        <w:tc>
          <w:tcPr>
            <w:tcW w:w="1134" w:type="dxa"/>
            <w:vAlign w:val="center"/>
          </w:tcPr>
          <w:p w14:paraId="6DD95E2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非金属材质反绳轮</w:t>
            </w:r>
          </w:p>
        </w:tc>
        <w:tc>
          <w:tcPr>
            <w:tcW w:w="5953" w:type="dxa"/>
            <w:vAlign w:val="center"/>
          </w:tcPr>
          <w:p w14:paraId="22C63E0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(1)电梯的额定速度不大于1.75m/s；</w:t>
            </w:r>
          </w:p>
          <w:p w14:paraId="5B408E7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(2)反绳轮上或者附近设有永久固定和清晰的标识，标明反绳轮制造单位名称或者商标、制造日期、维护保养要求(如润滑方法与周期)及报废条件；</w:t>
            </w:r>
          </w:p>
          <w:p w14:paraId="5A19105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(3)维护保养单位按照要求进行了维护保养，并且提供了维护保养过程的视频或者照片等见证资料</w:t>
            </w:r>
          </w:p>
        </w:tc>
        <w:tc>
          <w:tcPr>
            <w:tcW w:w="1134" w:type="dxa"/>
            <w:vAlign w:val="center"/>
          </w:tcPr>
          <w:p w14:paraId="442BD4B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现场观察确认并检查相关资料</w:t>
            </w:r>
          </w:p>
        </w:tc>
      </w:tr>
      <w:tr w14:paraId="56ABA9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680" w:type="dxa"/>
            <w:vAlign w:val="center"/>
          </w:tcPr>
          <w:p w14:paraId="75715A4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29</w:t>
            </w:r>
          </w:p>
        </w:tc>
        <w:tc>
          <w:tcPr>
            <w:tcW w:w="1134" w:type="dxa"/>
            <w:vAlign w:val="center"/>
          </w:tcPr>
          <w:p w14:paraId="05FC79B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轿顶停止</w:t>
            </w:r>
          </w:p>
          <w:p w14:paraId="10EB9C5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装置</w:t>
            </w:r>
          </w:p>
        </w:tc>
        <w:tc>
          <w:tcPr>
            <w:tcW w:w="5953" w:type="dxa"/>
            <w:vAlign w:val="center"/>
          </w:tcPr>
          <w:p w14:paraId="3629EF6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检查轿顶上距入口不大于1m处是否设有易于接近的停止装置，并且功能有效，该装置也可以是距入口不大于1m的检修控制装置上的停止装置。</w:t>
            </w:r>
          </w:p>
        </w:tc>
        <w:tc>
          <w:tcPr>
            <w:tcW w:w="1134" w:type="dxa"/>
            <w:vAlign w:val="center"/>
          </w:tcPr>
          <w:p w14:paraId="79E2DE5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64FEA77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680" w:type="dxa"/>
            <w:vAlign w:val="center"/>
          </w:tcPr>
          <w:p w14:paraId="5AE3271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30</w:t>
            </w:r>
          </w:p>
        </w:tc>
        <w:tc>
          <w:tcPr>
            <w:tcW w:w="1134" w:type="dxa"/>
            <w:vAlign w:val="center"/>
          </w:tcPr>
          <w:p w14:paraId="340AE12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轿厢安</w:t>
            </w:r>
          </w:p>
          <w:p w14:paraId="48DA136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全窗</w:t>
            </w:r>
          </w:p>
        </w:tc>
        <w:tc>
          <w:tcPr>
            <w:tcW w:w="5953" w:type="dxa"/>
            <w:vAlign w:val="center"/>
          </w:tcPr>
          <w:p w14:paraId="44540AA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如果设有轿厢安全窗，检查安全窗的锁紧是否由电气安全装置验证。</w:t>
            </w:r>
          </w:p>
        </w:tc>
        <w:tc>
          <w:tcPr>
            <w:tcW w:w="1134" w:type="dxa"/>
            <w:vAlign w:val="center"/>
          </w:tcPr>
          <w:p w14:paraId="785F469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107F257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1CB973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680" w:type="dxa"/>
            <w:vAlign w:val="center"/>
          </w:tcPr>
          <w:p w14:paraId="2350E1F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31</w:t>
            </w:r>
          </w:p>
        </w:tc>
        <w:tc>
          <w:tcPr>
            <w:tcW w:w="1134" w:type="dxa"/>
            <w:vAlign w:val="center"/>
          </w:tcPr>
          <w:p w14:paraId="03D010D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轿厢安</w:t>
            </w:r>
          </w:p>
          <w:p w14:paraId="6B632C5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全门</w:t>
            </w:r>
          </w:p>
        </w:tc>
        <w:tc>
          <w:tcPr>
            <w:tcW w:w="5953" w:type="dxa"/>
            <w:vAlign w:val="center"/>
          </w:tcPr>
          <w:p w14:paraId="03EF383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如果设有轿厢安全门，检查安全门的锁紧是否由电气安全装置验证。</w:t>
            </w:r>
          </w:p>
        </w:tc>
        <w:tc>
          <w:tcPr>
            <w:tcW w:w="1134" w:type="dxa"/>
            <w:vAlign w:val="center"/>
          </w:tcPr>
          <w:p w14:paraId="0ACE748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8DB1F1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0872F4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57" w:hRule="atLeast"/>
        </w:trPr>
        <w:tc>
          <w:tcPr>
            <w:tcW w:w="680" w:type="dxa"/>
            <w:vAlign w:val="center"/>
          </w:tcPr>
          <w:p w14:paraId="0CB620F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32</w:t>
            </w:r>
          </w:p>
        </w:tc>
        <w:tc>
          <w:tcPr>
            <w:tcW w:w="1134" w:type="dxa"/>
            <w:vAlign w:val="center"/>
          </w:tcPr>
          <w:p w14:paraId="547C084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对重(平衡重)块</w:t>
            </w:r>
          </w:p>
        </w:tc>
        <w:tc>
          <w:tcPr>
            <w:tcW w:w="5953" w:type="dxa"/>
            <w:vAlign w:val="center"/>
          </w:tcPr>
          <w:p w14:paraId="156DA5B3">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(1)对重(平衡重)块无松动、移位等现象；</w:t>
            </w:r>
          </w:p>
          <w:p w14:paraId="3B63A53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(2)具有能够快速识别对重(平衡重)块数蛩的措施(例如标明数量或者总高度)，并且该措施不会被混淆；</w:t>
            </w:r>
          </w:p>
          <w:p w14:paraId="7AB9EF2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(3)非金属材质对重(平衡重)块(架)上、轿顶上或者底坑内有清晰的标识，标明对重(平衡重)块制造单位名称或者商标和报废条件。</w:t>
            </w:r>
          </w:p>
        </w:tc>
        <w:tc>
          <w:tcPr>
            <w:tcW w:w="1134" w:type="dxa"/>
            <w:vAlign w:val="center"/>
          </w:tcPr>
          <w:p w14:paraId="2B7ED92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0254F1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bl>
    <w:p w14:paraId="1353172D">
      <w:pPr>
        <w:spacing w:line="240" w:lineRule="exact"/>
        <w:ind w:firstLine="0"/>
        <w:rPr>
          <w:rFonts w:hint="eastAsia" w:ascii="宋体" w:hAnsi="宋体" w:eastAsia="宋体" w:cs="宋体"/>
          <w:color w:val="auto"/>
        </w:rPr>
      </w:pPr>
    </w:p>
    <w:tbl>
      <w:tblPr>
        <w:tblStyle w:val="3"/>
        <w:tblpPr w:leftFromText="180" w:rightFromText="180" w:vertAnchor="text" w:tblpY="28"/>
        <w:tblW w:w="8901"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5953"/>
        <w:gridCol w:w="1134"/>
      </w:tblGrid>
      <w:tr w14:paraId="24B9B3B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680" w:type="dxa"/>
            <w:vAlign w:val="center"/>
          </w:tcPr>
          <w:p w14:paraId="3657674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33</w:t>
            </w:r>
          </w:p>
        </w:tc>
        <w:tc>
          <w:tcPr>
            <w:tcW w:w="1134" w:type="dxa"/>
            <w:vAlign w:val="center"/>
          </w:tcPr>
          <w:p w14:paraId="145F19F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轿厢照明及通风</w:t>
            </w:r>
          </w:p>
        </w:tc>
        <w:tc>
          <w:tcPr>
            <w:tcW w:w="5953" w:type="dxa"/>
            <w:vAlign w:val="center"/>
          </w:tcPr>
          <w:p w14:paraId="5E0F150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(1)轿厢正常照明和通风有效；</w:t>
            </w:r>
          </w:p>
          <w:p w14:paraId="33ACC37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(2)在正常照明电源发生故障的情况下，由紧急电源供电的应急照明能够自动投入工作。</w:t>
            </w:r>
          </w:p>
        </w:tc>
        <w:tc>
          <w:tcPr>
            <w:tcW w:w="1134" w:type="dxa"/>
            <w:vAlign w:val="center"/>
          </w:tcPr>
          <w:p w14:paraId="4EA5B4B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0B82754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1119E17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680" w:type="dxa"/>
            <w:vAlign w:val="center"/>
          </w:tcPr>
          <w:p w14:paraId="1E4777F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34</w:t>
            </w:r>
          </w:p>
        </w:tc>
        <w:tc>
          <w:tcPr>
            <w:tcW w:w="1134" w:type="dxa"/>
            <w:vAlign w:val="center"/>
          </w:tcPr>
          <w:p w14:paraId="6E39827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轿厢语音播报系统</w:t>
            </w:r>
          </w:p>
        </w:tc>
        <w:tc>
          <w:tcPr>
            <w:tcW w:w="5953" w:type="dxa"/>
            <w:vAlign w:val="center"/>
          </w:tcPr>
          <w:p w14:paraId="38504DF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检查在停电、故障停梯、轿厢位置校正(再平层除外)、自动救援操作装置启动以及接收火灾信号退出正常服务时，轿厢语音播报系统是否进行语音播报，提示、安抚轿厢内乘客。</w:t>
            </w:r>
          </w:p>
        </w:tc>
        <w:tc>
          <w:tcPr>
            <w:tcW w:w="1134" w:type="dxa"/>
            <w:vAlign w:val="center"/>
          </w:tcPr>
          <w:p w14:paraId="5FCB5DC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686BBEE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3160DD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680" w:type="dxa"/>
            <w:vAlign w:val="center"/>
          </w:tcPr>
          <w:p w14:paraId="5CE3284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35</w:t>
            </w:r>
          </w:p>
        </w:tc>
        <w:tc>
          <w:tcPr>
            <w:tcW w:w="1134" w:type="dxa"/>
            <w:vAlign w:val="center"/>
          </w:tcPr>
          <w:p w14:paraId="46BD887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轿厢护</w:t>
            </w:r>
          </w:p>
          <w:p w14:paraId="1C3D838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脚板</w:t>
            </w:r>
          </w:p>
        </w:tc>
        <w:tc>
          <w:tcPr>
            <w:tcW w:w="5953" w:type="dxa"/>
            <w:vAlign w:val="center"/>
          </w:tcPr>
          <w:p w14:paraId="33CE9D9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对于非斜行电梯，轿厢护脚板的垂直部分高度不小于0.75m，宽度不小于层站入口宽度。</w:t>
            </w:r>
          </w:p>
        </w:tc>
        <w:tc>
          <w:tcPr>
            <w:tcW w:w="1134" w:type="dxa"/>
            <w:vAlign w:val="center"/>
          </w:tcPr>
          <w:p w14:paraId="35CD5F3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10A30A4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17" w:hRule="atLeast"/>
        </w:trPr>
        <w:tc>
          <w:tcPr>
            <w:tcW w:w="680" w:type="dxa"/>
            <w:vAlign w:val="center"/>
          </w:tcPr>
          <w:p w14:paraId="6493194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36</w:t>
            </w:r>
          </w:p>
        </w:tc>
        <w:tc>
          <w:tcPr>
            <w:tcW w:w="1134" w:type="dxa"/>
            <w:vAlign w:val="center"/>
          </w:tcPr>
          <w:p w14:paraId="2463563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门间隙</w:t>
            </w:r>
          </w:p>
        </w:tc>
        <w:tc>
          <w:tcPr>
            <w:tcW w:w="5953" w:type="dxa"/>
            <w:vAlign w:val="center"/>
          </w:tcPr>
          <w:p w14:paraId="685B400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(1)门扇之间及门扇与立柱、门楣和地坎之间的间隙，对于乘客电梯不大于6mm，对于载货电梯不大于10mm；</w:t>
            </w:r>
          </w:p>
          <w:p w14:paraId="42E882D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(2)在水平滑动层门和折叠层门最快门扇的开启方向，以150N的力施加在一个最不利的点，本条第(1)项所述的间隙对于旁开门不大于 30mm，对于中分门其总和不大于45mm。</w:t>
            </w:r>
          </w:p>
        </w:tc>
        <w:tc>
          <w:tcPr>
            <w:tcW w:w="1134" w:type="dxa"/>
            <w:vAlign w:val="center"/>
          </w:tcPr>
          <w:p w14:paraId="5DA111C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6D99D81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680" w:type="dxa"/>
            <w:vAlign w:val="center"/>
          </w:tcPr>
          <w:p w14:paraId="6D8523F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37</w:t>
            </w:r>
          </w:p>
        </w:tc>
        <w:tc>
          <w:tcPr>
            <w:tcW w:w="1134" w:type="dxa"/>
            <w:vAlign w:val="center"/>
          </w:tcPr>
          <w:p w14:paraId="78A8529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玻璃门防拖曳措施</w:t>
            </w:r>
          </w:p>
        </w:tc>
        <w:tc>
          <w:tcPr>
            <w:tcW w:w="5953" w:type="dxa"/>
            <w:vAlign w:val="center"/>
          </w:tcPr>
          <w:p w14:paraId="242E01C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检查防止儿童的手被玻璃门拖曳的措施是否有效。</w:t>
            </w:r>
          </w:p>
        </w:tc>
        <w:tc>
          <w:tcPr>
            <w:tcW w:w="1134" w:type="dxa"/>
            <w:vAlign w:val="center"/>
          </w:tcPr>
          <w:p w14:paraId="3340023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126F1C5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52F1B9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680" w:type="dxa"/>
            <w:vAlign w:val="center"/>
          </w:tcPr>
          <w:p w14:paraId="6669C88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38</w:t>
            </w:r>
          </w:p>
        </w:tc>
        <w:tc>
          <w:tcPr>
            <w:tcW w:w="1134" w:type="dxa"/>
            <w:vAlign w:val="center"/>
          </w:tcPr>
          <w:p w14:paraId="0B398A6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门再开启保护装置</w:t>
            </w:r>
          </w:p>
        </w:tc>
        <w:tc>
          <w:tcPr>
            <w:tcW w:w="5953" w:type="dxa"/>
            <w:vAlign w:val="center"/>
          </w:tcPr>
          <w:p w14:paraId="58F17393">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检查自动水平滑动门关闭过程中人员通过入口时，保护装置是否能够自动使门重新开启。</w:t>
            </w:r>
          </w:p>
        </w:tc>
        <w:tc>
          <w:tcPr>
            <w:tcW w:w="1134" w:type="dxa"/>
            <w:vAlign w:val="center"/>
          </w:tcPr>
          <w:p w14:paraId="735D203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64D848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33DA24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trPr>
        <w:tc>
          <w:tcPr>
            <w:tcW w:w="680" w:type="dxa"/>
            <w:vAlign w:val="center"/>
          </w:tcPr>
          <w:p w14:paraId="40A3069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39</w:t>
            </w:r>
          </w:p>
        </w:tc>
        <w:tc>
          <w:tcPr>
            <w:tcW w:w="1134" w:type="dxa"/>
            <w:vAlign w:val="center"/>
          </w:tcPr>
          <w:p w14:paraId="43B8C01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自动关闭层门装置</w:t>
            </w:r>
          </w:p>
        </w:tc>
        <w:tc>
          <w:tcPr>
            <w:tcW w:w="5953" w:type="dxa"/>
            <w:vAlign w:val="center"/>
          </w:tcPr>
          <w:p w14:paraId="450BE4F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(1)在轿门驱动层门的情况下，当轿厢在开锁区域之外时，自动关闭层门装置能够使开启的层门关闭；</w:t>
            </w:r>
          </w:p>
          <w:p w14:paraId="047C887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(2)自动关闭层门装置采用重块的，其防止重块坠落的措施保持有效，对于防爆电梯，无火花措施保持完好。</w:t>
            </w:r>
          </w:p>
        </w:tc>
        <w:tc>
          <w:tcPr>
            <w:tcW w:w="1134" w:type="dxa"/>
            <w:vAlign w:val="center"/>
          </w:tcPr>
          <w:p w14:paraId="0F3802E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10A3D89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2E7E8C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84" w:hRule="atLeast"/>
        </w:trPr>
        <w:tc>
          <w:tcPr>
            <w:tcW w:w="680" w:type="dxa"/>
            <w:vAlign w:val="center"/>
          </w:tcPr>
          <w:p w14:paraId="13E1C1A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40</w:t>
            </w:r>
          </w:p>
        </w:tc>
        <w:tc>
          <w:tcPr>
            <w:tcW w:w="1134" w:type="dxa"/>
            <w:vAlign w:val="center"/>
          </w:tcPr>
          <w:p w14:paraId="3A44538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门的运行与导向</w:t>
            </w:r>
          </w:p>
        </w:tc>
        <w:tc>
          <w:tcPr>
            <w:tcW w:w="5953" w:type="dxa"/>
            <w:vAlign w:val="center"/>
          </w:tcPr>
          <w:p w14:paraId="60A5EF5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(1)层门和轿门正常运行时无脱轨、机械卡阻或者错位现象；</w:t>
            </w:r>
          </w:p>
          <w:p w14:paraId="2BDB2D2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(2)层门导向装置失效时，层门保持装置能够使层门保持在原有位置；</w:t>
            </w:r>
          </w:p>
          <w:p w14:paraId="282387B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(3)在层门底部保持装置上或者其附近设有识别保持装置最小啮合深度的标记，并且层门底部保持装置的啮合深度不小于标记所示的最小啮合深度（未按照 TSG T7001-2023进行监督检验的此小项可以不抽查）。</w:t>
            </w:r>
          </w:p>
        </w:tc>
        <w:tc>
          <w:tcPr>
            <w:tcW w:w="1134" w:type="dxa"/>
            <w:vAlign w:val="center"/>
          </w:tcPr>
          <w:p w14:paraId="7974105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647083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68" w:hRule="atLeast"/>
        </w:trPr>
        <w:tc>
          <w:tcPr>
            <w:tcW w:w="680" w:type="dxa"/>
            <w:vAlign w:val="center"/>
          </w:tcPr>
          <w:p w14:paraId="0836637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41</w:t>
            </w:r>
          </w:p>
        </w:tc>
        <w:tc>
          <w:tcPr>
            <w:tcW w:w="1134" w:type="dxa"/>
            <w:vAlign w:val="center"/>
          </w:tcPr>
          <w:p w14:paraId="6DCDCB5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门的锁紧与闭合</w:t>
            </w:r>
          </w:p>
        </w:tc>
        <w:tc>
          <w:tcPr>
            <w:tcW w:w="5953" w:type="dxa"/>
            <w:vAlign w:val="center"/>
          </w:tcPr>
          <w:p w14:paraId="0C21980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(1)锁紧动作由重力、永久磁铁或者弹簧来产生和保持，即使永久磁铁或者弹簧失效，重力也不能导致开锁；</w:t>
            </w:r>
          </w:p>
          <w:p w14:paraId="530C5A7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(2)轿厢(运载装置)在锁紧元件啮合不小于7mm 时才能启动；</w:t>
            </w:r>
          </w:p>
          <w:p w14:paraId="7EB8492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(3)检查层门、轿门锁紧状态的电气安全装置功能有效；</w:t>
            </w:r>
          </w:p>
          <w:p w14:paraId="7C06A54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每个层门和轿门的闭合均由电气安全装置来验证，如果滑动门是由数个间接机械连接的门扇组成，则未被锁住的门扇上设有电气安全装置以验证其闭合状态，与门的驱动部件直接机械连接的轿门门扇可以不设置电气安全装置。</w:t>
            </w:r>
          </w:p>
        </w:tc>
        <w:tc>
          <w:tcPr>
            <w:tcW w:w="1134" w:type="dxa"/>
            <w:vAlign w:val="center"/>
          </w:tcPr>
          <w:p w14:paraId="1B0E966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2B67D9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trPr>
        <w:tc>
          <w:tcPr>
            <w:tcW w:w="680" w:type="dxa"/>
            <w:vAlign w:val="center"/>
          </w:tcPr>
          <w:p w14:paraId="3384443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42</w:t>
            </w:r>
          </w:p>
        </w:tc>
        <w:tc>
          <w:tcPr>
            <w:tcW w:w="1134" w:type="dxa"/>
            <w:vAlign w:val="center"/>
          </w:tcPr>
          <w:p w14:paraId="1018FAB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pacing w:val="-10"/>
                <w:sz w:val="24"/>
                <w:szCs w:val="24"/>
              </w:rPr>
              <w:t>门刀、门间隙</w:t>
            </w:r>
          </w:p>
        </w:tc>
        <w:tc>
          <w:tcPr>
            <w:tcW w:w="5953" w:type="dxa"/>
            <w:vAlign w:val="center"/>
          </w:tcPr>
          <w:p w14:paraId="76DA660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检查轿门门刀与层门地坎、层门门锁滚轮与轿厢地坎的间隙是否不小于5mm，并且电梯运行时不互相碰擦。</w:t>
            </w:r>
          </w:p>
        </w:tc>
        <w:tc>
          <w:tcPr>
            <w:tcW w:w="1134" w:type="dxa"/>
            <w:vAlign w:val="center"/>
          </w:tcPr>
          <w:p w14:paraId="2B0B687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bl>
    <w:p w14:paraId="02EF6678">
      <w:pPr>
        <w:spacing w:line="240" w:lineRule="exact"/>
        <w:ind w:firstLine="0"/>
        <w:rPr>
          <w:rFonts w:hint="eastAsia" w:ascii="宋体" w:hAnsi="宋体" w:eastAsia="宋体" w:cs="宋体"/>
          <w:color w:val="auto"/>
        </w:rPr>
      </w:pPr>
    </w:p>
    <w:tbl>
      <w:tblPr>
        <w:tblStyle w:val="3"/>
        <w:tblpPr w:leftFromText="180" w:rightFromText="180" w:vertAnchor="text" w:tblpY="28"/>
        <w:tblW w:w="8901"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5953"/>
        <w:gridCol w:w="1134"/>
      </w:tblGrid>
      <w:tr w14:paraId="0025EE6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14" w:hRule="atLeast"/>
        </w:trPr>
        <w:tc>
          <w:tcPr>
            <w:tcW w:w="680" w:type="dxa"/>
            <w:vAlign w:val="center"/>
          </w:tcPr>
          <w:p w14:paraId="6A7C3FA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43</w:t>
            </w:r>
          </w:p>
        </w:tc>
        <w:tc>
          <w:tcPr>
            <w:tcW w:w="1134" w:type="dxa"/>
            <w:vAlign w:val="center"/>
          </w:tcPr>
          <w:p w14:paraId="70F87E2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紧急开锁</w:t>
            </w:r>
          </w:p>
        </w:tc>
        <w:tc>
          <w:tcPr>
            <w:tcW w:w="5953" w:type="dxa"/>
            <w:vAlign w:val="center"/>
          </w:tcPr>
          <w:p w14:paraId="65812AE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(1)每个层门均能够被专用钥匙从外面开启，紧急开锁后，在层门闭合时门锁装置未保持在开锁位置；</w:t>
            </w:r>
          </w:p>
          <w:p w14:paraId="36103E5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(2)如果只能通过层门进入底坑，则从底坑爬梯并且在高度1.80m内和最大水平距离0.80m范围内能够安全地触及门锁，或者能够通过永久设置的装置从底坑中打开层门（未按照 TSG T7001-2023进行监督检验的此小项可以不抽查）。</w:t>
            </w:r>
          </w:p>
        </w:tc>
        <w:tc>
          <w:tcPr>
            <w:tcW w:w="1134" w:type="dxa"/>
            <w:vAlign w:val="center"/>
          </w:tcPr>
          <w:p w14:paraId="438CE76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407F5F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47" w:hRule="atLeast"/>
        </w:trPr>
        <w:tc>
          <w:tcPr>
            <w:tcW w:w="680" w:type="dxa"/>
            <w:vAlign w:val="center"/>
          </w:tcPr>
          <w:p w14:paraId="741BB67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44</w:t>
            </w:r>
          </w:p>
        </w:tc>
        <w:tc>
          <w:tcPr>
            <w:tcW w:w="1134" w:type="dxa"/>
            <w:vAlign w:val="center"/>
          </w:tcPr>
          <w:p w14:paraId="6C97783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应急救援试验</w:t>
            </w:r>
          </w:p>
        </w:tc>
        <w:tc>
          <w:tcPr>
            <w:tcW w:w="5953" w:type="dxa"/>
            <w:vAlign w:val="center"/>
          </w:tcPr>
          <w:p w14:paraId="3676DFFF">
            <w:pPr>
              <w:widowControl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(1)检查机房内或者紧急和测试操作屏上是否设有清晰的应急救援程序；</w:t>
            </w:r>
          </w:p>
          <w:p w14:paraId="632DB0F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(2)在各种载荷工况下，按照本条第(1)项所述的应急救援程序实施操作，观察是否能够安全、及时地解救被困人员。</w:t>
            </w:r>
          </w:p>
        </w:tc>
        <w:tc>
          <w:tcPr>
            <w:tcW w:w="1134" w:type="dxa"/>
            <w:vAlign w:val="center"/>
          </w:tcPr>
          <w:p w14:paraId="5E4B28B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w:t>
            </w:r>
          </w:p>
          <w:p w14:paraId="386978E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验证</w:t>
            </w:r>
          </w:p>
        </w:tc>
      </w:tr>
      <w:tr w14:paraId="7AB871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47" w:hRule="atLeast"/>
        </w:trPr>
        <w:tc>
          <w:tcPr>
            <w:tcW w:w="680" w:type="dxa"/>
            <w:vAlign w:val="center"/>
          </w:tcPr>
          <w:p w14:paraId="7D223B2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45</w:t>
            </w:r>
          </w:p>
        </w:tc>
        <w:tc>
          <w:tcPr>
            <w:tcW w:w="1134" w:type="dxa"/>
            <w:vAlign w:val="center"/>
          </w:tcPr>
          <w:p w14:paraId="07EE36C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pacing w:val="-10"/>
                <w:sz w:val="24"/>
                <w:szCs w:val="24"/>
              </w:rPr>
              <w:t>对重(平衡重)限速器-安全钳联动试验</w:t>
            </w:r>
          </w:p>
        </w:tc>
        <w:tc>
          <w:tcPr>
            <w:tcW w:w="5953" w:type="dxa"/>
            <w:vAlign w:val="center"/>
          </w:tcPr>
          <w:p w14:paraId="4CCC8EC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轿厢空载，以检修速度上行的工况进行限速器-安全钳联动试验(注A1-10)，观察限速器、安全钳动作是否可靠。</w:t>
            </w:r>
          </w:p>
        </w:tc>
        <w:tc>
          <w:tcPr>
            <w:tcW w:w="1134" w:type="dxa"/>
            <w:vAlign w:val="center"/>
          </w:tcPr>
          <w:p w14:paraId="2752192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w:t>
            </w:r>
          </w:p>
          <w:p w14:paraId="5399128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验证</w:t>
            </w:r>
          </w:p>
        </w:tc>
      </w:tr>
      <w:tr w14:paraId="47A7EC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trPr>
        <w:tc>
          <w:tcPr>
            <w:tcW w:w="680" w:type="dxa"/>
            <w:vAlign w:val="center"/>
          </w:tcPr>
          <w:p w14:paraId="4E08EB9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46</w:t>
            </w:r>
          </w:p>
        </w:tc>
        <w:tc>
          <w:tcPr>
            <w:tcW w:w="1134" w:type="dxa"/>
            <w:vAlign w:val="center"/>
          </w:tcPr>
          <w:p w14:paraId="647A106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pacing w:val="-10"/>
                <w:sz w:val="24"/>
                <w:szCs w:val="24"/>
              </w:rPr>
              <w:t>轿厢超载保护装置试验</w:t>
            </w:r>
          </w:p>
        </w:tc>
        <w:tc>
          <w:tcPr>
            <w:tcW w:w="5953" w:type="dxa"/>
            <w:vAlign w:val="center"/>
          </w:tcPr>
          <w:p w14:paraId="00C8440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进行轿厢超载保护装置试验，观察是否最迟在轿厢内载荷达到110%额定载重量时能够检测出超载，防止电梯正常启动及再平层(对于液压驱动电梯，防止电梯正常启动)，并且轿厢内有听觉和视觉信号提示，自动门完全开启，手动门保持在未锁紧状态。</w:t>
            </w:r>
          </w:p>
        </w:tc>
        <w:tc>
          <w:tcPr>
            <w:tcW w:w="1134" w:type="dxa"/>
            <w:vAlign w:val="center"/>
          </w:tcPr>
          <w:p w14:paraId="0B130A2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3B5D881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36F27E0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08" w:hRule="atLeast"/>
        </w:trPr>
        <w:tc>
          <w:tcPr>
            <w:tcW w:w="680" w:type="dxa"/>
            <w:vAlign w:val="center"/>
          </w:tcPr>
          <w:p w14:paraId="4C9A643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47</w:t>
            </w:r>
          </w:p>
        </w:tc>
        <w:tc>
          <w:tcPr>
            <w:tcW w:w="1134" w:type="dxa"/>
            <w:vAlign w:val="center"/>
          </w:tcPr>
          <w:p w14:paraId="10EDA7D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pacing w:val="-10"/>
                <w:sz w:val="24"/>
                <w:szCs w:val="24"/>
              </w:rPr>
              <w:t>轿厢(运载装置)限速器-安全钳试验</w:t>
            </w:r>
          </w:p>
        </w:tc>
        <w:tc>
          <w:tcPr>
            <w:tcW w:w="5953" w:type="dxa"/>
            <w:vAlign w:val="center"/>
          </w:tcPr>
          <w:p w14:paraId="34D6704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(1)检查限速器各调节部位封记完好，运转时无碰擦、卡阻、转动不灵活等现象，动作正常。动作速度符合要求；</w:t>
            </w:r>
          </w:p>
          <w:p w14:paraId="21B04EC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（2）检查限速器或者其他装置上设置的在轿厢(运载装置)上行、下行速度达到限速器动作速度之前动作的电气安全装置；</w:t>
            </w:r>
          </w:p>
          <w:p w14:paraId="6D243A6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（3)对于安全钳释放后限速器不能自动复位的，用于验证限速器复位状态的电气安全装置；</w:t>
            </w:r>
          </w:p>
          <w:p w14:paraId="1BE3014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(4)用于检查限速器绳断裂或者过分伸长的电气安全装置；</w:t>
            </w:r>
          </w:p>
          <w:p w14:paraId="7B70D183">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(5)轿厢(运载装置)上设置的在轿厢(运载装置)安全钳动作以前或者同时使驱动主机停止运转的电气安全装置。</w:t>
            </w:r>
          </w:p>
        </w:tc>
        <w:tc>
          <w:tcPr>
            <w:tcW w:w="1134" w:type="dxa"/>
            <w:vAlign w:val="center"/>
          </w:tcPr>
          <w:p w14:paraId="25AD221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w:t>
            </w:r>
          </w:p>
          <w:p w14:paraId="26EF4D7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验证</w:t>
            </w:r>
          </w:p>
        </w:tc>
      </w:tr>
      <w:tr w14:paraId="5702FDD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47" w:hRule="atLeast"/>
        </w:trPr>
        <w:tc>
          <w:tcPr>
            <w:tcW w:w="680" w:type="dxa"/>
            <w:vAlign w:val="center"/>
          </w:tcPr>
          <w:p w14:paraId="00FF0DA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48</w:t>
            </w:r>
          </w:p>
        </w:tc>
        <w:tc>
          <w:tcPr>
            <w:tcW w:w="1134" w:type="dxa"/>
            <w:vAlign w:val="center"/>
          </w:tcPr>
          <w:p w14:paraId="268CE38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缓冲器</w:t>
            </w:r>
          </w:p>
          <w:p w14:paraId="2DB9F48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试验</w:t>
            </w:r>
          </w:p>
        </w:tc>
        <w:tc>
          <w:tcPr>
            <w:tcW w:w="5953" w:type="dxa"/>
            <w:vAlign w:val="center"/>
          </w:tcPr>
          <w:p w14:paraId="0FAFF4C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轿厢空载，以检修速度运行的工况使缓冲器被压缩，轿厢(运载装置)、对重停在其上再离开后，观察缓冲器是否未出现对电梯正常使用有不利影响的损坏(如明显倾斜、断裂、塑性变形、剥落、破损等)。</w:t>
            </w:r>
          </w:p>
        </w:tc>
        <w:tc>
          <w:tcPr>
            <w:tcW w:w="1134" w:type="dxa"/>
            <w:vAlign w:val="center"/>
          </w:tcPr>
          <w:p w14:paraId="5D01507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w:t>
            </w:r>
          </w:p>
          <w:p w14:paraId="58041D5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验证</w:t>
            </w:r>
          </w:p>
        </w:tc>
      </w:tr>
      <w:tr w14:paraId="12F9A3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65" w:hRule="atLeast"/>
        </w:trPr>
        <w:tc>
          <w:tcPr>
            <w:tcW w:w="680" w:type="dxa"/>
            <w:vAlign w:val="center"/>
          </w:tcPr>
          <w:p w14:paraId="0F69898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49</w:t>
            </w:r>
          </w:p>
        </w:tc>
        <w:tc>
          <w:tcPr>
            <w:tcW w:w="1134" w:type="dxa"/>
            <w:vAlign w:val="center"/>
          </w:tcPr>
          <w:p w14:paraId="4726170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轿厢(运载装置)上行超速保护装置</w:t>
            </w:r>
          </w:p>
          <w:p w14:paraId="6C26EDD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试验</w:t>
            </w:r>
          </w:p>
        </w:tc>
        <w:tc>
          <w:tcPr>
            <w:tcW w:w="5953" w:type="dxa"/>
            <w:vAlign w:val="center"/>
          </w:tcPr>
          <w:p w14:paraId="77EC661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（1）检查控制柜或者紧急和测试操作屏上是否标有轿厢(运载装置)上行超速保护装置动作试验方法。</w:t>
            </w:r>
          </w:p>
          <w:p w14:paraId="693E973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（2）检查轿厢(运载装置)上行超速保护装置上的电气安全装置功能是否有效。</w:t>
            </w:r>
          </w:p>
          <w:p w14:paraId="562807B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（3）采用存在内部冗余的制动器作为轿厢(运载装置)上行超速保护装置减速部件的，检查当制动器机械部件动作(松开或者制动)失效或者制动力不足时，是否能够防止电梯正常运行。</w:t>
            </w:r>
          </w:p>
          <w:p w14:paraId="6EE4E7F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pacing w:val="-6"/>
                <w:sz w:val="24"/>
                <w:szCs w:val="24"/>
              </w:rPr>
              <w:t>(4)按照以上所述的试验方法进行动作试验，观察</w:t>
            </w:r>
            <w:r>
              <w:rPr>
                <w:rFonts w:hint="eastAsia" w:ascii="宋体" w:hAnsi="宋体" w:eastAsia="宋体" w:cs="宋体"/>
                <w:color w:val="auto"/>
                <w:sz w:val="24"/>
                <w:szCs w:val="24"/>
              </w:rPr>
              <w:t>轿厢(运载装置)上行超速保护装置</w:t>
            </w:r>
            <w:r>
              <w:rPr>
                <w:rFonts w:hint="eastAsia" w:ascii="宋体" w:hAnsi="宋体" w:eastAsia="宋体" w:cs="宋体"/>
                <w:color w:val="auto"/>
                <w:spacing w:val="-6"/>
                <w:sz w:val="24"/>
                <w:szCs w:val="24"/>
              </w:rPr>
              <w:t>动作是否可靠</w:t>
            </w:r>
          </w:p>
        </w:tc>
        <w:tc>
          <w:tcPr>
            <w:tcW w:w="1134" w:type="dxa"/>
            <w:vAlign w:val="center"/>
          </w:tcPr>
          <w:p w14:paraId="639EE11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w:t>
            </w:r>
          </w:p>
          <w:p w14:paraId="5C8EFF9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验证</w:t>
            </w:r>
          </w:p>
        </w:tc>
      </w:tr>
    </w:tbl>
    <w:p w14:paraId="7BFA66DD">
      <w:pPr>
        <w:spacing w:line="240" w:lineRule="exact"/>
        <w:ind w:firstLine="0"/>
        <w:rPr>
          <w:rFonts w:hint="eastAsia" w:ascii="宋体" w:hAnsi="宋体" w:eastAsia="宋体" w:cs="宋体"/>
          <w:color w:val="auto"/>
        </w:rPr>
      </w:pPr>
    </w:p>
    <w:tbl>
      <w:tblPr>
        <w:tblStyle w:val="3"/>
        <w:tblpPr w:leftFromText="180" w:rightFromText="180" w:vertAnchor="text" w:horzAnchor="margin" w:tblpYSpec="outside"/>
        <w:tblW w:w="8901"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5953"/>
        <w:gridCol w:w="1134"/>
      </w:tblGrid>
      <w:tr w14:paraId="74A93A8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c>
          <w:tcPr>
            <w:tcW w:w="680" w:type="dxa"/>
            <w:vAlign w:val="center"/>
          </w:tcPr>
          <w:p w14:paraId="7B607DE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50</w:t>
            </w:r>
          </w:p>
        </w:tc>
        <w:tc>
          <w:tcPr>
            <w:tcW w:w="1134" w:type="dxa"/>
            <w:vAlign w:val="center"/>
          </w:tcPr>
          <w:p w14:paraId="3FBB8ED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运行试验</w:t>
            </w:r>
          </w:p>
        </w:tc>
        <w:tc>
          <w:tcPr>
            <w:tcW w:w="5953" w:type="dxa"/>
            <w:vAlign w:val="center"/>
          </w:tcPr>
          <w:p w14:paraId="66B8C466">
            <w:pPr>
              <w:widowControl w:val="0"/>
              <w:spacing w:line="360" w:lineRule="auto"/>
              <w:ind w:firstLine="540" w:firstLineChars="225"/>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轿厢空载，以额定速度上、下运行，观察呼梯、楼层显示等信号系统是否功能有效、指示正确、动作无误，轿厢是否平层良好，无异常现象发生。</w:t>
            </w:r>
          </w:p>
        </w:tc>
        <w:tc>
          <w:tcPr>
            <w:tcW w:w="1134" w:type="dxa"/>
            <w:vAlign w:val="center"/>
          </w:tcPr>
          <w:p w14:paraId="1F8DB20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10E0D4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c>
          <w:tcPr>
            <w:tcW w:w="680" w:type="dxa"/>
            <w:vAlign w:val="center"/>
          </w:tcPr>
          <w:p w14:paraId="03FB21E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51</w:t>
            </w:r>
          </w:p>
        </w:tc>
        <w:tc>
          <w:tcPr>
            <w:tcW w:w="1134" w:type="dxa"/>
            <w:vAlign w:val="center"/>
          </w:tcPr>
          <w:p w14:paraId="40E473F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轿厢(运载装置)意外移动保护装置</w:t>
            </w:r>
          </w:p>
          <w:p w14:paraId="7208CDD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试验</w:t>
            </w:r>
          </w:p>
        </w:tc>
        <w:tc>
          <w:tcPr>
            <w:tcW w:w="5953" w:type="dxa"/>
            <w:vAlign w:val="center"/>
          </w:tcPr>
          <w:p w14:paraId="582FF3BB">
            <w:pPr>
              <w:widowControl w:val="0"/>
              <w:spacing w:line="360" w:lineRule="auto"/>
              <w:ind w:firstLine="540" w:firstLineChars="225"/>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（1）检查控制柜或者紧急和测试操作屏上是否标有轿厢(运载装置)意外移动保护装置动作试验方法。</w:t>
            </w:r>
          </w:p>
          <w:p w14:paraId="027A193A">
            <w:pPr>
              <w:widowControl w:val="0"/>
              <w:spacing w:line="360" w:lineRule="auto"/>
              <w:ind w:firstLine="540" w:firstLineChars="225"/>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（2）检查轿厢(运载装置)意外移动保护装置上的电气安全装置功能是否有效。</w:t>
            </w:r>
          </w:p>
          <w:p w14:paraId="7AFCB3F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（3）采用存在内部冗余的制动器作为轿厢(运载装置)意外移动保护装置制停部件的，检查当制动器机械部件动作(松开或者制动)失效或者制动力不足时，是否能够关闭轿门和层门，并且能够防止电梯正常运行。</w:t>
            </w:r>
          </w:p>
        </w:tc>
        <w:tc>
          <w:tcPr>
            <w:tcW w:w="1134" w:type="dxa"/>
            <w:vAlign w:val="center"/>
          </w:tcPr>
          <w:p w14:paraId="2E6E931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w:t>
            </w:r>
          </w:p>
          <w:p w14:paraId="72838A5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验证</w:t>
            </w:r>
          </w:p>
        </w:tc>
      </w:tr>
      <w:tr w14:paraId="0AEA170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74" w:hRule="atLeast"/>
        </w:trPr>
        <w:tc>
          <w:tcPr>
            <w:tcW w:w="680" w:type="dxa"/>
            <w:vAlign w:val="center"/>
          </w:tcPr>
          <w:p w14:paraId="4AC76B4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52</w:t>
            </w:r>
          </w:p>
        </w:tc>
        <w:tc>
          <w:tcPr>
            <w:tcW w:w="1134" w:type="dxa"/>
            <w:vAlign w:val="center"/>
          </w:tcPr>
          <w:p w14:paraId="6692D5E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曳引能力</w:t>
            </w:r>
          </w:p>
          <w:p w14:paraId="4D10115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试验</w:t>
            </w:r>
          </w:p>
        </w:tc>
        <w:tc>
          <w:tcPr>
            <w:tcW w:w="5953" w:type="dxa"/>
            <w:vAlign w:val="center"/>
          </w:tcPr>
          <w:p w14:paraId="0404156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(1)轿厢空载，当对重压在缓冲器上而驱动主机按电梯上行方向旋转时，观察悬挂装置是否相对曳引轮打滑，或者驱动主机停止运转；</w:t>
            </w:r>
          </w:p>
          <w:p w14:paraId="51D4F81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(2)轿厢空载，以额定速度上行至行程上部，切断电动机与制动器供电，观察轿厢(运载装置)是否完全停止。</w:t>
            </w:r>
          </w:p>
        </w:tc>
        <w:tc>
          <w:tcPr>
            <w:tcW w:w="1134" w:type="dxa"/>
            <w:vAlign w:val="center"/>
          </w:tcPr>
          <w:p w14:paraId="1441698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w:t>
            </w:r>
          </w:p>
          <w:p w14:paraId="3632D65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验证</w:t>
            </w:r>
          </w:p>
        </w:tc>
      </w:tr>
    </w:tbl>
    <w:p w14:paraId="1FE6886C">
      <w:pPr>
        <w:spacing w:line="240" w:lineRule="exact"/>
        <w:ind w:firstLine="0"/>
        <w:rPr>
          <w:rFonts w:hint="eastAsia" w:ascii="宋体" w:hAnsi="宋体" w:eastAsia="宋体" w:cs="宋体"/>
          <w:color w:val="auto"/>
        </w:rPr>
      </w:pPr>
    </w:p>
    <w:p w14:paraId="62A6D26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各类乘客与载货电梯检测质量监督抽查包含但不限于以上内容，项目1-52项为曳引驱动乘客电梯与载货电梯基本检测项目，部分项目适用于强制驱动载货电梯、液压乘客与载货电梯、曳引驱动消防员电梯、曳引驱动防爆电梯、液压驱动防爆电梯曳引驱动斜行乘客与载货电梯、强制驱动斜行乘客与载货电梯。检测质量监督抽查现场根据被抽查电梯实际情况，依据《电梯自行检测规则》（TSG T 7008-2023）规定的相关项目进行监督抽查。</w:t>
      </w:r>
    </w:p>
    <w:p w14:paraId="43855062">
      <w:pPr>
        <w:spacing w:line="360" w:lineRule="auto"/>
        <w:ind w:firstLine="480" w:firstLineChars="200"/>
        <w:rPr>
          <w:rFonts w:hint="eastAsia" w:ascii="宋体" w:hAnsi="宋体" w:eastAsia="宋体" w:cs="宋体"/>
          <w:color w:val="auto"/>
          <w:sz w:val="24"/>
          <w:szCs w:val="24"/>
        </w:rPr>
      </w:pPr>
    </w:p>
    <w:p w14:paraId="69BEC6D6">
      <w:pPr>
        <w:spacing w:line="320" w:lineRule="exact"/>
        <w:ind w:firstLine="420" w:firstLineChars="200"/>
        <w:rPr>
          <w:rFonts w:hint="eastAsia" w:ascii="宋体" w:hAnsi="宋体" w:eastAsia="宋体" w:cs="宋体"/>
          <w:color w:val="auto"/>
        </w:rPr>
      </w:pPr>
    </w:p>
    <w:p w14:paraId="62F5008F">
      <w:pPr>
        <w:spacing w:line="320" w:lineRule="exact"/>
        <w:ind w:firstLine="420" w:firstLineChars="200"/>
        <w:rPr>
          <w:rFonts w:hint="eastAsia" w:ascii="宋体" w:hAnsi="宋体" w:eastAsia="宋体" w:cs="宋体"/>
          <w:color w:val="auto"/>
        </w:rPr>
      </w:pPr>
    </w:p>
    <w:p w14:paraId="0CC92EBF">
      <w:pPr>
        <w:spacing w:line="320" w:lineRule="exact"/>
        <w:ind w:firstLine="420" w:firstLineChars="200"/>
        <w:rPr>
          <w:rFonts w:hint="eastAsia" w:ascii="宋体" w:hAnsi="宋体" w:eastAsia="宋体" w:cs="宋体"/>
          <w:color w:val="auto"/>
        </w:rPr>
      </w:pPr>
    </w:p>
    <w:p w14:paraId="04BFF24E">
      <w:pPr>
        <w:spacing w:line="320" w:lineRule="exact"/>
        <w:ind w:firstLine="420" w:firstLineChars="200"/>
        <w:rPr>
          <w:rFonts w:hint="eastAsia" w:ascii="宋体" w:hAnsi="宋体" w:eastAsia="宋体" w:cs="宋体"/>
          <w:color w:val="auto"/>
        </w:rPr>
      </w:pPr>
    </w:p>
    <w:p w14:paraId="6DE7ADF8">
      <w:pPr>
        <w:spacing w:line="320" w:lineRule="exact"/>
        <w:ind w:firstLine="420" w:firstLineChars="200"/>
        <w:rPr>
          <w:rFonts w:hint="eastAsia" w:ascii="宋体" w:hAnsi="宋体" w:eastAsia="宋体" w:cs="宋体"/>
          <w:color w:val="auto"/>
        </w:rPr>
      </w:pPr>
    </w:p>
    <w:p w14:paraId="2D1D55DB">
      <w:pPr>
        <w:spacing w:line="320" w:lineRule="exact"/>
        <w:ind w:firstLine="420" w:firstLineChars="200"/>
        <w:rPr>
          <w:rFonts w:hint="eastAsia" w:ascii="宋体" w:hAnsi="宋体" w:eastAsia="宋体" w:cs="宋体"/>
          <w:color w:val="auto"/>
        </w:rPr>
      </w:pPr>
    </w:p>
    <w:p w14:paraId="597640F4">
      <w:pPr>
        <w:spacing w:line="320" w:lineRule="exact"/>
        <w:ind w:firstLine="420" w:firstLineChars="200"/>
        <w:rPr>
          <w:rFonts w:hint="eastAsia" w:ascii="宋体" w:hAnsi="宋体" w:eastAsia="宋体" w:cs="宋体"/>
          <w:color w:val="auto"/>
        </w:rPr>
      </w:pPr>
    </w:p>
    <w:p w14:paraId="17D5D91D">
      <w:pPr>
        <w:spacing w:line="320" w:lineRule="exact"/>
        <w:ind w:firstLine="420" w:firstLineChars="200"/>
        <w:rPr>
          <w:rFonts w:hint="eastAsia" w:ascii="宋体" w:hAnsi="宋体" w:eastAsia="宋体" w:cs="宋体"/>
          <w:color w:val="auto"/>
        </w:rPr>
      </w:pPr>
    </w:p>
    <w:p w14:paraId="5DE25C9D">
      <w:pPr>
        <w:spacing w:line="320" w:lineRule="exact"/>
        <w:ind w:firstLine="420" w:firstLineChars="200"/>
        <w:rPr>
          <w:rFonts w:hint="eastAsia" w:ascii="宋体" w:hAnsi="宋体" w:eastAsia="宋体" w:cs="宋体"/>
          <w:color w:val="auto"/>
        </w:rPr>
      </w:pPr>
    </w:p>
    <w:p w14:paraId="7A04275F">
      <w:pPr>
        <w:spacing w:line="320" w:lineRule="exact"/>
        <w:ind w:firstLine="420" w:firstLineChars="200"/>
        <w:rPr>
          <w:rFonts w:hint="eastAsia" w:ascii="宋体" w:hAnsi="宋体" w:eastAsia="宋体" w:cs="宋体"/>
          <w:color w:val="auto"/>
        </w:rPr>
      </w:pPr>
    </w:p>
    <w:p w14:paraId="39305288">
      <w:pPr>
        <w:spacing w:line="320" w:lineRule="exact"/>
        <w:ind w:firstLine="420" w:firstLineChars="200"/>
        <w:rPr>
          <w:rFonts w:hint="eastAsia" w:ascii="宋体" w:hAnsi="宋体" w:eastAsia="宋体" w:cs="宋体"/>
          <w:color w:val="auto"/>
        </w:rPr>
      </w:pPr>
    </w:p>
    <w:p w14:paraId="010728A3">
      <w:pPr>
        <w:spacing w:line="320" w:lineRule="exact"/>
        <w:ind w:firstLine="420" w:firstLineChars="200"/>
        <w:rPr>
          <w:rFonts w:hint="eastAsia" w:ascii="宋体" w:hAnsi="宋体" w:eastAsia="宋体" w:cs="宋体"/>
          <w:color w:val="auto"/>
        </w:rPr>
      </w:pPr>
    </w:p>
    <w:p w14:paraId="0624ACF3">
      <w:pPr>
        <w:spacing w:line="320" w:lineRule="exact"/>
        <w:ind w:firstLine="420" w:firstLineChars="200"/>
        <w:rPr>
          <w:rFonts w:hint="eastAsia" w:ascii="宋体" w:hAnsi="宋体" w:eastAsia="宋体" w:cs="宋体"/>
          <w:color w:val="auto"/>
        </w:rPr>
      </w:pPr>
    </w:p>
    <w:p w14:paraId="65AE6920">
      <w:pPr>
        <w:spacing w:line="320" w:lineRule="exact"/>
        <w:ind w:firstLine="420" w:firstLineChars="200"/>
        <w:rPr>
          <w:rFonts w:hint="eastAsia" w:ascii="宋体" w:hAnsi="宋体" w:eastAsia="宋体" w:cs="宋体"/>
          <w:color w:val="auto"/>
        </w:rPr>
      </w:pPr>
    </w:p>
    <w:p w14:paraId="57C72D31">
      <w:pPr>
        <w:spacing w:line="320" w:lineRule="exact"/>
        <w:ind w:firstLine="420" w:firstLineChars="200"/>
        <w:rPr>
          <w:rFonts w:hint="eastAsia" w:ascii="宋体" w:hAnsi="宋体" w:eastAsia="宋体" w:cs="宋体"/>
          <w:color w:val="auto"/>
        </w:rPr>
      </w:pPr>
    </w:p>
    <w:p w14:paraId="7D432F0B">
      <w:pPr>
        <w:spacing w:line="320" w:lineRule="exact"/>
        <w:ind w:firstLine="420" w:firstLineChars="200"/>
        <w:rPr>
          <w:rFonts w:hint="eastAsia" w:ascii="宋体" w:hAnsi="宋体" w:eastAsia="宋体" w:cs="宋体"/>
          <w:color w:val="auto"/>
        </w:rPr>
      </w:pPr>
    </w:p>
    <w:p w14:paraId="2652AA07">
      <w:pPr>
        <w:spacing w:line="320" w:lineRule="exact"/>
        <w:ind w:firstLine="420" w:firstLineChars="200"/>
        <w:rPr>
          <w:rFonts w:hint="eastAsia" w:ascii="宋体" w:hAnsi="宋体" w:eastAsia="宋体" w:cs="宋体"/>
          <w:color w:val="auto"/>
        </w:rPr>
      </w:pPr>
    </w:p>
    <w:p w14:paraId="4A352209">
      <w:pPr>
        <w:spacing w:line="24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3E5B1F7C">
      <w:pPr>
        <w:spacing w:line="56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自动扶梯与自动人行道检测质量监督抽查</w:t>
      </w:r>
    </w:p>
    <w:p w14:paraId="2069D47D">
      <w:pPr>
        <w:spacing w:line="240" w:lineRule="exact"/>
        <w:ind w:firstLine="0"/>
        <w:jc w:val="left"/>
        <w:rPr>
          <w:rFonts w:hint="eastAsia" w:ascii="宋体" w:hAnsi="宋体" w:eastAsia="宋体" w:cs="宋体"/>
          <w:color w:val="auto"/>
          <w:szCs w:val="21"/>
        </w:rPr>
      </w:pPr>
    </w:p>
    <w:tbl>
      <w:tblPr>
        <w:tblStyle w:val="3"/>
        <w:tblW w:w="895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91"/>
        <w:gridCol w:w="5953"/>
        <w:gridCol w:w="1134"/>
      </w:tblGrid>
      <w:tr w14:paraId="5190A2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DD23C1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191" w:type="dxa"/>
            <w:vAlign w:val="center"/>
          </w:tcPr>
          <w:p w14:paraId="76A6166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953" w:type="dxa"/>
            <w:vAlign w:val="center"/>
          </w:tcPr>
          <w:p w14:paraId="241CD07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抽查内容及要求</w:t>
            </w:r>
          </w:p>
        </w:tc>
        <w:tc>
          <w:tcPr>
            <w:tcW w:w="1134" w:type="dxa"/>
            <w:vAlign w:val="center"/>
          </w:tcPr>
          <w:p w14:paraId="5EF8F6D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监督抽查</w:t>
            </w:r>
          </w:p>
          <w:p w14:paraId="556BDDD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方法</w:t>
            </w:r>
          </w:p>
        </w:tc>
      </w:tr>
      <w:tr w14:paraId="783129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1A4DC4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191" w:type="dxa"/>
            <w:vAlign w:val="center"/>
          </w:tcPr>
          <w:p w14:paraId="05FBCAE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lang w:val="zh-CN"/>
              </w:rPr>
              <w:t>技术资料</w:t>
            </w:r>
          </w:p>
        </w:tc>
        <w:tc>
          <w:tcPr>
            <w:tcW w:w="5953" w:type="dxa"/>
            <w:vAlign w:val="center"/>
          </w:tcPr>
          <w:p w14:paraId="14987552">
            <w:pPr>
              <w:spacing w:line="360" w:lineRule="auto"/>
              <w:ind w:firstLine="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审查</w:t>
            </w:r>
            <w:r>
              <w:rPr>
                <w:rFonts w:hint="eastAsia" w:ascii="宋体" w:hAnsi="宋体" w:eastAsia="宋体" w:cs="宋体"/>
                <w:color w:val="auto"/>
                <w:sz w:val="24"/>
                <w:szCs w:val="24"/>
              </w:rPr>
              <w:t>电梯</w:t>
            </w:r>
            <w:r>
              <w:rPr>
                <w:rFonts w:hint="eastAsia" w:ascii="宋体" w:hAnsi="宋体" w:eastAsia="宋体" w:cs="宋体"/>
                <w:color w:val="auto"/>
                <w:sz w:val="24"/>
                <w:szCs w:val="24"/>
                <w:lang w:val="zh-CN"/>
              </w:rPr>
              <w:t>使用单位是否提供以下适用于受检电梯的资料：</w:t>
            </w:r>
          </w:p>
          <w:p w14:paraId="15622510">
            <w:pPr>
              <w:spacing w:line="360" w:lineRule="auto"/>
              <w:ind w:firstLine="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(1)电气原理图、液压系统原理图、安装使用维护保养说明书、检验和检测报告；</w:t>
            </w:r>
          </w:p>
          <w:p w14:paraId="5D92C3B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lang w:val="zh-CN"/>
              </w:rPr>
              <w:t>(2)日常使用状况记录、维护保养记录、运行故障和事故记录。</w:t>
            </w:r>
          </w:p>
        </w:tc>
        <w:tc>
          <w:tcPr>
            <w:tcW w:w="1134" w:type="dxa"/>
            <w:vAlign w:val="center"/>
          </w:tcPr>
          <w:p w14:paraId="236376A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现场审查</w:t>
            </w:r>
          </w:p>
          <w:p w14:paraId="4D686B9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资料</w:t>
            </w:r>
          </w:p>
        </w:tc>
      </w:tr>
      <w:tr w14:paraId="336832B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2BC384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191" w:type="dxa"/>
            <w:vAlign w:val="center"/>
          </w:tcPr>
          <w:p w14:paraId="36CEC99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照明</w:t>
            </w:r>
          </w:p>
        </w:tc>
        <w:tc>
          <w:tcPr>
            <w:tcW w:w="5953" w:type="dxa"/>
            <w:vAlign w:val="center"/>
          </w:tcPr>
          <w:p w14:paraId="6A7696F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检查榆架内的驱动站、转向站以及机房中是否设有电气照明，分离机房是否设有永久性电气照明。</w:t>
            </w:r>
          </w:p>
        </w:tc>
        <w:tc>
          <w:tcPr>
            <w:tcW w:w="1134" w:type="dxa"/>
            <w:vAlign w:val="center"/>
          </w:tcPr>
          <w:p w14:paraId="146216C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12D81B2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07411E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857E13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191" w:type="dxa"/>
            <w:vAlign w:val="center"/>
          </w:tcPr>
          <w:p w14:paraId="21390D4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接地保护措施</w:t>
            </w:r>
          </w:p>
        </w:tc>
        <w:tc>
          <w:tcPr>
            <w:tcW w:w="5953" w:type="dxa"/>
            <w:vAlign w:val="center"/>
          </w:tcPr>
          <w:p w14:paraId="6600F11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(1)电气设备及线管、线槽的外露可导电部分与保护导体(PE，地线)可靠连接；</w:t>
            </w:r>
          </w:p>
          <w:p w14:paraId="4CC1895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(2)含有电气安全装置的电路发生接地故障时，驱动主机立即停止运转。</w:t>
            </w:r>
          </w:p>
        </w:tc>
        <w:tc>
          <w:tcPr>
            <w:tcW w:w="1134" w:type="dxa"/>
            <w:vAlign w:val="center"/>
          </w:tcPr>
          <w:p w14:paraId="6366453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05F22EF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45D6471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0D34100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191" w:type="dxa"/>
            <w:vAlign w:val="center"/>
          </w:tcPr>
          <w:p w14:paraId="7216C21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旋转部件防护措施</w:t>
            </w:r>
          </w:p>
        </w:tc>
        <w:tc>
          <w:tcPr>
            <w:tcW w:w="5953" w:type="dxa"/>
            <w:vAlign w:val="center"/>
          </w:tcPr>
          <w:p w14:paraId="04A8F56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检查驱动主机的旋转部件、驱动站和转向站的梯级或者踏板转向部分是否设有防护装置和警示标志，以防止人员受到伤害。</w:t>
            </w:r>
          </w:p>
        </w:tc>
        <w:tc>
          <w:tcPr>
            <w:tcW w:w="1134" w:type="dxa"/>
            <w:vAlign w:val="center"/>
          </w:tcPr>
          <w:p w14:paraId="0BFFFC9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1604CFD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319B52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3B18DF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191" w:type="dxa"/>
            <w:vAlign w:val="center"/>
          </w:tcPr>
          <w:p w14:paraId="5A01414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主开关</w:t>
            </w:r>
          </w:p>
        </w:tc>
        <w:tc>
          <w:tcPr>
            <w:tcW w:w="5953" w:type="dxa"/>
            <w:vAlign w:val="center"/>
          </w:tcPr>
          <w:p w14:paraId="486CEF7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(1)能够切断电动机、工作制动器和控制电路的电源，但是不能切断电源插座以及维护和检查所必需的照明电路的电源；</w:t>
            </w:r>
          </w:p>
          <w:p w14:paraId="0E48C68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(2)在断开位置上能够被锁住或者使其处于“隔离”位置；</w:t>
            </w:r>
          </w:p>
          <w:p w14:paraId="75BBDA9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(3)多台设备的主开关设置在同一个机器空间内时，各主开关的操作机构易于识别。</w:t>
            </w:r>
          </w:p>
        </w:tc>
        <w:tc>
          <w:tcPr>
            <w:tcW w:w="1134" w:type="dxa"/>
            <w:vAlign w:val="center"/>
          </w:tcPr>
          <w:p w14:paraId="1F89951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C6C51F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630C27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7A6234A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1191" w:type="dxa"/>
            <w:vAlign w:val="center"/>
          </w:tcPr>
          <w:p w14:paraId="4892279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停止开关</w:t>
            </w:r>
          </w:p>
        </w:tc>
        <w:tc>
          <w:tcPr>
            <w:tcW w:w="5953" w:type="dxa"/>
            <w:vAlign w:val="center"/>
          </w:tcPr>
          <w:p w14:paraId="78325B8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检查驱动站和转向站是否均设有停止开关(已经设置了主开关的驱动站除外)。驱动装置安装在梯级、踏板或者胶带的载客分支和返回分支之间或者设置在转向站外部的，检查在驱动装置附近是否另设有停止开关。</w:t>
            </w:r>
          </w:p>
        </w:tc>
        <w:tc>
          <w:tcPr>
            <w:tcW w:w="1134" w:type="dxa"/>
            <w:vAlign w:val="center"/>
          </w:tcPr>
          <w:p w14:paraId="7FF17ED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0C9A24C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6986F5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757C5E6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1191" w:type="dxa"/>
            <w:vAlign w:val="center"/>
          </w:tcPr>
          <w:p w14:paraId="578CAC1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工作制动器状态监测功能</w:t>
            </w:r>
          </w:p>
        </w:tc>
        <w:tc>
          <w:tcPr>
            <w:tcW w:w="5953" w:type="dxa"/>
            <w:vAlign w:val="center"/>
          </w:tcPr>
          <w:p w14:paraId="2338F7E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检查受检设备启动后而工作制动器没有松开时，电气安全装置是否能够使驱动主机立即停止运行，故障锁定功能是否保持有效。</w:t>
            </w:r>
          </w:p>
        </w:tc>
        <w:tc>
          <w:tcPr>
            <w:tcW w:w="1134" w:type="dxa"/>
            <w:vAlign w:val="center"/>
          </w:tcPr>
          <w:p w14:paraId="54A689C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6BF84F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505F380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38B5ED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191" w:type="dxa"/>
            <w:vAlign w:val="center"/>
          </w:tcPr>
          <w:p w14:paraId="2B5A7E2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手动盘车装置</w:t>
            </w:r>
          </w:p>
        </w:tc>
        <w:tc>
          <w:tcPr>
            <w:tcW w:w="5953" w:type="dxa"/>
            <w:vAlign w:val="center"/>
          </w:tcPr>
          <w:p w14:paraId="3FAEC09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(1)盘车手轮是平滑和无辐条的，并且在其上或者附近清晰地标出操作说明和运行方向；</w:t>
            </w:r>
          </w:p>
          <w:p w14:paraId="3EF07C9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(2)对于可拆卸式手动盘车装置，设有最迟在该装置连接到驱动主机时起作用的电气安全装置。</w:t>
            </w:r>
          </w:p>
        </w:tc>
        <w:tc>
          <w:tcPr>
            <w:tcW w:w="1134" w:type="dxa"/>
            <w:vAlign w:val="center"/>
          </w:tcPr>
          <w:p w14:paraId="6D11A98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w:t>
            </w:r>
          </w:p>
          <w:p w14:paraId="0F529A0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验证</w:t>
            </w:r>
          </w:p>
        </w:tc>
      </w:tr>
      <w:tr w14:paraId="554BCEC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306709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1191" w:type="dxa"/>
            <w:vAlign w:val="center"/>
          </w:tcPr>
          <w:p w14:paraId="1AC8EAA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驱动链电气安全装置</w:t>
            </w:r>
          </w:p>
        </w:tc>
        <w:tc>
          <w:tcPr>
            <w:tcW w:w="5953" w:type="dxa"/>
            <w:vAlign w:val="center"/>
          </w:tcPr>
          <w:p w14:paraId="2C9CEF1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检查当驱动主机驱动链过度松弛和断裂时，电气安全装置是否能够使受检设备自动停止运行，并且能够触发附加制动器动作(设有附加制动器时)。</w:t>
            </w:r>
          </w:p>
        </w:tc>
        <w:tc>
          <w:tcPr>
            <w:tcW w:w="1134" w:type="dxa"/>
            <w:vAlign w:val="center"/>
          </w:tcPr>
          <w:p w14:paraId="52CF3CC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655A3AA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2B0FE9D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5E670D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191" w:type="dxa"/>
            <w:vAlign w:val="center"/>
          </w:tcPr>
          <w:p w14:paraId="59B0D5E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梳齿与踏面相交线处的照度</w:t>
            </w:r>
          </w:p>
        </w:tc>
        <w:tc>
          <w:tcPr>
            <w:tcW w:w="5953" w:type="dxa"/>
            <w:vAlign w:val="center"/>
          </w:tcPr>
          <w:p w14:paraId="2DE0632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测量在楼层板平面的梳齿与踏面相交线位置的照度是否至少为50lx。</w:t>
            </w:r>
          </w:p>
        </w:tc>
        <w:tc>
          <w:tcPr>
            <w:tcW w:w="1134" w:type="dxa"/>
            <w:vAlign w:val="center"/>
          </w:tcPr>
          <w:p w14:paraId="4F4438C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5FC7A60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3B5A9D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361DB0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1191" w:type="dxa"/>
            <w:vAlign w:val="center"/>
          </w:tcPr>
          <w:p w14:paraId="5BD6EE8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检修控制装置</w:t>
            </w:r>
          </w:p>
        </w:tc>
        <w:tc>
          <w:tcPr>
            <w:tcW w:w="5953" w:type="dxa"/>
            <w:vAlign w:val="center"/>
          </w:tcPr>
          <w:p w14:paraId="1376837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(1)在驱动站和转向站内至少提供一个用于便携式检修控制装置连接的检修插座，该插座的设置能够使检修控制装置到达受检设备的任何位置；</w:t>
            </w:r>
          </w:p>
          <w:p w14:paraId="4BBB10E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(2)检修控制装置上的停止开关功能有效；</w:t>
            </w:r>
          </w:p>
          <w:p w14:paraId="1B7D18A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(3)检修控制装置上的运行方向标识清晰、正确；</w:t>
            </w:r>
          </w:p>
          <w:p w14:paraId="7E19F21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(4)当连接一个以上的检修控制装置时，所有检修控制装置均不起作用。</w:t>
            </w:r>
          </w:p>
          <w:p w14:paraId="45E1AE6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（5）对于允许按照GB 16899--1997《自动扶梯和自动人行道的制造与安装安全规范》及更早期标准生产的受检设备，检查其是否符合本条(1)一(3)项以及以下要求：</w:t>
            </w:r>
          </w:p>
          <w:p w14:paraId="6B37229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①操作检修控制装置时，其他所有启动开关均不起作用，安全开关和安全电路仍起作用；</w:t>
            </w:r>
          </w:p>
          <w:p w14:paraId="2FE95BD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②当连接多个检修控制装置时，或者均不起作用，或者需要同时启动才能起作用。</w:t>
            </w:r>
          </w:p>
        </w:tc>
        <w:tc>
          <w:tcPr>
            <w:tcW w:w="1134" w:type="dxa"/>
            <w:vAlign w:val="center"/>
          </w:tcPr>
          <w:p w14:paraId="5E43080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1D0873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795010B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1191" w:type="dxa"/>
            <w:vAlign w:val="center"/>
          </w:tcPr>
          <w:p w14:paraId="7F5520A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出入口区域</w:t>
            </w:r>
          </w:p>
        </w:tc>
        <w:tc>
          <w:tcPr>
            <w:tcW w:w="5953" w:type="dxa"/>
            <w:vAlign w:val="center"/>
          </w:tcPr>
          <w:p w14:paraId="13DF836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检查出入口区域是否充分畅通，其宽度至少等于扶手带外缘距离加上每边各80mm，纵深尺寸从扶手装置端部算起至少为2.50m，该区域的宽度不小于扶手带外缘之间距离的2倍加上每边各80mm 时，其纵深尺寸允许减少至2.00m。</w:t>
            </w:r>
          </w:p>
        </w:tc>
        <w:tc>
          <w:tcPr>
            <w:tcW w:w="1134" w:type="dxa"/>
            <w:vAlign w:val="center"/>
          </w:tcPr>
          <w:p w14:paraId="1C197C3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25B62C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7EF37FB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1191" w:type="dxa"/>
            <w:vAlign w:val="center"/>
          </w:tcPr>
          <w:p w14:paraId="53B0A12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出入口防护装置</w:t>
            </w:r>
          </w:p>
        </w:tc>
        <w:tc>
          <w:tcPr>
            <w:tcW w:w="5953" w:type="dxa"/>
            <w:vAlign w:val="center"/>
          </w:tcPr>
          <w:p w14:paraId="4E3B4F4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对于人员在出入口可能接触到扶手带的外缘并且引起危险的区域，检查是否设置能够阻止乘客进入该区域的永久固定的防护装置，或者符合以下要求的永久固定的防护装置[对于未按照《电梯监督检验和定期检验规则》对出入口防护装置进行过监督检验的，允许只满足下列第(1)项要求]：</w:t>
            </w:r>
          </w:p>
          <w:p w14:paraId="19C26E3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(1)至少高出扶手带100mm，位于扶手带外缘80mm～120mm处；</w:t>
            </w:r>
          </w:p>
          <w:p w14:paraId="61A7B15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(2)从楼层板起高度不小于1100mm。</w:t>
            </w:r>
          </w:p>
        </w:tc>
        <w:tc>
          <w:tcPr>
            <w:tcW w:w="1134" w:type="dxa"/>
            <w:vAlign w:val="center"/>
          </w:tcPr>
          <w:p w14:paraId="3825D20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0808A7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82ED09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1191" w:type="dxa"/>
            <w:vAlign w:val="center"/>
          </w:tcPr>
          <w:p w14:paraId="798D14B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防护挡板</w:t>
            </w:r>
          </w:p>
        </w:tc>
        <w:tc>
          <w:tcPr>
            <w:tcW w:w="5953" w:type="dxa"/>
            <w:vAlign w:val="center"/>
          </w:tcPr>
          <w:p w14:paraId="639A86F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建筑障碍物会引起人员伤害的，检查是否采取了预防措施。受检设备与楼板有交叉或者受检设备之间有交叉的，检查交叉处是否设有垂直固定、无锐利边缘的封闭防护挡板，其位于扶手带上方的防护高度不小于0.30m，并且延伸至扶手带下缘以下至少25mm。扶手带外缘与任何障碍物之间的距离不小于400mm的，可以不设置防护挡板</w:t>
            </w:r>
          </w:p>
        </w:tc>
        <w:tc>
          <w:tcPr>
            <w:tcW w:w="1134" w:type="dxa"/>
            <w:vAlign w:val="center"/>
          </w:tcPr>
          <w:p w14:paraId="21BA1A7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247295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DF1B4D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1191" w:type="dxa"/>
            <w:vAlign w:val="center"/>
          </w:tcPr>
          <w:p w14:paraId="70C7536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扶乎带</w:t>
            </w:r>
          </w:p>
          <w:p w14:paraId="7BD1170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距离</w:t>
            </w:r>
          </w:p>
        </w:tc>
        <w:tc>
          <w:tcPr>
            <w:tcW w:w="5953" w:type="dxa"/>
            <w:vAlign w:val="center"/>
          </w:tcPr>
          <w:p w14:paraId="706690D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(1)墙壁或者障碍物与扶手带外缘之间的水平距离不小于80mm，与扶手带下缘的垂直距离不小于25mm；</w:t>
            </w:r>
          </w:p>
          <w:p w14:paraId="778DF9C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(2)对于邻近布置的受检设备，其扶手带外缘之间的距离不小于160mm。</w:t>
            </w:r>
          </w:p>
        </w:tc>
        <w:tc>
          <w:tcPr>
            <w:tcW w:w="1134" w:type="dxa"/>
            <w:vAlign w:val="center"/>
          </w:tcPr>
          <w:p w14:paraId="77321BF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0B3972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16DE2AB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1191" w:type="dxa"/>
            <w:vAlign w:val="center"/>
          </w:tcPr>
          <w:p w14:paraId="75613B0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连续输送保护</w:t>
            </w:r>
          </w:p>
        </w:tc>
        <w:tc>
          <w:tcPr>
            <w:tcW w:w="5953" w:type="dxa"/>
            <w:vAlign w:val="center"/>
          </w:tcPr>
          <w:p w14:paraId="6ADC808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(1)具有相同的输送能力并且同方向运行；</w:t>
            </w:r>
          </w:p>
          <w:p w14:paraId="28AFD25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(2)在梯级、踏板或胶带到达梳齿与踏面相交线之前2.00m～3.00m处，设有乘客易于触及的附加紧急停止开关；</w:t>
            </w:r>
          </w:p>
          <w:p w14:paraId="4DEEA8F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(3)当其中一台受检设备停止运行时，其他继续运行可能造成人流拥堵的设备也停止运行。</w:t>
            </w:r>
          </w:p>
        </w:tc>
        <w:tc>
          <w:tcPr>
            <w:tcW w:w="1134" w:type="dxa"/>
            <w:vAlign w:val="center"/>
          </w:tcPr>
          <w:p w14:paraId="182F8CA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46D757F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777B584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1191" w:type="dxa"/>
            <w:vAlign w:val="center"/>
          </w:tcPr>
          <w:p w14:paraId="06F41F4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检修盖板与楼层板</w:t>
            </w:r>
          </w:p>
        </w:tc>
        <w:tc>
          <w:tcPr>
            <w:tcW w:w="5953" w:type="dxa"/>
            <w:vAlign w:val="center"/>
          </w:tcPr>
          <w:p w14:paraId="3EF291A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(1)检修盖板与楼层板的安装和固定能够防止因人员踩踏或者自重作用而导致倾覆、翻转；</w:t>
            </w:r>
          </w:p>
          <w:p w14:paraId="358FA31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(2)监测检修盖板和楼层板的电气安全装置能够在移除任何一块检修盖板或者楼层板时动作，机械结构能够保证只能先移除某块检修盖板或者楼层板的，至少在移除该块检修盖板或者楼层板时电气安全装置动作。</w:t>
            </w:r>
          </w:p>
        </w:tc>
        <w:tc>
          <w:tcPr>
            <w:tcW w:w="1134" w:type="dxa"/>
            <w:vAlign w:val="center"/>
          </w:tcPr>
          <w:p w14:paraId="567733F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2F673F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4D308F3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4041B1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1191" w:type="dxa"/>
            <w:vAlign w:val="center"/>
          </w:tcPr>
          <w:p w14:paraId="0FA7A32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扶手带速度监测装置</w:t>
            </w:r>
          </w:p>
        </w:tc>
        <w:tc>
          <w:tcPr>
            <w:tcW w:w="5953" w:type="dxa"/>
            <w:vAlign w:val="center"/>
          </w:tcPr>
          <w:p w14:paraId="49204BA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检查当扶手带速度与梯级、踏板或者胶带实际速度偏差最大超过15%，并且持续时间在5s～15s范围内时，扶手带速度监测装置是否能够使受检设备自动停止运行。</w:t>
            </w:r>
          </w:p>
        </w:tc>
        <w:tc>
          <w:tcPr>
            <w:tcW w:w="1134" w:type="dxa"/>
            <w:vAlign w:val="center"/>
          </w:tcPr>
          <w:p w14:paraId="78B0FDE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0B83DDF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2AC1ABD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1191" w:type="dxa"/>
            <w:vAlign w:val="center"/>
          </w:tcPr>
          <w:p w14:paraId="3078C95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梳齿与梳齿板</w:t>
            </w:r>
          </w:p>
        </w:tc>
        <w:tc>
          <w:tcPr>
            <w:tcW w:w="5953" w:type="dxa"/>
            <w:vAlign w:val="center"/>
          </w:tcPr>
          <w:p w14:paraId="706EBF0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(1)梳齿板梳齿完好，无缺损；</w:t>
            </w:r>
          </w:p>
          <w:p w14:paraId="1F53075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(2)梳齿板梳齿与踏面齿槽的啮合深度至少为4mm，梳齿槽根部与踏面的间隙不超过4mm；</w:t>
            </w:r>
          </w:p>
          <w:p w14:paraId="5E8DF2E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(3)梯级或者踏板进入梳齿板处有异物卡入，并且梳齿与梯级或者踏板不能正常啮合而导致梳齿板与梯级或者踏板发生碰撞时，受检设备能够自动停止运行。</w:t>
            </w:r>
          </w:p>
        </w:tc>
        <w:tc>
          <w:tcPr>
            <w:tcW w:w="1134" w:type="dxa"/>
            <w:vAlign w:val="center"/>
          </w:tcPr>
          <w:p w14:paraId="7D651AF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13B172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09FC8C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1191" w:type="dxa"/>
            <w:vAlign w:val="center"/>
          </w:tcPr>
          <w:p w14:paraId="4E11C25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紧急停止开关</w:t>
            </w:r>
          </w:p>
        </w:tc>
        <w:tc>
          <w:tcPr>
            <w:tcW w:w="5953" w:type="dxa"/>
            <w:vAlign w:val="center"/>
          </w:tcPr>
          <w:p w14:paraId="34D0985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(1)受检设备出入口附近设有紧急停止开关，必要时增设附加紧急停止开关，以使紧急停止开关之间的距离不超过30m(适用于自动扶梯)或者40m(适用于自动人行道)；</w:t>
            </w:r>
          </w:p>
          <w:p w14:paraId="19EE77C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(2)各紧急停止开关标识清晰，对于位于扶手装置高度1/2以下的紧急停止开关，在扶手装置高度1/2以上的醒目位置还设有直径至少为 80mm的红底白字“急停”指示标记，箭头指向该开关。</w:t>
            </w:r>
          </w:p>
        </w:tc>
        <w:tc>
          <w:tcPr>
            <w:tcW w:w="1134" w:type="dxa"/>
            <w:vAlign w:val="center"/>
          </w:tcPr>
          <w:p w14:paraId="08185AD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0D5C12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07B779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1191" w:type="dxa"/>
            <w:vAlign w:val="center"/>
          </w:tcPr>
          <w:p w14:paraId="2AAC5CA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铭牌与</w:t>
            </w:r>
          </w:p>
          <w:p w14:paraId="518C0E1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标志</w:t>
            </w:r>
          </w:p>
        </w:tc>
        <w:tc>
          <w:tcPr>
            <w:tcW w:w="5953" w:type="dxa"/>
            <w:vAlign w:val="center"/>
          </w:tcPr>
          <w:p w14:paraId="47C4D94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在受检设备出入口的明显位置设有产品铭牌，至少标明产品名称、型号、编号、制造单位名称或者商标、制造日期(对于在本规则实施前已经投入使用的受检设备，可以在出入口的明显位置设置标有产品型号、编号、制造年份、制造单位名称或者商标的产品标识)；改造后的受检设备，加贴铭牌上标明主要技术参数、改造单位名称或者商标、改造竣工日期；</w:t>
            </w:r>
          </w:p>
          <w:p w14:paraId="59A0E8F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(2)在受检设备出入口附近设有包括必须拉住小孩、必须抱着宠物、必须握住扶手带和禁止使用非专用手推车等内容的安全乘用图形标志。</w:t>
            </w:r>
          </w:p>
        </w:tc>
        <w:tc>
          <w:tcPr>
            <w:tcW w:w="1134" w:type="dxa"/>
            <w:vAlign w:val="center"/>
          </w:tcPr>
          <w:p w14:paraId="5081A81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79475BA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69C918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76B9104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22</w:t>
            </w:r>
          </w:p>
        </w:tc>
        <w:tc>
          <w:tcPr>
            <w:tcW w:w="1191" w:type="dxa"/>
            <w:vAlign w:val="center"/>
          </w:tcPr>
          <w:p w14:paraId="721BD2F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扶手装置</w:t>
            </w:r>
          </w:p>
        </w:tc>
        <w:tc>
          <w:tcPr>
            <w:tcW w:w="5953" w:type="dxa"/>
            <w:vAlign w:val="center"/>
          </w:tcPr>
          <w:p w14:paraId="258B402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(1)扶手带完好、表面无龟裂、剥离、严重磨损，扶手带单一开裂处最大裂纹宽度不大于3mm；</w:t>
            </w:r>
          </w:p>
          <w:p w14:paraId="1704F9E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(2)扶手转向端入口处的最低点与地板之间的垂直距离不小于0.10m，并且不大于0.25m；</w:t>
            </w:r>
          </w:p>
          <w:p w14:paraId="1F461ED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(3)朝向梯级、踏板或者胶带一侧的部分光滑、平齐，装设方向与运行方向不一致的压条或者镶条凸出高度不大于 3mm，其边缘呈圆角或者倒角状，沿运行方向的盖板连接处结构能够防止勾绊；</w:t>
            </w:r>
          </w:p>
          <w:p w14:paraId="571021F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(4)扶手带入口保护装置功能有效。</w:t>
            </w:r>
          </w:p>
        </w:tc>
        <w:tc>
          <w:tcPr>
            <w:tcW w:w="1134" w:type="dxa"/>
            <w:vAlign w:val="center"/>
          </w:tcPr>
          <w:p w14:paraId="534BF2C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26FCA4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95F60B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23</w:t>
            </w:r>
          </w:p>
        </w:tc>
        <w:tc>
          <w:tcPr>
            <w:tcW w:w="1191" w:type="dxa"/>
            <w:vAlign w:val="center"/>
          </w:tcPr>
          <w:p w14:paraId="6B5085E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防爬装置</w:t>
            </w:r>
          </w:p>
        </w:tc>
        <w:tc>
          <w:tcPr>
            <w:tcW w:w="5953" w:type="dxa"/>
            <w:vAlign w:val="center"/>
          </w:tcPr>
          <w:p w14:paraId="2293E62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人员能够爬上外盖板并且存在跌落风险的，检查在受检设备的外盖板上是否装设了符合以下要求的防爬装置：</w:t>
            </w:r>
          </w:p>
          <w:p w14:paraId="4438DAE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(1)在位于地平面上方1000mm±50mm处；</w:t>
            </w:r>
          </w:p>
          <w:p w14:paraId="1EE7C4B4">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(2)其高度至少与扶手带表面齐平，下部与外盖板相交，平行于外盖板方向上的延伸长度不小于1000mm，并且在此长度范围内无踩脚处。</w:t>
            </w:r>
          </w:p>
        </w:tc>
        <w:tc>
          <w:tcPr>
            <w:tcW w:w="1134" w:type="dxa"/>
            <w:vAlign w:val="center"/>
          </w:tcPr>
          <w:p w14:paraId="39A39CD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179F77B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74B5993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24</w:t>
            </w:r>
          </w:p>
        </w:tc>
        <w:tc>
          <w:tcPr>
            <w:tcW w:w="1191" w:type="dxa"/>
            <w:vAlign w:val="center"/>
          </w:tcPr>
          <w:p w14:paraId="44BFB3E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阻挡装置</w:t>
            </w:r>
          </w:p>
        </w:tc>
        <w:tc>
          <w:tcPr>
            <w:tcW w:w="5953" w:type="dxa"/>
            <w:vAlign w:val="center"/>
          </w:tcPr>
          <w:p w14:paraId="3ACE5AD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对于与墙相邻并且外盖板的宽度大于125mm的受检设备，或者相邻平行布置并且共用外盖板的宽度大于125mm 的自动扶梯或者倾斜的自动人行道，检查在上、下端部装设的阻挡装置是否能够防止人员进入外盖板区域，并且延伸到高度距离扶手带下缘25mm-150mm处。</w:t>
            </w:r>
          </w:p>
        </w:tc>
        <w:tc>
          <w:tcPr>
            <w:tcW w:w="1134" w:type="dxa"/>
            <w:vAlign w:val="center"/>
          </w:tcPr>
          <w:p w14:paraId="4FD18E6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348D26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011FF4A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25</w:t>
            </w:r>
          </w:p>
        </w:tc>
        <w:tc>
          <w:tcPr>
            <w:tcW w:w="1191" w:type="dxa"/>
            <w:vAlign w:val="center"/>
          </w:tcPr>
          <w:p w14:paraId="5B90D3A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防滑行</w:t>
            </w:r>
          </w:p>
          <w:p w14:paraId="12457BC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装置</w:t>
            </w:r>
          </w:p>
        </w:tc>
        <w:tc>
          <w:tcPr>
            <w:tcW w:w="5953" w:type="dxa"/>
            <w:vAlign w:val="center"/>
          </w:tcPr>
          <w:p w14:paraId="364ED020">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自动扶梯或者倾斜的自动人行道和相邻的墙之间装有接近扶手带高度的扶手盖板，并且建筑物(墙)和扶手带中心线之间的距离大于300mm时，或者相邻自动扶梯或者倾斜的自动人行道的扶手带中心线之间的距离大于400mm时，检查在扶手盖板上装设的防滑行装置是否无锐角或者锐边，与扶手带的距离不小于100mm，并且防滑行装置之间的间隔距离不大于1800mm，高度不小于20mm。</w:t>
            </w:r>
          </w:p>
        </w:tc>
        <w:tc>
          <w:tcPr>
            <w:tcW w:w="1134" w:type="dxa"/>
            <w:vAlign w:val="center"/>
          </w:tcPr>
          <w:p w14:paraId="7F1C43C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50BAE00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5E2431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26</w:t>
            </w:r>
          </w:p>
        </w:tc>
        <w:tc>
          <w:tcPr>
            <w:tcW w:w="1191" w:type="dxa"/>
            <w:vAlign w:val="center"/>
          </w:tcPr>
          <w:p w14:paraId="5561D02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护壁板</w:t>
            </w:r>
          </w:p>
          <w:p w14:paraId="300D2B5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间隙</w:t>
            </w:r>
          </w:p>
        </w:tc>
        <w:tc>
          <w:tcPr>
            <w:tcW w:w="5953" w:type="dxa"/>
            <w:vAlign w:val="center"/>
          </w:tcPr>
          <w:p w14:paraId="20DABB4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检查护壁板之间的间隙是否不大于4mm，其边缘是否呈圆角或者倒角状。</w:t>
            </w:r>
          </w:p>
        </w:tc>
        <w:tc>
          <w:tcPr>
            <w:tcW w:w="1134" w:type="dxa"/>
            <w:vAlign w:val="center"/>
          </w:tcPr>
          <w:p w14:paraId="68283AE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387A2F0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8B665E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27</w:t>
            </w:r>
          </w:p>
        </w:tc>
        <w:tc>
          <w:tcPr>
            <w:tcW w:w="1191" w:type="dxa"/>
            <w:vAlign w:val="center"/>
          </w:tcPr>
          <w:p w14:paraId="50AB40A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围裙板与梯级、踏板间隙</w:t>
            </w:r>
          </w:p>
        </w:tc>
        <w:tc>
          <w:tcPr>
            <w:tcW w:w="5953" w:type="dxa"/>
            <w:vAlign w:val="center"/>
          </w:tcPr>
          <w:p w14:paraId="3472EE7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(1)任何一侧的水平间隙不大于4mm，并且两侧对称位置处的间隙总和不大于7mm；</w:t>
            </w:r>
          </w:p>
          <w:p w14:paraId="267244D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(2)围裙板设置在踏板之上时，踏板表面与围裙板下端的垂直间隙不大于4mm，踏板侧边与围裙板垂直投影间不产生间隙。</w:t>
            </w:r>
          </w:p>
        </w:tc>
        <w:tc>
          <w:tcPr>
            <w:tcW w:w="1134" w:type="dxa"/>
            <w:vAlign w:val="center"/>
          </w:tcPr>
          <w:p w14:paraId="754C4EC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6034897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35C6CD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28</w:t>
            </w:r>
          </w:p>
        </w:tc>
        <w:tc>
          <w:tcPr>
            <w:tcW w:w="1191" w:type="dxa"/>
            <w:vAlign w:val="center"/>
          </w:tcPr>
          <w:p w14:paraId="7648C82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围裙板防夹装置</w:t>
            </w:r>
          </w:p>
        </w:tc>
        <w:tc>
          <w:tcPr>
            <w:tcW w:w="5953" w:type="dxa"/>
            <w:vAlign w:val="center"/>
          </w:tcPr>
          <w:p w14:paraId="76B4F60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(1)无松动、缺损等现象；</w:t>
            </w:r>
          </w:p>
          <w:p w14:paraId="4BBFB0F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(2)端点位于梳齿与踏面相交线前(梯级侧)不小于50mm，但不大于 150mm 的位置。</w:t>
            </w:r>
          </w:p>
        </w:tc>
        <w:tc>
          <w:tcPr>
            <w:tcW w:w="1134" w:type="dxa"/>
            <w:vAlign w:val="center"/>
          </w:tcPr>
          <w:p w14:paraId="6F8C82F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现场观察确认并测量相关数据</w:t>
            </w:r>
          </w:p>
        </w:tc>
      </w:tr>
      <w:tr w14:paraId="122865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CC66BB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29</w:t>
            </w:r>
          </w:p>
        </w:tc>
        <w:tc>
          <w:tcPr>
            <w:tcW w:w="1191" w:type="dxa"/>
            <w:vAlign w:val="center"/>
          </w:tcPr>
          <w:p w14:paraId="0C98250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围裙板防夹开关</w:t>
            </w:r>
          </w:p>
        </w:tc>
        <w:tc>
          <w:tcPr>
            <w:tcW w:w="5953" w:type="dxa"/>
            <w:vAlign w:val="center"/>
          </w:tcPr>
          <w:p w14:paraId="2917B3D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对于设有围裙板防夹开关的自动扶梯，检查夹入梯级和围裙板之间的异物最迟到达围裙板防夹开关处时，该开关是否能够有效动作，使自动扶梯在该梯级到达梳齿板前自动停止运行。</w:t>
            </w:r>
          </w:p>
        </w:tc>
        <w:tc>
          <w:tcPr>
            <w:tcW w:w="1134" w:type="dxa"/>
            <w:vAlign w:val="center"/>
          </w:tcPr>
          <w:p w14:paraId="07802CE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06C5E3E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r w14:paraId="0637D0A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908896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30</w:t>
            </w:r>
          </w:p>
        </w:tc>
        <w:tc>
          <w:tcPr>
            <w:tcW w:w="1191" w:type="dxa"/>
            <w:vAlign w:val="center"/>
          </w:tcPr>
          <w:p w14:paraId="350690D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梯级、踏板(胶带)</w:t>
            </w:r>
          </w:p>
        </w:tc>
        <w:tc>
          <w:tcPr>
            <w:tcW w:w="5953" w:type="dxa"/>
            <w:vAlign w:val="center"/>
          </w:tcPr>
          <w:p w14:paraId="63249CC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(1)梯级、踏板或者胶带完好，无破损；</w:t>
            </w:r>
          </w:p>
          <w:p w14:paraId="16ADC70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(2)在工作区段内的任何位置，从踏面测得的两个相邻梯级或者踏板之间的间隙不大于6mm，在自动人行道过渡曲线区段，如果踏板的前缘和相邻踏板的后缘啮合，其间隙允许增至8mm。</w:t>
            </w:r>
          </w:p>
        </w:tc>
        <w:tc>
          <w:tcPr>
            <w:tcW w:w="1134" w:type="dxa"/>
            <w:vAlign w:val="center"/>
          </w:tcPr>
          <w:p w14:paraId="7191B43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检查人员现场观察确认并测量相关数据</w:t>
            </w:r>
          </w:p>
        </w:tc>
      </w:tr>
      <w:tr w14:paraId="5A825B1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04E0DDE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31</w:t>
            </w:r>
          </w:p>
        </w:tc>
        <w:tc>
          <w:tcPr>
            <w:tcW w:w="1191" w:type="dxa"/>
            <w:vAlign w:val="center"/>
          </w:tcPr>
          <w:p w14:paraId="5805120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梯级、踏板下陷保护</w:t>
            </w:r>
          </w:p>
        </w:tc>
        <w:tc>
          <w:tcPr>
            <w:tcW w:w="5953" w:type="dxa"/>
            <w:vAlign w:val="center"/>
          </w:tcPr>
          <w:p w14:paraId="3775F91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检查梯级或者踏板下陷导致不再与梳齿啮合时，电气安全装置是否能够使受检设备自动停止运行，并且下陷的梯级或者踏板不会到达梳齿与踏面相交线，故障锁定功能是否保持有效。</w:t>
            </w:r>
          </w:p>
        </w:tc>
        <w:tc>
          <w:tcPr>
            <w:tcW w:w="1134" w:type="dxa"/>
            <w:vAlign w:val="center"/>
          </w:tcPr>
          <w:p w14:paraId="1BD3D70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w:t>
            </w:r>
          </w:p>
          <w:p w14:paraId="1BA05C4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确认</w:t>
            </w:r>
          </w:p>
        </w:tc>
      </w:tr>
    </w:tbl>
    <w:tbl>
      <w:tblPr>
        <w:tblStyle w:val="3"/>
        <w:tblpPr w:leftFromText="180" w:rightFromText="180" w:vertAnchor="text" w:tblpY="220"/>
        <w:tblW w:w="8958"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91"/>
        <w:gridCol w:w="2976"/>
        <w:gridCol w:w="2977"/>
        <w:gridCol w:w="1134"/>
      </w:tblGrid>
      <w:tr w14:paraId="4F3EECC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680" w:type="dxa"/>
            <w:vAlign w:val="center"/>
          </w:tcPr>
          <w:p w14:paraId="3D44E2C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32</w:t>
            </w:r>
          </w:p>
        </w:tc>
        <w:tc>
          <w:tcPr>
            <w:tcW w:w="1191" w:type="dxa"/>
            <w:vAlign w:val="center"/>
          </w:tcPr>
          <w:p w14:paraId="310A8EC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梯级、踏板缺失</w:t>
            </w:r>
          </w:p>
          <w:p w14:paraId="0817C78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保护</w:t>
            </w:r>
          </w:p>
        </w:tc>
        <w:tc>
          <w:tcPr>
            <w:tcW w:w="5953" w:type="dxa"/>
            <w:gridSpan w:val="2"/>
            <w:vAlign w:val="center"/>
          </w:tcPr>
          <w:p w14:paraId="06E496E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检查由梯级或者踏板缺失而导致的缺口从梳齿板位置出现之前，电气安全装置是否能够使受检设备自动停止运行，故障锁定功能是否保持有效。</w:t>
            </w:r>
          </w:p>
        </w:tc>
        <w:tc>
          <w:tcPr>
            <w:tcW w:w="1134" w:type="dxa"/>
            <w:vAlign w:val="center"/>
          </w:tcPr>
          <w:p w14:paraId="14D1FAA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12C61D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680" w:type="dxa"/>
            <w:vAlign w:val="center"/>
          </w:tcPr>
          <w:p w14:paraId="0F5C53B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33</w:t>
            </w:r>
          </w:p>
        </w:tc>
        <w:tc>
          <w:tcPr>
            <w:tcW w:w="1191" w:type="dxa"/>
            <w:vAlign w:val="center"/>
          </w:tcPr>
          <w:p w14:paraId="42F0A3B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非操纵逆转保护</w:t>
            </w:r>
          </w:p>
        </w:tc>
        <w:tc>
          <w:tcPr>
            <w:tcW w:w="5953" w:type="dxa"/>
            <w:gridSpan w:val="2"/>
            <w:vAlign w:val="center"/>
          </w:tcPr>
          <w:p w14:paraId="5D202B4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检查梯级、踏板或者胶带改变规定运行方向时，非操纵逆转保护装置是否能够使自动扶梯或者倾斜角不小于6°的自动人行道自动停止运行，故障锁定功能是否保持有效。</w:t>
            </w:r>
          </w:p>
        </w:tc>
        <w:tc>
          <w:tcPr>
            <w:tcW w:w="1134" w:type="dxa"/>
            <w:vAlign w:val="center"/>
          </w:tcPr>
          <w:p w14:paraId="63222A3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763B186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680" w:type="dxa"/>
            <w:vAlign w:val="center"/>
          </w:tcPr>
          <w:p w14:paraId="6B8BDAE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34</w:t>
            </w:r>
          </w:p>
        </w:tc>
        <w:tc>
          <w:tcPr>
            <w:tcW w:w="1191" w:type="dxa"/>
            <w:vAlign w:val="center"/>
          </w:tcPr>
          <w:p w14:paraId="5F06087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驱动元件保护</w:t>
            </w:r>
          </w:p>
        </w:tc>
        <w:tc>
          <w:tcPr>
            <w:tcW w:w="5953" w:type="dxa"/>
            <w:gridSpan w:val="2"/>
            <w:vAlign w:val="center"/>
          </w:tcPr>
          <w:p w14:paraId="40768FF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检查直接驱动梯级、踏板或者胶带的元件断裂或者过分伸长时，受检设备是否能够自动停止运行，故障锁定功能是否保持有效。</w:t>
            </w:r>
          </w:p>
        </w:tc>
        <w:tc>
          <w:tcPr>
            <w:tcW w:w="1134" w:type="dxa"/>
            <w:vAlign w:val="center"/>
          </w:tcPr>
          <w:p w14:paraId="0D9FB3C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77D266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680" w:type="dxa"/>
            <w:vAlign w:val="center"/>
          </w:tcPr>
          <w:p w14:paraId="3AEE25D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35</w:t>
            </w:r>
          </w:p>
        </w:tc>
        <w:tc>
          <w:tcPr>
            <w:tcW w:w="1191" w:type="dxa"/>
            <w:vAlign w:val="center"/>
          </w:tcPr>
          <w:p w14:paraId="79366CA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距离伸缩保护</w:t>
            </w:r>
          </w:p>
        </w:tc>
        <w:tc>
          <w:tcPr>
            <w:tcW w:w="5953" w:type="dxa"/>
            <w:gridSpan w:val="2"/>
            <w:vAlign w:val="center"/>
          </w:tcPr>
          <w:p w14:paraId="3E152D8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检查驱动装置与转向装置之间的距离发生过分伸长或者缩短时，受检设备是否能够自动停止运行。</w:t>
            </w:r>
          </w:p>
        </w:tc>
        <w:tc>
          <w:tcPr>
            <w:tcW w:w="1134" w:type="dxa"/>
            <w:vAlign w:val="center"/>
          </w:tcPr>
          <w:p w14:paraId="787D6C4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w:t>
            </w:r>
          </w:p>
        </w:tc>
      </w:tr>
      <w:tr w14:paraId="3E61ED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35" w:hRule="atLeast"/>
        </w:trPr>
        <w:tc>
          <w:tcPr>
            <w:tcW w:w="680" w:type="dxa"/>
            <w:vAlign w:val="center"/>
          </w:tcPr>
          <w:p w14:paraId="7C4B2D6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36</w:t>
            </w:r>
          </w:p>
        </w:tc>
        <w:tc>
          <w:tcPr>
            <w:tcW w:w="1191" w:type="dxa"/>
            <w:vAlign w:val="center"/>
          </w:tcPr>
          <w:p w14:paraId="40A3DB1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运行试验</w:t>
            </w:r>
          </w:p>
        </w:tc>
        <w:tc>
          <w:tcPr>
            <w:tcW w:w="5953" w:type="dxa"/>
            <w:gridSpan w:val="2"/>
            <w:vAlign w:val="center"/>
          </w:tcPr>
          <w:p w14:paraId="68CC823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(1)对于由使用者的进入而自动启动或者加速的受检设备，观察在使用者到达梳齿与踏面相交线之前，受检设备是否已经启动和加速，其运行方向标识是否正确并且清晰可见；</w:t>
            </w:r>
          </w:p>
          <w:p w14:paraId="31CE681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(2)对于由使用者的进入而自动启动的受检设备，观察、测量当使用者从预定运行方向进入时，是否经过足够的时间(至少为预期输送时间再加上 10s)才能自动停止运行；当使用者从预定运行方向相反的方向进入时，是否仍按照预先确定的方向启动，运行时间不少于10s；</w:t>
            </w:r>
          </w:p>
          <w:p w14:paraId="77F4B1B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(3)受检设备空载，以正常速度进行两个方向的连续运行，观察其是否运行平稳，无异常碰擦、干涉、松动、抖动和声响。</w:t>
            </w:r>
          </w:p>
        </w:tc>
        <w:tc>
          <w:tcPr>
            <w:tcW w:w="1134" w:type="dxa"/>
            <w:vAlign w:val="center"/>
          </w:tcPr>
          <w:p w14:paraId="179C1F6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4F2ECA9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680" w:type="dxa"/>
            <w:vAlign w:val="center"/>
          </w:tcPr>
          <w:p w14:paraId="719EB83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37</w:t>
            </w:r>
          </w:p>
        </w:tc>
        <w:tc>
          <w:tcPr>
            <w:tcW w:w="1191" w:type="dxa"/>
            <w:vAlign w:val="center"/>
          </w:tcPr>
          <w:p w14:paraId="6123568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扶手带运行速度偏差试验</w:t>
            </w:r>
          </w:p>
        </w:tc>
        <w:tc>
          <w:tcPr>
            <w:tcW w:w="5953" w:type="dxa"/>
            <w:gridSpan w:val="2"/>
            <w:vAlign w:val="center"/>
          </w:tcPr>
          <w:p w14:paraId="12CB6B6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受检设备空载运行，分别测量、计算两个运行方向的扶手带运行速度相对于梯级、踏板或者胶带实际速度的偏差，判断其是否在0～+2%范围内。</w:t>
            </w:r>
          </w:p>
        </w:tc>
        <w:tc>
          <w:tcPr>
            <w:tcW w:w="1134" w:type="dxa"/>
            <w:vAlign w:val="center"/>
          </w:tcPr>
          <w:p w14:paraId="17B0B41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58D7DC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14" w:hRule="atLeast"/>
        </w:trPr>
        <w:tc>
          <w:tcPr>
            <w:tcW w:w="680" w:type="dxa"/>
            <w:vAlign w:val="center"/>
          </w:tcPr>
          <w:p w14:paraId="559C36D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38</w:t>
            </w:r>
          </w:p>
        </w:tc>
        <w:tc>
          <w:tcPr>
            <w:tcW w:w="1191" w:type="dxa"/>
            <w:vAlign w:val="center"/>
          </w:tcPr>
          <w:p w14:paraId="33B5BF1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制停距离试验</w:t>
            </w:r>
          </w:p>
        </w:tc>
        <w:tc>
          <w:tcPr>
            <w:tcW w:w="2976" w:type="dxa"/>
            <w:vAlign w:val="center"/>
          </w:tcPr>
          <w:p w14:paraId="3F7709B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（1）自动扶梯制停距离：</w:t>
            </w:r>
          </w:p>
          <w:p w14:paraId="46147664">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名义速度     制停距离范围</w:t>
            </w:r>
          </w:p>
          <w:p w14:paraId="271CEDB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0.50m/s    0.20m～1.00m</w:t>
            </w:r>
          </w:p>
          <w:p w14:paraId="207C3FC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0.65m/s    0.30m～1.30m</w:t>
            </w:r>
          </w:p>
          <w:p w14:paraId="1D705C5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0.75m/s    0.40m～1.50m</w:t>
            </w:r>
          </w:p>
          <w:p w14:paraId="1C1EB7CE">
            <w:pPr>
              <w:spacing w:line="360" w:lineRule="auto"/>
              <w:ind w:firstLine="0"/>
              <w:jc w:val="center"/>
              <w:rPr>
                <w:rFonts w:hint="eastAsia" w:ascii="宋体" w:hAnsi="宋体" w:eastAsia="宋体" w:cs="宋体"/>
                <w:color w:val="auto"/>
                <w:sz w:val="24"/>
                <w:szCs w:val="24"/>
              </w:rPr>
            </w:pPr>
          </w:p>
        </w:tc>
        <w:tc>
          <w:tcPr>
            <w:tcW w:w="2977" w:type="dxa"/>
            <w:vAlign w:val="center"/>
          </w:tcPr>
          <w:p w14:paraId="37F533F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（2）自动人行道制停距离</w:t>
            </w:r>
          </w:p>
          <w:p w14:paraId="6C18949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名义速度     制停距离范围</w:t>
            </w:r>
          </w:p>
          <w:p w14:paraId="1F96C3A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0.50m/s    0.20m～1.00m</w:t>
            </w:r>
          </w:p>
          <w:p w14:paraId="0B4D9C4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0.65m/s    0.30m～1.30m</w:t>
            </w:r>
          </w:p>
          <w:p w14:paraId="133C889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0.75m/s    0.40m～1.50m</w:t>
            </w:r>
          </w:p>
          <w:p w14:paraId="45E943F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0.90m/s    0.55m～1.70m</w:t>
            </w:r>
          </w:p>
        </w:tc>
        <w:tc>
          <w:tcPr>
            <w:tcW w:w="1134" w:type="dxa"/>
            <w:vAlign w:val="center"/>
          </w:tcPr>
          <w:p w14:paraId="115017C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r w14:paraId="625C91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57" w:hRule="atLeast"/>
        </w:trPr>
        <w:tc>
          <w:tcPr>
            <w:tcW w:w="680" w:type="dxa"/>
            <w:vAlign w:val="center"/>
          </w:tcPr>
          <w:p w14:paraId="080E2F5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39</w:t>
            </w:r>
          </w:p>
        </w:tc>
        <w:tc>
          <w:tcPr>
            <w:tcW w:w="1191" w:type="dxa"/>
            <w:vAlign w:val="center"/>
          </w:tcPr>
          <w:p w14:paraId="03BB854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附加制动器试验</w:t>
            </w:r>
          </w:p>
        </w:tc>
        <w:tc>
          <w:tcPr>
            <w:tcW w:w="5953" w:type="dxa"/>
            <w:gridSpan w:val="2"/>
            <w:vAlign w:val="center"/>
          </w:tcPr>
          <w:p w14:paraId="78ACBCEE">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(1)检查在附加制动器动作开始时是否能够强制切断控制电路；</w:t>
            </w:r>
          </w:p>
          <w:p w14:paraId="2CA85988">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(2)受检设备空载，在工作制动器松开状态下，下行时触发附加制动器动作，观察附加制动器是否能够使受检设备可靠制停；</w:t>
            </w:r>
          </w:p>
          <w:p w14:paraId="0B6C9E0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3)如果受检设备设有两个及以上驱动主机，并且采用工作制动器互为附加制动器时，检查每一制动器是否均符合本条第(1)和第(2)项的要求。</w:t>
            </w:r>
          </w:p>
        </w:tc>
        <w:tc>
          <w:tcPr>
            <w:tcW w:w="1134" w:type="dxa"/>
            <w:vAlign w:val="center"/>
          </w:tcPr>
          <w:p w14:paraId="2077682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现场观察确认并试验验证</w:t>
            </w:r>
          </w:p>
        </w:tc>
      </w:tr>
    </w:tbl>
    <w:p w14:paraId="575E6423">
      <w:pPr>
        <w:spacing w:line="360" w:lineRule="auto"/>
        <w:ind w:firstLine="480" w:firstLineChars="200"/>
        <w:rPr>
          <w:rFonts w:hint="eastAsia" w:ascii="宋体" w:hAnsi="宋体" w:eastAsia="宋体" w:cs="宋体"/>
          <w:color w:val="auto"/>
          <w:sz w:val="32"/>
          <w:szCs w:val="32"/>
        </w:rPr>
      </w:pPr>
      <w:r>
        <w:rPr>
          <w:rFonts w:hint="eastAsia" w:ascii="宋体" w:hAnsi="宋体" w:eastAsia="宋体" w:cs="宋体"/>
          <w:color w:val="auto"/>
          <w:sz w:val="24"/>
          <w:szCs w:val="24"/>
        </w:rPr>
        <w:t>注：自动扶梯与自动人行道检测质量监督抽查项目包含但不限于以上内容，项目1-39项为自动扶梯与自动人行道基本检测项目。检测质量监督抽查现场根据被抽查电梯实际情况，依据《电梯自行检测规则》（TSG T 7008-2023）规定的相关项目进行监督抽查。</w:t>
      </w:r>
    </w:p>
    <w:p w14:paraId="1FE83C6E">
      <w:pPr>
        <w:spacing w:line="24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49B338AC">
      <w:pPr>
        <w:autoSpaceDE w:val="0"/>
        <w:autoSpaceDN w:val="0"/>
        <w:adjustRightInd w:val="0"/>
        <w:spacing w:line="560" w:lineRule="exact"/>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电梯生产单位（除电梯维保单位外）监督抽查</w:t>
      </w:r>
    </w:p>
    <w:p w14:paraId="63F8A6F0">
      <w:pPr>
        <w:autoSpaceDE w:val="0"/>
        <w:autoSpaceDN w:val="0"/>
        <w:adjustRightInd w:val="0"/>
        <w:spacing w:line="240" w:lineRule="exact"/>
        <w:ind w:firstLine="0"/>
        <w:rPr>
          <w:rFonts w:hint="eastAsia" w:ascii="宋体" w:hAnsi="宋体" w:eastAsia="宋体" w:cs="宋体"/>
          <w:color w:val="auto"/>
          <w:szCs w:val="21"/>
        </w:rPr>
      </w:pPr>
    </w:p>
    <w:tbl>
      <w:tblPr>
        <w:tblStyle w:val="3"/>
        <w:tblW w:w="89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5953"/>
        <w:gridCol w:w="1134"/>
      </w:tblGrid>
      <w:tr w14:paraId="6D3F91F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80" w:type="dxa"/>
            <w:vAlign w:val="center"/>
          </w:tcPr>
          <w:p w14:paraId="1B4DFCEE">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序号</w:t>
            </w:r>
          </w:p>
        </w:tc>
        <w:tc>
          <w:tcPr>
            <w:tcW w:w="1134" w:type="dxa"/>
            <w:vAlign w:val="center"/>
          </w:tcPr>
          <w:p w14:paraId="3434285C">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项目</w:t>
            </w:r>
          </w:p>
        </w:tc>
        <w:tc>
          <w:tcPr>
            <w:tcW w:w="5953" w:type="dxa"/>
            <w:vAlign w:val="center"/>
          </w:tcPr>
          <w:p w14:paraId="78B22AB5">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抽查内容与要求</w:t>
            </w:r>
          </w:p>
        </w:tc>
        <w:tc>
          <w:tcPr>
            <w:tcW w:w="1134" w:type="dxa"/>
            <w:vAlign w:val="center"/>
          </w:tcPr>
          <w:p w14:paraId="6C711CEB">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监督抽查</w:t>
            </w:r>
          </w:p>
          <w:p w14:paraId="4BAC94D3">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方法</w:t>
            </w:r>
          </w:p>
        </w:tc>
      </w:tr>
      <w:tr w14:paraId="26A68A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80" w:type="dxa"/>
            <w:vAlign w:val="center"/>
          </w:tcPr>
          <w:p w14:paraId="776872B7">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134" w:type="dxa"/>
            <w:vAlign w:val="center"/>
          </w:tcPr>
          <w:p w14:paraId="012FF922">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行政许可</w:t>
            </w:r>
          </w:p>
        </w:tc>
        <w:tc>
          <w:tcPr>
            <w:tcW w:w="5953" w:type="dxa"/>
            <w:vAlign w:val="center"/>
          </w:tcPr>
          <w:p w14:paraId="6E0696BE">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许可证在有效期内</w:t>
            </w:r>
          </w:p>
        </w:tc>
        <w:tc>
          <w:tcPr>
            <w:tcW w:w="1134" w:type="dxa"/>
            <w:vAlign w:val="center"/>
          </w:tcPr>
          <w:p w14:paraId="48D90615">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核查证件</w:t>
            </w:r>
          </w:p>
        </w:tc>
      </w:tr>
      <w:tr w14:paraId="5F79DD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2682ACA9">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134" w:type="dxa"/>
            <w:vAlign w:val="center"/>
          </w:tcPr>
          <w:p w14:paraId="2B2B436E">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生产档案</w:t>
            </w:r>
          </w:p>
        </w:tc>
        <w:tc>
          <w:tcPr>
            <w:tcW w:w="5953" w:type="dxa"/>
            <w:vAlign w:val="center"/>
          </w:tcPr>
          <w:p w14:paraId="314D9E98">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现场抽查2台电梯的生产档案，确认符合相关安全技术规范要求</w:t>
            </w:r>
          </w:p>
        </w:tc>
        <w:tc>
          <w:tcPr>
            <w:tcW w:w="1134" w:type="dxa"/>
            <w:vAlign w:val="center"/>
          </w:tcPr>
          <w:p w14:paraId="271D724C">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w:t>
            </w:r>
          </w:p>
        </w:tc>
      </w:tr>
      <w:tr w14:paraId="45FF77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7F24DC6E">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134" w:type="dxa"/>
            <w:vAlign w:val="center"/>
          </w:tcPr>
          <w:p w14:paraId="1DFBAD18">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设计审批</w:t>
            </w:r>
          </w:p>
        </w:tc>
        <w:tc>
          <w:tcPr>
            <w:tcW w:w="5953" w:type="dxa"/>
            <w:vAlign w:val="center"/>
          </w:tcPr>
          <w:p w14:paraId="05F80072">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具有设计文件鉴定报告(有要求时)，设计单位许可证书符合TSG 07-2019的要求</w:t>
            </w:r>
          </w:p>
        </w:tc>
        <w:tc>
          <w:tcPr>
            <w:tcW w:w="1134" w:type="dxa"/>
            <w:vAlign w:val="center"/>
          </w:tcPr>
          <w:p w14:paraId="6F27200B">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w:t>
            </w:r>
          </w:p>
        </w:tc>
      </w:tr>
      <w:tr w14:paraId="15814D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0BEFAFB2">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134" w:type="dxa"/>
            <w:vAlign w:val="center"/>
          </w:tcPr>
          <w:p w14:paraId="6994181B">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检验资料</w:t>
            </w:r>
          </w:p>
        </w:tc>
        <w:tc>
          <w:tcPr>
            <w:tcW w:w="5953" w:type="dxa"/>
            <w:vAlign w:val="center"/>
          </w:tcPr>
          <w:p w14:paraId="0BCA6823">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现场抽查2台电梯的监督检验报告以及对应的型式试验证书或报告，资料齐全</w:t>
            </w:r>
          </w:p>
        </w:tc>
        <w:tc>
          <w:tcPr>
            <w:tcW w:w="1134" w:type="dxa"/>
            <w:vAlign w:val="center"/>
          </w:tcPr>
          <w:p w14:paraId="21DA0ED4">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w:t>
            </w:r>
          </w:p>
        </w:tc>
      </w:tr>
      <w:tr w14:paraId="363F444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04A2DEA2">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134" w:type="dxa"/>
            <w:vAlign w:val="center"/>
          </w:tcPr>
          <w:p w14:paraId="49B1A8A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生产情况</w:t>
            </w:r>
          </w:p>
          <w:p w14:paraId="768E3CBD">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记录</w:t>
            </w:r>
          </w:p>
        </w:tc>
        <w:tc>
          <w:tcPr>
            <w:tcW w:w="5953" w:type="dxa"/>
            <w:vAlign w:val="center"/>
          </w:tcPr>
          <w:p w14:paraId="00868EDB">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现场抽查生产记录，未发现超出许可范围和许可有效期生产的情形。</w:t>
            </w:r>
          </w:p>
        </w:tc>
        <w:tc>
          <w:tcPr>
            <w:tcW w:w="1134" w:type="dxa"/>
            <w:vAlign w:val="center"/>
          </w:tcPr>
          <w:p w14:paraId="5DD19C98">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查阅资料现场查验</w:t>
            </w:r>
          </w:p>
        </w:tc>
      </w:tr>
      <w:tr w14:paraId="3CFD7A0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680" w:type="dxa"/>
            <w:vAlign w:val="center"/>
          </w:tcPr>
          <w:p w14:paraId="38A30E49">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1134" w:type="dxa"/>
            <w:vAlign w:val="center"/>
          </w:tcPr>
          <w:p w14:paraId="03F7E92E">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档案抽查</w:t>
            </w:r>
          </w:p>
        </w:tc>
        <w:tc>
          <w:tcPr>
            <w:tcW w:w="5953" w:type="dxa"/>
            <w:vAlign w:val="center"/>
          </w:tcPr>
          <w:p w14:paraId="32607C1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（1）现场抽查1台电梯的生产记录，已按照生产单位的质量保证体系要求进行了存档。</w:t>
            </w:r>
          </w:p>
          <w:p w14:paraId="46AB221B">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（2）现场抽查1台电梯的出厂资料、竣工资料移交记录，已按照生产单位的质量保证体系要求进行了存档</w:t>
            </w:r>
          </w:p>
        </w:tc>
        <w:tc>
          <w:tcPr>
            <w:tcW w:w="1134" w:type="dxa"/>
            <w:vAlign w:val="center"/>
          </w:tcPr>
          <w:p w14:paraId="658A9F72">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w:t>
            </w:r>
          </w:p>
        </w:tc>
      </w:tr>
      <w:tr w14:paraId="637FA2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80" w:type="dxa"/>
            <w:vAlign w:val="center"/>
          </w:tcPr>
          <w:p w14:paraId="18529785">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1134" w:type="dxa"/>
            <w:vAlign w:val="center"/>
          </w:tcPr>
          <w:p w14:paraId="2FE2FEDE">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整改情况</w:t>
            </w:r>
          </w:p>
        </w:tc>
        <w:tc>
          <w:tcPr>
            <w:tcW w:w="5953" w:type="dxa"/>
            <w:vAlign w:val="center"/>
          </w:tcPr>
          <w:p w14:paraId="5E8DDD2B">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最近一次评审提出的整改项目均已按要求整改</w:t>
            </w:r>
            <w:r>
              <w:rPr>
                <w:rFonts w:hint="eastAsia" w:ascii="宋体" w:hAnsi="宋体" w:eastAsia="宋体" w:cs="宋体"/>
                <w:strike/>
                <w:color w:val="auto"/>
                <w:sz w:val="24"/>
                <w:szCs w:val="24"/>
              </w:rPr>
              <w:t>并复评</w:t>
            </w:r>
            <w:r>
              <w:rPr>
                <w:rFonts w:hint="eastAsia" w:ascii="宋体" w:hAnsi="宋体" w:eastAsia="宋体" w:cs="宋体"/>
                <w:color w:val="auto"/>
                <w:sz w:val="24"/>
                <w:szCs w:val="24"/>
              </w:rPr>
              <w:t>合格</w:t>
            </w:r>
          </w:p>
        </w:tc>
        <w:tc>
          <w:tcPr>
            <w:tcW w:w="1134" w:type="dxa"/>
            <w:vAlign w:val="center"/>
          </w:tcPr>
          <w:p w14:paraId="45DB6225">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w:t>
            </w:r>
          </w:p>
        </w:tc>
      </w:tr>
      <w:tr w14:paraId="30130B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048496E1">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134" w:type="dxa"/>
            <w:vAlign w:val="center"/>
          </w:tcPr>
          <w:p w14:paraId="769FDFAE">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变更申请</w:t>
            </w:r>
          </w:p>
        </w:tc>
        <w:tc>
          <w:tcPr>
            <w:tcW w:w="5953" w:type="dxa"/>
            <w:vAlign w:val="center"/>
          </w:tcPr>
          <w:p w14:paraId="43D39674">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单位名称、住所、制造地址、办公地址改变及时申请变更(存在时)</w:t>
            </w:r>
          </w:p>
        </w:tc>
        <w:tc>
          <w:tcPr>
            <w:tcW w:w="1134" w:type="dxa"/>
            <w:vAlign w:val="center"/>
          </w:tcPr>
          <w:p w14:paraId="4CF91613">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w:t>
            </w:r>
          </w:p>
        </w:tc>
      </w:tr>
      <w:tr w14:paraId="7FB829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06EBDB81">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1134" w:type="dxa"/>
            <w:vAlign w:val="center"/>
          </w:tcPr>
          <w:p w14:paraId="34ABEA37">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工作场所</w:t>
            </w:r>
          </w:p>
        </w:tc>
        <w:tc>
          <w:tcPr>
            <w:tcW w:w="5953" w:type="dxa"/>
            <w:vAlign w:val="center"/>
          </w:tcPr>
          <w:p w14:paraId="77AA6CB1">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具有日常工作需要的固定办公场所，面积符合</w:t>
            </w:r>
            <w:bookmarkStart w:id="17" w:name="OLE_LINK48"/>
            <w:bookmarkStart w:id="18" w:name="OLE_LINK49"/>
            <w:r>
              <w:rPr>
                <w:rFonts w:hint="eastAsia" w:ascii="宋体" w:hAnsi="宋体" w:eastAsia="宋体" w:cs="宋体"/>
                <w:color w:val="auto"/>
                <w:sz w:val="24"/>
                <w:szCs w:val="24"/>
              </w:rPr>
              <w:t>TSG 07-2019的要求</w:t>
            </w:r>
            <w:bookmarkEnd w:id="17"/>
            <w:bookmarkEnd w:id="18"/>
          </w:p>
        </w:tc>
        <w:tc>
          <w:tcPr>
            <w:tcW w:w="1134" w:type="dxa"/>
            <w:vAlign w:val="center"/>
          </w:tcPr>
          <w:p w14:paraId="18903133">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现场查验</w:t>
            </w:r>
          </w:p>
        </w:tc>
      </w:tr>
      <w:tr w14:paraId="228AC25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80" w:type="dxa"/>
            <w:vAlign w:val="center"/>
          </w:tcPr>
          <w:p w14:paraId="73677EA6">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134" w:type="dxa"/>
            <w:vAlign w:val="center"/>
          </w:tcPr>
          <w:p w14:paraId="05C39ECB">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设备设施</w:t>
            </w:r>
          </w:p>
        </w:tc>
        <w:tc>
          <w:tcPr>
            <w:tcW w:w="5953" w:type="dxa"/>
            <w:vAlign w:val="center"/>
          </w:tcPr>
          <w:p w14:paraId="4B46D3BF">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设备设施种类、数量符合</w:t>
            </w:r>
            <w:bookmarkStart w:id="19" w:name="OLE_LINK71"/>
            <w:bookmarkStart w:id="20" w:name="OLE_LINK72"/>
            <w:r>
              <w:rPr>
                <w:rFonts w:hint="eastAsia" w:ascii="宋体" w:hAnsi="宋体" w:eastAsia="宋体" w:cs="宋体"/>
                <w:color w:val="auto"/>
                <w:sz w:val="24"/>
                <w:szCs w:val="24"/>
              </w:rPr>
              <w:t>TSG 07-2019的要求</w:t>
            </w:r>
            <w:bookmarkEnd w:id="19"/>
            <w:bookmarkEnd w:id="20"/>
          </w:p>
        </w:tc>
        <w:tc>
          <w:tcPr>
            <w:tcW w:w="1134" w:type="dxa"/>
            <w:vAlign w:val="center"/>
          </w:tcPr>
          <w:p w14:paraId="071C1B96">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查阅资料现场查验</w:t>
            </w:r>
          </w:p>
        </w:tc>
      </w:tr>
      <w:tr w14:paraId="38D7420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56EAE014">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1134" w:type="dxa"/>
            <w:vAlign w:val="center"/>
          </w:tcPr>
          <w:p w14:paraId="174A008A">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管理制度</w:t>
            </w:r>
          </w:p>
        </w:tc>
        <w:tc>
          <w:tcPr>
            <w:tcW w:w="5953" w:type="dxa"/>
            <w:vAlign w:val="center"/>
          </w:tcPr>
          <w:p w14:paraId="106E3B1A">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质量保证手册、程序文件及修订的审核批准有效，有应急演练预案制度</w:t>
            </w:r>
          </w:p>
        </w:tc>
        <w:tc>
          <w:tcPr>
            <w:tcW w:w="1134" w:type="dxa"/>
            <w:vAlign w:val="center"/>
          </w:tcPr>
          <w:p w14:paraId="18ACCE6F">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w:t>
            </w:r>
          </w:p>
        </w:tc>
      </w:tr>
      <w:tr w14:paraId="5A34E6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551D3934">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1134" w:type="dxa"/>
            <w:vAlign w:val="center"/>
          </w:tcPr>
          <w:p w14:paraId="704BB658">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人员管理</w:t>
            </w:r>
          </w:p>
        </w:tc>
        <w:tc>
          <w:tcPr>
            <w:tcW w:w="5953" w:type="dxa"/>
            <w:vAlign w:val="center"/>
          </w:tcPr>
          <w:p w14:paraId="25D4EAD5">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(1)书面任命质量、技术负责人。</w:t>
            </w:r>
          </w:p>
          <w:p w14:paraId="5F4F6F62">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(2)特种设备安全管理人员、检测人员、作业人员等许可相关在岗人员的资格和数量符合TSG 07-2019的要求</w:t>
            </w:r>
          </w:p>
        </w:tc>
        <w:tc>
          <w:tcPr>
            <w:tcW w:w="1134" w:type="dxa"/>
            <w:vAlign w:val="center"/>
          </w:tcPr>
          <w:p w14:paraId="17446905">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查阅资料</w:t>
            </w:r>
          </w:p>
        </w:tc>
      </w:tr>
      <w:tr w14:paraId="43DEE90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24" w:hRule="atLeast"/>
          <w:jc w:val="center"/>
        </w:trPr>
        <w:tc>
          <w:tcPr>
            <w:tcW w:w="680" w:type="dxa"/>
            <w:vAlign w:val="center"/>
          </w:tcPr>
          <w:p w14:paraId="1D001B22">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1134" w:type="dxa"/>
            <w:vAlign w:val="center"/>
          </w:tcPr>
          <w:p w14:paraId="708F742C">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安全责任落实</w:t>
            </w:r>
          </w:p>
        </w:tc>
        <w:tc>
          <w:tcPr>
            <w:tcW w:w="5953" w:type="dxa"/>
            <w:vAlign w:val="center"/>
          </w:tcPr>
          <w:p w14:paraId="19986026">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（1）书面任命质量安全总监、质量安全员；</w:t>
            </w:r>
          </w:p>
          <w:p w14:paraId="5675C39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（2）开展质量安全总监和质量安全员培训及考核的存档资料；</w:t>
            </w:r>
          </w:p>
          <w:p w14:paraId="79EB6D2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（3）制定单位《特种设备安全风险管控清单》《特种设备安全总监职责》《特种设备安全员守则》等文件；</w:t>
            </w:r>
          </w:p>
          <w:p w14:paraId="7751A7D2">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（4）抽查《每日安全检查记录》《每周安全排查治理报告》《每月安全调度会议纪要》；</w:t>
            </w:r>
          </w:p>
          <w:p w14:paraId="290EEEB7">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（5）协助现场监察人员对安全总监、安全员的开展监督抽查考核。</w:t>
            </w:r>
          </w:p>
        </w:tc>
        <w:tc>
          <w:tcPr>
            <w:tcW w:w="1134" w:type="dxa"/>
            <w:vAlign w:val="center"/>
          </w:tcPr>
          <w:p w14:paraId="3CC1203C">
            <w:pPr>
              <w:autoSpaceDE w:val="0"/>
              <w:autoSpaceDN w:val="0"/>
              <w:adjustRightInd w:val="0"/>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现场检查档案资料、制度落实、等情况，检查相关记录资料</w:t>
            </w:r>
          </w:p>
        </w:tc>
      </w:tr>
    </w:tbl>
    <w:p w14:paraId="0915C847">
      <w:pPr>
        <w:spacing w:line="280" w:lineRule="exact"/>
        <w:ind w:firstLine="0"/>
        <w:jc w:val="left"/>
        <w:rPr>
          <w:rFonts w:hint="eastAsia" w:ascii="宋体" w:hAnsi="宋体" w:eastAsia="宋体" w:cs="宋体"/>
          <w:color w:val="auto"/>
          <w:szCs w:val="21"/>
        </w:rPr>
      </w:pPr>
    </w:p>
    <w:p w14:paraId="0E10F2E6">
      <w:pPr>
        <w:spacing w:line="280" w:lineRule="exact"/>
        <w:ind w:firstLine="0"/>
        <w:jc w:val="left"/>
        <w:rPr>
          <w:rFonts w:hint="eastAsia" w:ascii="宋体" w:hAnsi="宋体" w:eastAsia="宋体" w:cs="宋体"/>
          <w:color w:val="auto"/>
          <w:szCs w:val="21"/>
        </w:rPr>
      </w:pPr>
    </w:p>
    <w:p w14:paraId="44B910AB">
      <w:pPr>
        <w:spacing w:line="24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1E6727C4">
      <w:pPr>
        <w:spacing w:line="560" w:lineRule="exact"/>
        <w:ind w:firstLine="0"/>
        <w:jc w:val="center"/>
        <w:rPr>
          <w:rFonts w:hint="eastAsia" w:ascii="宋体" w:hAnsi="宋体" w:eastAsia="宋体" w:cs="宋体"/>
          <w:color w:val="auto"/>
          <w:szCs w:val="21"/>
        </w:rPr>
      </w:pPr>
      <w:r>
        <w:rPr>
          <w:rFonts w:hint="eastAsia" w:ascii="宋体" w:hAnsi="宋体" w:eastAsia="宋体" w:cs="宋体"/>
          <w:color w:val="auto"/>
          <w:sz w:val="32"/>
          <w:szCs w:val="32"/>
        </w:rPr>
        <w:t>电梯维保单位监督抽查</w:t>
      </w:r>
    </w:p>
    <w:tbl>
      <w:tblPr>
        <w:tblStyle w:val="3"/>
        <w:tblW w:w="895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91"/>
        <w:gridCol w:w="5953"/>
        <w:gridCol w:w="1134"/>
      </w:tblGrid>
      <w:tr w14:paraId="54E616A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E58200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序号</w:t>
            </w:r>
          </w:p>
        </w:tc>
        <w:tc>
          <w:tcPr>
            <w:tcW w:w="1191" w:type="dxa"/>
            <w:vAlign w:val="center"/>
          </w:tcPr>
          <w:p w14:paraId="33D8B755">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项目</w:t>
            </w:r>
          </w:p>
        </w:tc>
        <w:tc>
          <w:tcPr>
            <w:tcW w:w="5953" w:type="dxa"/>
            <w:vAlign w:val="center"/>
          </w:tcPr>
          <w:p w14:paraId="66513F9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抽查内容与要求</w:t>
            </w:r>
          </w:p>
        </w:tc>
        <w:tc>
          <w:tcPr>
            <w:tcW w:w="1134" w:type="dxa"/>
            <w:vAlign w:val="center"/>
          </w:tcPr>
          <w:p w14:paraId="025FF49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监督抽查方法</w:t>
            </w:r>
          </w:p>
        </w:tc>
      </w:tr>
      <w:tr w14:paraId="0B9325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522546A">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color w:val="auto"/>
                <w:sz w:val="24"/>
                <w:szCs w:val="24"/>
              </w:rPr>
              <w:t>1</w:t>
            </w:r>
          </w:p>
        </w:tc>
        <w:tc>
          <w:tcPr>
            <w:tcW w:w="1191" w:type="dxa"/>
            <w:vAlign w:val="center"/>
          </w:tcPr>
          <w:p w14:paraId="7E4B44FA">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color w:val="auto"/>
                <w:sz w:val="24"/>
                <w:szCs w:val="24"/>
              </w:rPr>
              <w:t>许可条件保持情况</w:t>
            </w:r>
          </w:p>
        </w:tc>
        <w:tc>
          <w:tcPr>
            <w:tcW w:w="5953" w:type="dxa"/>
            <w:vAlign w:val="center"/>
          </w:tcPr>
          <w:p w14:paraId="0C86EC69">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（1）《营业执照》《中华人民共和国特种设备生产许可证》信息一致，并在有效期内；具有日常工作需要的固定办公场所。</w:t>
            </w:r>
          </w:p>
          <w:p w14:paraId="36D9AB09">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（2）制定持续保持许可条件的制度或措施；</w:t>
            </w:r>
          </w:p>
          <w:p w14:paraId="3C9CC677">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（3）许可条件发生变化或不能满足时及时整改，仍达不到许可条件的应报告发证机关；</w:t>
            </w:r>
          </w:p>
          <w:p w14:paraId="398F38E6">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color w:val="auto"/>
                <w:sz w:val="24"/>
                <w:szCs w:val="24"/>
              </w:rPr>
              <w:t>（4）单位名称、住所、办公地址改变及时申请变更。</w:t>
            </w:r>
          </w:p>
        </w:tc>
        <w:tc>
          <w:tcPr>
            <w:tcW w:w="1134" w:type="dxa"/>
            <w:vAlign w:val="center"/>
          </w:tcPr>
          <w:p w14:paraId="3B2F4C68">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color w:val="auto"/>
                <w:sz w:val="24"/>
                <w:szCs w:val="24"/>
              </w:rPr>
              <w:t>现场查验相关信息及资料</w:t>
            </w:r>
          </w:p>
        </w:tc>
      </w:tr>
      <w:tr w14:paraId="43CB89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02D8BC77">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color w:val="auto"/>
                <w:sz w:val="24"/>
                <w:szCs w:val="24"/>
              </w:rPr>
              <w:t>2</w:t>
            </w:r>
          </w:p>
        </w:tc>
        <w:tc>
          <w:tcPr>
            <w:tcW w:w="1191" w:type="dxa"/>
            <w:vAlign w:val="center"/>
          </w:tcPr>
          <w:p w14:paraId="7742B720">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安全责任落实</w:t>
            </w:r>
          </w:p>
        </w:tc>
        <w:tc>
          <w:tcPr>
            <w:tcW w:w="5953" w:type="dxa"/>
            <w:vAlign w:val="center"/>
          </w:tcPr>
          <w:p w14:paraId="758674F7">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（1）书面任命质量安全总监、质量安全员；</w:t>
            </w:r>
          </w:p>
          <w:p w14:paraId="193AEB3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（2）开展质量安全总监和质量安全员培训及考核的存档资料；</w:t>
            </w:r>
          </w:p>
          <w:p w14:paraId="43A4EB5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（3）制定单位《特种设备安全风险管控清单》《特种设备安全总监职责》《特种设备安全员守则》等文件；</w:t>
            </w:r>
          </w:p>
          <w:p w14:paraId="0BA1FE6A">
            <w:pPr>
              <w:autoSpaceDE w:val="0"/>
              <w:autoSpaceDN w:val="0"/>
              <w:adjustRightIn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（4）抽查《每日安全检查记录》《每周安全排查治理报告》《每月安全调度会议纪要》；</w:t>
            </w:r>
          </w:p>
          <w:p w14:paraId="1C11617F">
            <w:pPr>
              <w:autoSpaceDE w:val="0"/>
              <w:autoSpaceDN w:val="0"/>
              <w:adjustRightInd w:val="0"/>
              <w:spacing w:line="360" w:lineRule="auto"/>
              <w:ind w:firstLine="0"/>
              <w:rPr>
                <w:rFonts w:hint="eastAsia" w:ascii="宋体" w:hAnsi="宋体" w:eastAsia="宋体" w:cs="宋体"/>
                <w:bCs/>
                <w:color w:val="auto"/>
                <w:sz w:val="24"/>
                <w:szCs w:val="24"/>
              </w:rPr>
            </w:pPr>
            <w:r>
              <w:rPr>
                <w:rFonts w:hint="eastAsia" w:ascii="宋体" w:hAnsi="宋体" w:eastAsia="宋体" w:cs="宋体"/>
                <w:color w:val="auto"/>
                <w:sz w:val="24"/>
                <w:szCs w:val="24"/>
              </w:rPr>
              <w:t>（5）对质量安全总监、质量安全员开展监督抽查考核。</w:t>
            </w:r>
          </w:p>
        </w:tc>
        <w:tc>
          <w:tcPr>
            <w:tcW w:w="1134" w:type="dxa"/>
            <w:vAlign w:val="center"/>
          </w:tcPr>
          <w:p w14:paraId="1DAFF8FC">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color w:val="auto"/>
                <w:sz w:val="24"/>
                <w:szCs w:val="24"/>
              </w:rPr>
              <w:t>检查相关制度、任命文件及记录资料</w:t>
            </w:r>
          </w:p>
        </w:tc>
      </w:tr>
      <w:tr w14:paraId="4A16DCD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FBBF76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191" w:type="dxa"/>
            <w:vAlign w:val="center"/>
          </w:tcPr>
          <w:p w14:paraId="69A7E00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建立安全管理体系</w:t>
            </w:r>
          </w:p>
        </w:tc>
        <w:tc>
          <w:tcPr>
            <w:tcW w:w="5953" w:type="dxa"/>
            <w:vAlign w:val="center"/>
          </w:tcPr>
          <w:p w14:paraId="2B09ACE4">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（1）法规政策文件现行有效、齐全；</w:t>
            </w:r>
          </w:p>
          <w:p w14:paraId="1835EF0E">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（2）质量保证手册、程序文件及修订的审核批准有效，有应急演练预案制度；</w:t>
            </w:r>
          </w:p>
          <w:p w14:paraId="1A12EC2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（3）随机抽查2项质量控制系统要素实施情况，应符合TSG 07-2019的要求。</w:t>
            </w:r>
          </w:p>
        </w:tc>
        <w:tc>
          <w:tcPr>
            <w:tcW w:w="1134" w:type="dxa"/>
            <w:vAlign w:val="center"/>
          </w:tcPr>
          <w:p w14:paraId="30032C95">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查阅体系文件和实施记录</w:t>
            </w:r>
          </w:p>
        </w:tc>
      </w:tr>
      <w:tr w14:paraId="033F874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2C5B90E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191" w:type="dxa"/>
            <w:vAlign w:val="center"/>
          </w:tcPr>
          <w:p w14:paraId="181EFAE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加强日常安全自查</w:t>
            </w:r>
          </w:p>
        </w:tc>
        <w:tc>
          <w:tcPr>
            <w:tcW w:w="5953" w:type="dxa"/>
            <w:vAlign w:val="center"/>
          </w:tcPr>
          <w:p w14:paraId="1F86DFD0">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（1）制定自行检测、日常检查、维护保养、检验等自查计划并按相关技术规范要求实施；</w:t>
            </w:r>
          </w:p>
          <w:p w14:paraId="37BADD6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（2）现场抽查1台电梯自检报告。</w:t>
            </w:r>
          </w:p>
        </w:tc>
        <w:tc>
          <w:tcPr>
            <w:tcW w:w="1134" w:type="dxa"/>
            <w:vAlign w:val="center"/>
          </w:tcPr>
          <w:p w14:paraId="7C43FF12">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查阅相关</w:t>
            </w:r>
          </w:p>
          <w:p w14:paraId="6AA634F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资料</w:t>
            </w:r>
          </w:p>
        </w:tc>
      </w:tr>
      <w:tr w14:paraId="2D913C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BBC3A6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191" w:type="dxa"/>
            <w:vAlign w:val="center"/>
          </w:tcPr>
          <w:p w14:paraId="7B73EFD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遵守安全防护操作规程</w:t>
            </w:r>
          </w:p>
        </w:tc>
        <w:tc>
          <w:tcPr>
            <w:tcW w:w="5953" w:type="dxa"/>
            <w:vAlign w:val="center"/>
          </w:tcPr>
          <w:p w14:paraId="7B389B5C">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现场抽查该单位的应急救援预案，抽查最近一次的应急演练相关资料。</w:t>
            </w:r>
          </w:p>
        </w:tc>
        <w:tc>
          <w:tcPr>
            <w:tcW w:w="1134" w:type="dxa"/>
            <w:vAlign w:val="center"/>
          </w:tcPr>
          <w:p w14:paraId="58769E6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查阅相关见证资料</w:t>
            </w:r>
          </w:p>
        </w:tc>
      </w:tr>
      <w:tr w14:paraId="07E0CA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0C3D383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1191" w:type="dxa"/>
            <w:vAlign w:val="center"/>
          </w:tcPr>
          <w:p w14:paraId="079417AE">
            <w:pPr>
              <w:spacing w:line="360" w:lineRule="auto"/>
              <w:ind w:firstLine="0"/>
              <w:jc w:val="center"/>
              <w:outlineLvl w:val="2"/>
              <w:rPr>
                <w:rFonts w:hint="eastAsia" w:ascii="宋体" w:hAnsi="宋体" w:eastAsia="宋体" w:cs="宋体"/>
                <w:color w:val="auto"/>
                <w:sz w:val="24"/>
                <w:szCs w:val="24"/>
              </w:rPr>
            </w:pPr>
            <w:r>
              <w:rPr>
                <w:rFonts w:hint="eastAsia" w:ascii="宋体" w:hAnsi="宋体" w:eastAsia="宋体" w:cs="宋体"/>
                <w:color w:val="auto"/>
                <w:sz w:val="24"/>
                <w:szCs w:val="24"/>
              </w:rPr>
              <w:t>配备相应人员</w:t>
            </w:r>
          </w:p>
        </w:tc>
        <w:tc>
          <w:tcPr>
            <w:tcW w:w="5953" w:type="dxa"/>
            <w:vAlign w:val="center"/>
          </w:tcPr>
          <w:p w14:paraId="4F8F9774">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（1）按照TSG 07-2019的要求，配备了技术负责人、质量保证体系人员、技术人员（项目负责人）、质量检验人员、作业人员，并且有相关人员任命文件；</w:t>
            </w:r>
          </w:p>
          <w:p w14:paraId="6C84A7C4">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（2）技术负责人、质量保证体系人员、技术人员（项目负责人）、质量检验人员、作业人员数量符合TSG 07-2019的要求；</w:t>
            </w:r>
          </w:p>
          <w:p w14:paraId="486B8803">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（3）建立人员台账，按照年度安全教育和技能培训计划，定期组织开展必要的安全教育和技能培训、考核。</w:t>
            </w:r>
          </w:p>
          <w:p w14:paraId="4E4BF05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（4）随机抽查上述人员中的2人进行问询，应熟悉岗位职责、权限、相应的知识和技能。</w:t>
            </w:r>
          </w:p>
        </w:tc>
        <w:tc>
          <w:tcPr>
            <w:tcW w:w="1134" w:type="dxa"/>
            <w:vAlign w:val="center"/>
          </w:tcPr>
          <w:p w14:paraId="48259F0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现场检查相关资料</w:t>
            </w:r>
          </w:p>
        </w:tc>
      </w:tr>
      <w:tr w14:paraId="5F39752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C64F16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1191" w:type="dxa"/>
            <w:vAlign w:val="center"/>
          </w:tcPr>
          <w:p w14:paraId="5B0AC5AF">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规范作业人员管理</w:t>
            </w:r>
          </w:p>
        </w:tc>
        <w:tc>
          <w:tcPr>
            <w:tcW w:w="5953" w:type="dxa"/>
            <w:vAlign w:val="center"/>
          </w:tcPr>
          <w:p w14:paraId="61F1366A">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（1）配备与维护保养业务相适应的维护保养人员，加强培训教育管理，持证上岗；</w:t>
            </w:r>
          </w:p>
          <w:p w14:paraId="126230A5">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（2）维护保养或救援时不得少于2 人；</w:t>
            </w:r>
          </w:p>
          <w:p w14:paraId="1506BEC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（3）建立惩戒措施或制度，规范作业人员行为。</w:t>
            </w:r>
          </w:p>
        </w:tc>
        <w:tc>
          <w:tcPr>
            <w:tcW w:w="1134" w:type="dxa"/>
            <w:vAlign w:val="center"/>
          </w:tcPr>
          <w:p w14:paraId="4454EF2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查阅相关记录及见证材料</w:t>
            </w:r>
          </w:p>
        </w:tc>
      </w:tr>
      <w:tr w14:paraId="63325E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7887353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191" w:type="dxa"/>
            <w:vAlign w:val="center"/>
          </w:tcPr>
          <w:p w14:paraId="070E5C3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保持电梯安全性能</w:t>
            </w:r>
          </w:p>
        </w:tc>
        <w:tc>
          <w:tcPr>
            <w:tcW w:w="5953" w:type="dxa"/>
            <w:vAlign w:val="center"/>
          </w:tcPr>
          <w:p w14:paraId="04ADEE8C">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（1）加强电梯安全防范和隐患治理，协助使用单位制定安全管理制度和应急救援预案；</w:t>
            </w:r>
          </w:p>
          <w:p w14:paraId="0DFA5AD0">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（2）发现事故隐患及时书面告知使用单位；</w:t>
            </w:r>
          </w:p>
          <w:p w14:paraId="419AD90F">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（3）加强电梯安全保护装置的维护保养，抽查1台电梯的维护保养记录，重点审查安全保护装置项目及记录。</w:t>
            </w:r>
          </w:p>
        </w:tc>
        <w:tc>
          <w:tcPr>
            <w:tcW w:w="1134" w:type="dxa"/>
            <w:vAlign w:val="center"/>
          </w:tcPr>
          <w:p w14:paraId="5B28095C">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查阅相关见证材料</w:t>
            </w:r>
          </w:p>
        </w:tc>
      </w:tr>
      <w:tr w14:paraId="4466057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64F7BD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1191" w:type="dxa"/>
            <w:vAlign w:val="center"/>
          </w:tcPr>
          <w:p w14:paraId="4733420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按规范维护保养</w:t>
            </w:r>
          </w:p>
        </w:tc>
        <w:tc>
          <w:tcPr>
            <w:tcW w:w="5953" w:type="dxa"/>
            <w:vAlign w:val="center"/>
          </w:tcPr>
          <w:p w14:paraId="56E6D800">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（1）建立维护保养电梯台账，根据TSG T5002-2017以及电梯产品安装使用维护说明书的相关要求，制定维护保养方案；</w:t>
            </w:r>
          </w:p>
          <w:p w14:paraId="41D154E1">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（2）如实填写维护保养记录，每部电梯的保养记录保存4 年以上。采用按需维保模式的要保存相关信息并可查证；</w:t>
            </w:r>
          </w:p>
          <w:p w14:paraId="20963D4E">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（3）抽查本年度3个维保项目各1台电梯的维护保养记录，检查维保项目落实情况；</w:t>
            </w:r>
          </w:p>
          <w:p w14:paraId="0F929FAA">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（4）对保存有效期内的其他年度的维护保养记录随机抽查3份，检查维保项目落实情况。</w:t>
            </w:r>
          </w:p>
        </w:tc>
        <w:tc>
          <w:tcPr>
            <w:tcW w:w="1134" w:type="dxa"/>
            <w:vAlign w:val="center"/>
          </w:tcPr>
          <w:p w14:paraId="33B5CA2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查阅相关方案及维护保养记录</w:t>
            </w:r>
          </w:p>
        </w:tc>
      </w:tr>
      <w:tr w14:paraId="6DCAF41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1826835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191" w:type="dxa"/>
            <w:vAlign w:val="center"/>
          </w:tcPr>
          <w:p w14:paraId="6C08C13D">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履行应急救援职责</w:t>
            </w:r>
          </w:p>
        </w:tc>
        <w:tc>
          <w:tcPr>
            <w:tcW w:w="5953" w:type="dxa"/>
            <w:vAlign w:val="center"/>
          </w:tcPr>
          <w:p w14:paraId="6FEC26B7">
            <w:pPr>
              <w:spacing w:line="360" w:lineRule="auto"/>
              <w:ind w:firstLine="0"/>
              <w:outlineLvl w:val="2"/>
              <w:rPr>
                <w:rFonts w:hint="eastAsia" w:ascii="宋体" w:hAnsi="宋体" w:eastAsia="宋体" w:cs="宋体"/>
                <w:color w:val="auto"/>
                <w:sz w:val="24"/>
                <w:szCs w:val="24"/>
              </w:rPr>
            </w:pPr>
            <w:r>
              <w:rPr>
                <w:rFonts w:hint="eastAsia" w:ascii="宋体" w:hAnsi="宋体" w:eastAsia="宋体" w:cs="宋体"/>
                <w:color w:val="auto"/>
                <w:sz w:val="24"/>
                <w:szCs w:val="24"/>
              </w:rPr>
              <w:t>（1）建立应急值班制度，保持24 小时电话畅通，接到故障或困人等信息后，设区市抵达时间不超过30 分钟，其他地区一般不超过1小时；</w:t>
            </w:r>
          </w:p>
          <w:p w14:paraId="5DCCE902">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（2）制定电梯故障和事故应急救援预案，每年至少进行一次应急救援演练并作出记录。</w:t>
            </w:r>
          </w:p>
        </w:tc>
        <w:tc>
          <w:tcPr>
            <w:tcW w:w="1134" w:type="dxa"/>
            <w:vAlign w:val="center"/>
          </w:tcPr>
          <w:p w14:paraId="1143BD5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查阅应急救援专项预案及演练记录验证应急预案电话是否畅通</w:t>
            </w:r>
          </w:p>
        </w:tc>
      </w:tr>
    </w:tbl>
    <w:p w14:paraId="6E9A3F81">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550DF87A">
      <w:pPr>
        <w:spacing w:line="560" w:lineRule="exact"/>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电梯使用单位监督抽查</w:t>
      </w:r>
    </w:p>
    <w:tbl>
      <w:tblPr>
        <w:tblStyle w:val="3"/>
        <w:tblW w:w="89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5669"/>
        <w:gridCol w:w="284"/>
        <w:gridCol w:w="1134"/>
      </w:tblGrid>
      <w:tr w14:paraId="7F4F63D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5177E36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序号</w:t>
            </w:r>
          </w:p>
        </w:tc>
        <w:tc>
          <w:tcPr>
            <w:tcW w:w="1134" w:type="dxa"/>
            <w:vAlign w:val="center"/>
          </w:tcPr>
          <w:p w14:paraId="1BE7EA6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项目</w:t>
            </w:r>
          </w:p>
        </w:tc>
        <w:tc>
          <w:tcPr>
            <w:tcW w:w="5669" w:type="dxa"/>
            <w:vAlign w:val="center"/>
          </w:tcPr>
          <w:p w14:paraId="198E29A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抽查内容与要求</w:t>
            </w:r>
          </w:p>
        </w:tc>
        <w:tc>
          <w:tcPr>
            <w:tcW w:w="1417" w:type="dxa"/>
            <w:gridSpan w:val="2"/>
            <w:vAlign w:val="center"/>
          </w:tcPr>
          <w:p w14:paraId="44E18F82">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监督抽查</w:t>
            </w:r>
          </w:p>
          <w:p w14:paraId="1EFA5A7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方法</w:t>
            </w:r>
          </w:p>
        </w:tc>
      </w:tr>
      <w:tr w14:paraId="1DBC442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4CCF31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1</w:t>
            </w:r>
          </w:p>
        </w:tc>
        <w:tc>
          <w:tcPr>
            <w:tcW w:w="1134" w:type="dxa"/>
            <w:vAlign w:val="center"/>
          </w:tcPr>
          <w:p w14:paraId="49599D1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设备档案</w:t>
            </w:r>
          </w:p>
        </w:tc>
        <w:tc>
          <w:tcPr>
            <w:tcW w:w="5669" w:type="dxa"/>
            <w:vAlign w:val="center"/>
          </w:tcPr>
          <w:p w14:paraId="0A57E37B">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按不同种类随机抽取设备，每个种类抽取至少1台并检查以下资料：</w:t>
            </w:r>
          </w:p>
          <w:p w14:paraId="754F5AB1">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（1）所抽查设备办理使用登记；（2）所抽查设备在检验有效期内；（3）按要求建立设备档案且档案齐全；</w:t>
            </w:r>
          </w:p>
          <w:p w14:paraId="51C58D4D">
            <w:pPr>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（4）所抽查设备按要求进行经常性维护保养或者定期自行检查并有记录；（5）有设备故障、异常情况处理记录；（6）有事故隐患排查和整治记录。</w:t>
            </w:r>
          </w:p>
        </w:tc>
        <w:tc>
          <w:tcPr>
            <w:tcW w:w="1417" w:type="dxa"/>
            <w:gridSpan w:val="2"/>
            <w:vAlign w:val="center"/>
          </w:tcPr>
          <w:p w14:paraId="70FB9E47">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检查各类档案资料及</w:t>
            </w:r>
            <w:r>
              <w:rPr>
                <w:rFonts w:hint="eastAsia" w:ascii="宋体" w:hAnsi="宋体" w:eastAsia="宋体" w:cs="宋体"/>
                <w:color w:val="auto"/>
                <w:sz w:val="24"/>
                <w:szCs w:val="24"/>
              </w:rPr>
              <w:t>证书有效期和相关记录</w:t>
            </w:r>
          </w:p>
        </w:tc>
      </w:tr>
      <w:tr w14:paraId="137FCD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3A5D1CE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2</w:t>
            </w:r>
          </w:p>
        </w:tc>
        <w:tc>
          <w:tcPr>
            <w:tcW w:w="1134" w:type="dxa"/>
            <w:vAlign w:val="center"/>
          </w:tcPr>
          <w:p w14:paraId="0E9E8FA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人员档案</w:t>
            </w:r>
          </w:p>
        </w:tc>
        <w:tc>
          <w:tcPr>
            <w:tcW w:w="5669" w:type="dxa"/>
            <w:vAlign w:val="center"/>
          </w:tcPr>
          <w:p w14:paraId="5D387BD9">
            <w:pPr>
              <w:spacing w:line="360" w:lineRule="auto"/>
              <w:ind w:firstLine="0"/>
              <w:rPr>
                <w:rFonts w:hint="eastAsia" w:ascii="宋体" w:hAnsi="宋体" w:eastAsia="宋体" w:cs="宋体"/>
                <w:color w:val="auto"/>
                <w:sz w:val="24"/>
                <w:szCs w:val="24"/>
              </w:rPr>
            </w:pPr>
            <w:r>
              <w:rPr>
                <w:rFonts w:hint="eastAsia" w:ascii="宋体" w:hAnsi="宋体" w:eastAsia="宋体" w:cs="宋体"/>
                <w:bCs/>
                <w:color w:val="auto"/>
                <w:spacing w:val="4"/>
                <w:sz w:val="24"/>
                <w:szCs w:val="24"/>
              </w:rPr>
              <w:t>（1）特种设备</w:t>
            </w:r>
            <w:r>
              <w:rPr>
                <w:rFonts w:hint="eastAsia" w:ascii="宋体" w:hAnsi="宋体" w:eastAsia="宋体" w:cs="宋体"/>
                <w:color w:val="auto"/>
                <w:sz w:val="24"/>
                <w:szCs w:val="24"/>
              </w:rPr>
              <w:t>安全管理和作业人员证在有效期内，项目符合要求并办理聘用手续；</w:t>
            </w:r>
          </w:p>
          <w:p w14:paraId="2F2D8B32">
            <w:pPr>
              <w:spacing w:line="360" w:lineRule="auto"/>
              <w:ind w:firstLine="0"/>
              <w:jc w:val="left"/>
              <w:rPr>
                <w:rFonts w:hint="eastAsia" w:ascii="宋体" w:hAnsi="宋体" w:eastAsia="宋体" w:cs="宋体"/>
                <w:color w:val="auto"/>
                <w:sz w:val="24"/>
                <w:szCs w:val="24"/>
              </w:rPr>
            </w:pPr>
            <w:r>
              <w:rPr>
                <w:rFonts w:hint="eastAsia" w:ascii="宋体" w:hAnsi="宋体" w:eastAsia="宋体" w:cs="宋体"/>
                <w:color w:val="auto"/>
                <w:sz w:val="24"/>
                <w:szCs w:val="24"/>
              </w:rPr>
              <w:t>（2）有特种设备作业人员培训考核记录。</w:t>
            </w:r>
          </w:p>
        </w:tc>
        <w:tc>
          <w:tcPr>
            <w:tcW w:w="1417" w:type="dxa"/>
            <w:gridSpan w:val="2"/>
            <w:vAlign w:val="center"/>
          </w:tcPr>
          <w:p w14:paraId="34A8E1F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检查证书有效期及聘用手续、培训考核相关记录</w:t>
            </w:r>
          </w:p>
        </w:tc>
      </w:tr>
      <w:tr w14:paraId="41D376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9F68AF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3</w:t>
            </w:r>
          </w:p>
        </w:tc>
        <w:tc>
          <w:tcPr>
            <w:tcW w:w="1134" w:type="dxa"/>
            <w:vAlign w:val="center"/>
          </w:tcPr>
          <w:p w14:paraId="7ED61196">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机构及</w:t>
            </w:r>
          </w:p>
          <w:p w14:paraId="33FA7C33">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制度</w:t>
            </w:r>
          </w:p>
        </w:tc>
        <w:tc>
          <w:tcPr>
            <w:tcW w:w="5669" w:type="dxa"/>
            <w:vAlign w:val="center"/>
          </w:tcPr>
          <w:p w14:paraId="36E288A2">
            <w:pPr>
              <w:spacing w:line="360" w:lineRule="auto"/>
              <w:ind w:firstLine="0"/>
              <w:rPr>
                <w:rFonts w:hint="eastAsia" w:ascii="宋体" w:hAnsi="宋体" w:eastAsia="宋体" w:cs="宋体"/>
                <w:bCs/>
                <w:color w:val="auto"/>
                <w:spacing w:val="4"/>
                <w:sz w:val="24"/>
                <w:szCs w:val="24"/>
              </w:rPr>
            </w:pPr>
            <w:r>
              <w:rPr>
                <w:rFonts w:hint="eastAsia" w:ascii="宋体" w:hAnsi="宋体" w:eastAsia="宋体" w:cs="宋体"/>
                <w:bCs/>
                <w:color w:val="auto"/>
                <w:spacing w:val="4"/>
                <w:sz w:val="24"/>
                <w:szCs w:val="24"/>
              </w:rPr>
              <w:t>(1)</w:t>
            </w:r>
            <w:r>
              <w:rPr>
                <w:rFonts w:hint="eastAsia" w:ascii="宋体" w:hAnsi="宋体" w:eastAsia="宋体" w:cs="宋体"/>
                <w:color w:val="auto"/>
                <w:sz w:val="24"/>
                <w:szCs w:val="24"/>
              </w:rPr>
              <w:t>按规定设置安全管理机构或配备专兼职安全管理人员，并书面任命安全责任人；</w:t>
            </w:r>
          </w:p>
          <w:p w14:paraId="4E314CAB">
            <w:pPr>
              <w:spacing w:line="360" w:lineRule="auto"/>
              <w:ind w:firstLine="0"/>
              <w:rPr>
                <w:rFonts w:hint="eastAsia" w:ascii="宋体" w:hAnsi="宋体" w:eastAsia="宋体" w:cs="宋体"/>
                <w:color w:val="auto"/>
                <w:sz w:val="24"/>
                <w:szCs w:val="24"/>
              </w:rPr>
            </w:pPr>
            <w:r>
              <w:rPr>
                <w:rFonts w:hint="eastAsia" w:ascii="宋体" w:hAnsi="宋体" w:eastAsia="宋体" w:cs="宋体"/>
                <w:bCs/>
                <w:color w:val="auto"/>
                <w:spacing w:val="4"/>
                <w:sz w:val="24"/>
                <w:szCs w:val="24"/>
              </w:rPr>
              <w:t>(2)</w:t>
            </w:r>
            <w:r>
              <w:rPr>
                <w:rFonts w:hint="eastAsia" w:ascii="宋体" w:hAnsi="宋体" w:eastAsia="宋体" w:cs="宋体"/>
                <w:color w:val="auto"/>
                <w:sz w:val="24"/>
                <w:szCs w:val="24"/>
              </w:rPr>
              <w:t>至少应建立特种设备安全管理机构和相关人员岗位职责、特种设备经常性维护保养、定期自行检查和有关记录制度、特种设备隐患排查治理制度、特种设备应急救援管理制度、三角钥匙管理制度(电梯)等；</w:t>
            </w:r>
          </w:p>
          <w:p w14:paraId="0CB31C85">
            <w:pPr>
              <w:spacing w:line="360" w:lineRule="auto"/>
              <w:ind w:firstLine="0"/>
              <w:jc w:val="left"/>
              <w:rPr>
                <w:rFonts w:hint="eastAsia" w:ascii="宋体" w:hAnsi="宋体" w:eastAsia="宋体" w:cs="宋体"/>
                <w:color w:val="auto"/>
                <w:sz w:val="24"/>
                <w:szCs w:val="24"/>
              </w:rPr>
            </w:pPr>
            <w:r>
              <w:rPr>
                <w:rFonts w:hint="eastAsia" w:ascii="宋体" w:hAnsi="宋体" w:eastAsia="宋体" w:cs="宋体"/>
                <w:color w:val="auto"/>
                <w:sz w:val="24"/>
                <w:szCs w:val="24"/>
              </w:rPr>
              <w:t>(3)制定事故应急(专项)预案并有最近一年内的演练记录</w:t>
            </w:r>
          </w:p>
        </w:tc>
        <w:tc>
          <w:tcPr>
            <w:tcW w:w="1417" w:type="dxa"/>
            <w:gridSpan w:val="2"/>
            <w:vAlign w:val="center"/>
          </w:tcPr>
          <w:p w14:paraId="0480E67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查阅相关见证资料</w:t>
            </w:r>
          </w:p>
        </w:tc>
      </w:tr>
      <w:tr w14:paraId="507E12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10A99AE7">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4</w:t>
            </w:r>
          </w:p>
        </w:tc>
        <w:tc>
          <w:tcPr>
            <w:tcW w:w="1134" w:type="dxa"/>
            <w:vAlign w:val="center"/>
          </w:tcPr>
          <w:p w14:paraId="62BDCA27">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安全责任落实</w:t>
            </w:r>
          </w:p>
        </w:tc>
        <w:tc>
          <w:tcPr>
            <w:tcW w:w="5669" w:type="dxa"/>
            <w:vAlign w:val="center"/>
          </w:tcPr>
          <w:p w14:paraId="65F0B6C8">
            <w:pPr>
              <w:spacing w:line="360" w:lineRule="auto"/>
              <w:ind w:firstLine="0"/>
              <w:rPr>
                <w:rFonts w:hint="eastAsia" w:ascii="宋体" w:hAnsi="宋体" w:eastAsia="宋体" w:cs="宋体"/>
                <w:bCs/>
                <w:color w:val="auto"/>
                <w:spacing w:val="4"/>
                <w:sz w:val="24"/>
                <w:szCs w:val="24"/>
              </w:rPr>
            </w:pPr>
            <w:r>
              <w:rPr>
                <w:rFonts w:hint="eastAsia" w:ascii="宋体" w:hAnsi="宋体" w:eastAsia="宋体" w:cs="宋体"/>
                <w:color w:val="auto"/>
                <w:sz w:val="24"/>
                <w:szCs w:val="24"/>
              </w:rPr>
              <w:t>（1）书面任命安全总监、安全员；（2）开展安全总监和安全员培训及考核的存档资料；（3）制定单位《特种设备安全风险管控清单》《特种设备安全总监职责》《特种设备安全员守则》等文件；（4）查阅《每日安全检查记录》《每周安全排查治理报告》《每月安全调度会议纪要》；（5）协助现场监察人员对安全总监、安全员开展监督抽查考核。</w:t>
            </w:r>
          </w:p>
        </w:tc>
        <w:tc>
          <w:tcPr>
            <w:tcW w:w="1417" w:type="dxa"/>
            <w:gridSpan w:val="2"/>
            <w:vAlign w:val="center"/>
          </w:tcPr>
          <w:p w14:paraId="66BB98D0">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color w:val="auto"/>
                <w:sz w:val="24"/>
                <w:szCs w:val="24"/>
              </w:rPr>
              <w:t>检查相关制度、任命文件及记录资料</w:t>
            </w:r>
          </w:p>
        </w:tc>
      </w:tr>
      <w:tr w14:paraId="2C1BCE1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6BB1ADCA">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5</w:t>
            </w:r>
          </w:p>
        </w:tc>
        <w:tc>
          <w:tcPr>
            <w:tcW w:w="1134" w:type="dxa"/>
            <w:vAlign w:val="center"/>
          </w:tcPr>
          <w:p w14:paraId="544F398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电梯</w:t>
            </w:r>
            <w:r>
              <w:rPr>
                <w:rFonts w:hint="eastAsia" w:ascii="宋体" w:hAnsi="宋体" w:eastAsia="宋体" w:cs="宋体"/>
                <w:bCs/>
                <w:color w:val="auto"/>
                <w:sz w:val="24"/>
                <w:szCs w:val="24"/>
              </w:rPr>
              <w:t>安全管理要求</w:t>
            </w:r>
          </w:p>
        </w:tc>
        <w:tc>
          <w:tcPr>
            <w:tcW w:w="5669" w:type="dxa"/>
            <w:vAlign w:val="center"/>
          </w:tcPr>
          <w:p w14:paraId="3123DB8D">
            <w:pPr>
              <w:widowControl w:val="0"/>
              <w:autoSpaceDE w:val="0"/>
              <w:autoSpaceDN w:val="0"/>
              <w:adjustRightInd w:val="0"/>
              <w:snapToGrid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（1）使用标志及安全警示：①设备按要求办理使用登记并将使用标志置于设备的显著位置。②安全注意事项和警示标志置于易于为乘客注意的显著位置。</w:t>
            </w:r>
          </w:p>
          <w:p w14:paraId="04A156DE">
            <w:pPr>
              <w:widowControl w:val="0"/>
              <w:autoSpaceDE w:val="0"/>
              <w:autoSpaceDN w:val="0"/>
              <w:adjustRightInd w:val="0"/>
              <w:snapToGrid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安全保护装置：①电梯轿厢内设置的紧急报警装置有效，联系畅通。②轿厢门防夹保护装置有效。③自动扶梯和自动人行道急停开关有效，且有清晰的永久性标识。④自动扶梯围裙板上的防夹装置完整。⑤自动扶梯和自动人行道出入口处梳齿板完好。⑥在与楼板交叉处以及各交叉设置的自动扶梯或者自动人行道之间，按要求装设防护挡板（扶手带外缘与任何障碍物之间距离大于等于400mm的除外）。</w:t>
            </w:r>
          </w:p>
          <w:p w14:paraId="4B1B321F">
            <w:pPr>
              <w:widowControl w:val="0"/>
              <w:autoSpaceDE w:val="0"/>
              <w:autoSpaceDN w:val="0"/>
              <w:adjustRightInd w:val="0"/>
              <w:snapToGrid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（3）显示信号系统：抽查呼梯、选层、楼层指示等显示信号系统功能有效，指示正确。</w:t>
            </w:r>
          </w:p>
          <w:p w14:paraId="16BD54A9">
            <w:pPr>
              <w:widowControl w:val="0"/>
              <w:autoSpaceDE w:val="0"/>
              <w:autoSpaceDN w:val="0"/>
              <w:adjustRightInd w:val="0"/>
              <w:snapToGrid w:val="0"/>
              <w:spacing w:line="360" w:lineRule="auto"/>
              <w:ind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（4）维保情况：①签订维保合同并在有效期内。②有维保记录，并经安全管理人员签字确认。</w:t>
            </w:r>
          </w:p>
        </w:tc>
        <w:tc>
          <w:tcPr>
            <w:tcW w:w="1417" w:type="dxa"/>
            <w:gridSpan w:val="2"/>
            <w:vAlign w:val="center"/>
          </w:tcPr>
          <w:p w14:paraId="5E69543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lang w:val="zh-CN"/>
              </w:rPr>
              <w:t>查阅相关标志标识及记录、见证资料，验证安全保护装置及显示信号系统是否有效</w:t>
            </w:r>
          </w:p>
        </w:tc>
      </w:tr>
      <w:tr w14:paraId="5ACC2A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0BDC7D53">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6</w:t>
            </w:r>
          </w:p>
        </w:tc>
        <w:tc>
          <w:tcPr>
            <w:tcW w:w="1134" w:type="dxa"/>
            <w:vAlign w:val="center"/>
          </w:tcPr>
          <w:p w14:paraId="72D01549">
            <w:pPr>
              <w:spacing w:line="360" w:lineRule="auto"/>
              <w:ind w:firstLine="0"/>
              <w:jc w:val="center"/>
              <w:rPr>
                <w:rFonts w:hint="eastAsia" w:ascii="宋体" w:hAnsi="宋体" w:eastAsia="宋体" w:cs="宋体"/>
                <w:bCs/>
                <w:color w:val="auto"/>
                <w:sz w:val="24"/>
                <w:szCs w:val="24"/>
              </w:rPr>
            </w:pPr>
            <w:r>
              <w:rPr>
                <w:rFonts w:hint="eastAsia" w:ascii="宋体" w:hAnsi="宋体" w:eastAsia="宋体" w:cs="宋体"/>
                <w:color w:val="auto"/>
                <w:sz w:val="24"/>
                <w:szCs w:val="24"/>
              </w:rPr>
              <w:t>大型游乐设施</w:t>
            </w:r>
            <w:r>
              <w:rPr>
                <w:rFonts w:hint="eastAsia" w:ascii="宋体" w:hAnsi="宋体" w:eastAsia="宋体" w:cs="宋体"/>
                <w:bCs/>
                <w:color w:val="auto"/>
                <w:sz w:val="24"/>
                <w:szCs w:val="24"/>
              </w:rPr>
              <w:t>安全管理要求</w:t>
            </w:r>
          </w:p>
        </w:tc>
        <w:tc>
          <w:tcPr>
            <w:tcW w:w="5953" w:type="dxa"/>
            <w:gridSpan w:val="2"/>
            <w:vAlign w:val="center"/>
          </w:tcPr>
          <w:p w14:paraId="38FF0146">
            <w:pPr>
              <w:widowControl w:val="0"/>
              <w:autoSpaceDE w:val="0"/>
              <w:autoSpaceDN w:val="0"/>
              <w:adjustRightInd w:val="0"/>
              <w:snapToGrid w:val="0"/>
              <w:spacing w:line="360" w:lineRule="auto"/>
              <w:ind w:firstLine="0" w:firstLineChars="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kern w:val="0"/>
                <w:sz w:val="24"/>
                <w:szCs w:val="24"/>
                <w:lang w:val="en-US" w:eastAsia="zh-CN" w:bidi="ar-SA"/>
              </w:rPr>
              <w:t>使用标志及安全标志：①设备按要求办理使用登记并将使用标志置于显著位置。②设有显著的警示标志。③进出口设有显著的乘客须知和身高标尺等安全标志。（2）作业人员的有效证件在显著位置公示。</w:t>
            </w: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0"/>
                <w:sz w:val="24"/>
                <w:szCs w:val="24"/>
                <w:lang w:val="en-US" w:eastAsia="zh-CN" w:bidi="ar-SA"/>
              </w:rPr>
              <w:t>安全保护装置：①抽查配备的安全带、安全压杠等乘客束缚装置应当完好有效。②抽查座舱舱门锁紧装置应当完好有效。（4）定期修订应急救援（专项）预案，并按照预案开展应急救援演练。（5）按规定进行设备运营前试运行检查、日常检查和维护保养、定期自行检查。</w:t>
            </w:r>
          </w:p>
        </w:tc>
        <w:tc>
          <w:tcPr>
            <w:tcW w:w="1134" w:type="dxa"/>
            <w:vAlign w:val="center"/>
          </w:tcPr>
          <w:p w14:paraId="6E157531">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查阅标识标志、人员证件、相关记录，验证安全保护装置是否有效</w:t>
            </w:r>
          </w:p>
        </w:tc>
      </w:tr>
      <w:tr w14:paraId="60A218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21543EF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7</w:t>
            </w:r>
          </w:p>
        </w:tc>
        <w:tc>
          <w:tcPr>
            <w:tcW w:w="1134" w:type="dxa"/>
            <w:vAlign w:val="center"/>
          </w:tcPr>
          <w:p w14:paraId="56C13F12">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起重机械</w:t>
            </w:r>
            <w:r>
              <w:rPr>
                <w:rFonts w:hint="eastAsia" w:ascii="宋体" w:hAnsi="宋体" w:eastAsia="宋体" w:cs="宋体"/>
                <w:bCs/>
                <w:color w:val="auto"/>
                <w:sz w:val="24"/>
                <w:szCs w:val="24"/>
              </w:rPr>
              <w:t>安全管理要求</w:t>
            </w:r>
          </w:p>
        </w:tc>
        <w:tc>
          <w:tcPr>
            <w:tcW w:w="5953" w:type="dxa"/>
            <w:gridSpan w:val="2"/>
            <w:vAlign w:val="center"/>
          </w:tcPr>
          <w:p w14:paraId="5D392ACF">
            <w:pPr>
              <w:widowControl w:val="0"/>
              <w:autoSpaceDE w:val="0"/>
              <w:autoSpaceDN w:val="0"/>
              <w:adjustRightInd w:val="0"/>
              <w:snapToGrid w:val="0"/>
              <w:spacing w:line="360" w:lineRule="auto"/>
              <w:ind w:firstLine="0" w:firstLineChars="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val="en-US" w:eastAsia="zh-CN" w:bidi="ar-SA"/>
              </w:rPr>
              <w:t>（1）使用标志：①设备按要求办理使用登记并将使用标志置于设备的显著位置或存放档案中。②有额定起重量（额定起重力矩）标识，且固定在显著位置。（2）安全保护装置：①按要求设置紧急停止开关且完好。②按要求设置起重量限制器且完好。③按要求设置力矩限制器且完好。④按要求设置防坠安全器且完好。⑤按要求设置高度限制器且完好。（3）维保情况：按规定进行定期自行检查和维护保养</w:t>
            </w:r>
          </w:p>
        </w:tc>
        <w:tc>
          <w:tcPr>
            <w:tcW w:w="1134" w:type="dxa"/>
            <w:vAlign w:val="center"/>
          </w:tcPr>
          <w:p w14:paraId="586B6EDB">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lang w:val="zh-CN"/>
              </w:rPr>
              <w:t>查阅相关标志标识及记录，验证安全保护装置是否有效</w:t>
            </w:r>
          </w:p>
        </w:tc>
      </w:tr>
      <w:tr w14:paraId="5F89CA8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0BBCC06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8</w:t>
            </w:r>
          </w:p>
        </w:tc>
        <w:tc>
          <w:tcPr>
            <w:tcW w:w="1134" w:type="dxa"/>
            <w:vAlign w:val="center"/>
          </w:tcPr>
          <w:p w14:paraId="284A91C0">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场（厂）内专用机动车辆</w:t>
            </w:r>
            <w:r>
              <w:rPr>
                <w:rFonts w:hint="eastAsia" w:ascii="宋体" w:hAnsi="宋体" w:eastAsia="宋体" w:cs="宋体"/>
                <w:bCs/>
                <w:color w:val="auto"/>
                <w:sz w:val="24"/>
                <w:szCs w:val="24"/>
              </w:rPr>
              <w:t>安全管理要求</w:t>
            </w:r>
          </w:p>
        </w:tc>
        <w:tc>
          <w:tcPr>
            <w:tcW w:w="5953" w:type="dxa"/>
            <w:gridSpan w:val="2"/>
            <w:vAlign w:val="center"/>
          </w:tcPr>
          <w:p w14:paraId="7059F4BE">
            <w:pPr>
              <w:widowControl w:val="0"/>
              <w:autoSpaceDE w:val="0"/>
              <w:autoSpaceDN w:val="0"/>
              <w:adjustRightInd w:val="0"/>
              <w:snapToGrid w:val="0"/>
              <w:spacing w:line="360" w:lineRule="auto"/>
              <w:ind w:firstLine="0" w:firstLineChars="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val="en-US" w:eastAsia="zh-CN" w:bidi="ar-SA"/>
              </w:rPr>
              <w:t>（1）使用标志及安全标志：①设备按要求办理使用登记并将使用标志置于显著位置。②悬挂有效牌照。③设置安全警示标志。（2）安全装置：①车辆的照明系统和仪表盘正常。②车辆的行车、驻车制动系统有效。③有能发出清晰声响的警示装置（如喇叭）。④车辆后视镜有效。⑤按要求配备灭火器（仅观光车辆）。⑥按要求配置安全带（仅坐驾式车辆）。⑦紧急断电开关有效（仅电动车辆）。⑧视频监控装置有效（仅观光列车）。（3）运行及维保情况：①按规定进行定期自行检查和维护保养。②非公路用旅游观光车辆在上下车站点处明示行驶路线图。</w:t>
            </w:r>
          </w:p>
        </w:tc>
        <w:tc>
          <w:tcPr>
            <w:tcW w:w="1134" w:type="dxa"/>
            <w:vAlign w:val="center"/>
          </w:tcPr>
          <w:p w14:paraId="4F65EB96">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lang w:val="zh-CN"/>
              </w:rPr>
              <w:t>查阅相关标志标识及记录，验证安全保护装置是否有效</w:t>
            </w:r>
          </w:p>
        </w:tc>
      </w:tr>
      <w:tr w14:paraId="5CD45DA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680" w:type="dxa"/>
            <w:vAlign w:val="center"/>
          </w:tcPr>
          <w:p w14:paraId="46B81018">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rPr>
              <w:t>9</w:t>
            </w:r>
          </w:p>
        </w:tc>
        <w:tc>
          <w:tcPr>
            <w:tcW w:w="1134" w:type="dxa"/>
            <w:vAlign w:val="center"/>
          </w:tcPr>
          <w:p w14:paraId="2D545209">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客运索道</w:t>
            </w:r>
            <w:r>
              <w:rPr>
                <w:rFonts w:hint="eastAsia" w:ascii="宋体" w:hAnsi="宋体" w:eastAsia="宋体" w:cs="宋体"/>
                <w:bCs/>
                <w:color w:val="auto"/>
                <w:sz w:val="24"/>
                <w:szCs w:val="24"/>
              </w:rPr>
              <w:t>安全管理要求</w:t>
            </w:r>
          </w:p>
        </w:tc>
        <w:tc>
          <w:tcPr>
            <w:tcW w:w="5953" w:type="dxa"/>
            <w:gridSpan w:val="2"/>
            <w:vAlign w:val="center"/>
          </w:tcPr>
          <w:p w14:paraId="3CC76A51">
            <w:pPr>
              <w:widowControl w:val="0"/>
              <w:autoSpaceDE w:val="0"/>
              <w:autoSpaceDN w:val="0"/>
              <w:adjustRightInd w:val="0"/>
              <w:snapToGrid w:val="0"/>
              <w:spacing w:line="360" w:lineRule="auto"/>
              <w:ind w:firstLine="0" w:firstLineChars="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kern w:val="0"/>
                <w:sz w:val="24"/>
                <w:szCs w:val="24"/>
                <w:lang w:val="en-US" w:eastAsia="zh-CN" w:bidi="ar-SA"/>
              </w:rPr>
              <w:t>使用标志及安全标志：①设备按要求办理使用登记并将使用标志置于显著位置。②进站口设乘客须知。③站台按规定设上下车线、禁止线等安全标志。④吊篮、吊箱内有安全说明。（2）作业人员的有效证件在显著位置公示。（3）通信装置：①站房之间有专用电话，且至少有一条外线电话，并能保持通讯可靠。②沿线广播系统有效。（4）应急救援：有应急救援专项预案、救援装备，并按照要求开展应急救援演练。（5）运行及维保情况：按规定进行设备运营前试运行检查、日常检查和维护保养、定期自行检查，并有检查记录。</w:t>
            </w:r>
          </w:p>
        </w:tc>
        <w:tc>
          <w:tcPr>
            <w:tcW w:w="1134" w:type="dxa"/>
            <w:vAlign w:val="center"/>
          </w:tcPr>
          <w:p w14:paraId="4D57BDAB">
            <w:pPr>
              <w:spacing w:line="360" w:lineRule="auto"/>
              <w:ind w:firstLine="0"/>
              <w:jc w:val="center"/>
              <w:rPr>
                <w:rFonts w:hint="eastAsia" w:ascii="宋体" w:hAnsi="宋体" w:eastAsia="宋体" w:cs="宋体"/>
                <w:bCs/>
                <w:color w:val="auto"/>
                <w:sz w:val="24"/>
                <w:szCs w:val="24"/>
                <w:lang w:val="zh-CN"/>
              </w:rPr>
            </w:pPr>
            <w:r>
              <w:rPr>
                <w:rFonts w:hint="eastAsia" w:ascii="宋体" w:hAnsi="宋体" w:eastAsia="宋体" w:cs="宋体"/>
                <w:bCs/>
                <w:color w:val="auto"/>
                <w:sz w:val="24"/>
                <w:szCs w:val="24"/>
                <w:lang w:val="zh-CN"/>
              </w:rPr>
              <w:t>查阅相关标志标识及记录，验证通讯装置是否</w:t>
            </w:r>
          </w:p>
          <w:p w14:paraId="1DF1C7BE">
            <w:pPr>
              <w:spacing w:line="360" w:lineRule="auto"/>
              <w:ind w:firstLine="0"/>
              <w:jc w:val="center"/>
              <w:rPr>
                <w:rFonts w:hint="eastAsia" w:ascii="宋体" w:hAnsi="宋体" w:eastAsia="宋体" w:cs="宋体"/>
                <w:color w:val="auto"/>
                <w:sz w:val="24"/>
                <w:szCs w:val="24"/>
              </w:rPr>
            </w:pPr>
            <w:r>
              <w:rPr>
                <w:rFonts w:hint="eastAsia" w:ascii="宋体" w:hAnsi="宋体" w:eastAsia="宋体" w:cs="宋体"/>
                <w:bCs/>
                <w:color w:val="auto"/>
                <w:sz w:val="24"/>
                <w:szCs w:val="24"/>
                <w:lang w:val="zh-CN"/>
              </w:rPr>
              <w:t>有效</w:t>
            </w:r>
          </w:p>
        </w:tc>
      </w:tr>
    </w:tbl>
    <w:p w14:paraId="4A3EE562">
      <w:pPr>
        <w:spacing w:line="240" w:lineRule="exact"/>
        <w:ind w:firstLine="0"/>
        <w:rPr>
          <w:rFonts w:hint="eastAsia" w:ascii="宋体" w:hAnsi="宋体" w:eastAsia="宋体" w:cs="宋体"/>
          <w:color w:val="auto"/>
          <w:szCs w:val="21"/>
        </w:rPr>
      </w:pPr>
    </w:p>
    <w:p w14:paraId="7488F8DA">
      <w:pPr>
        <w:adjustRightInd w:val="0"/>
        <w:snapToGrid w:val="0"/>
        <w:spacing w:line="560" w:lineRule="exact"/>
        <w:ind w:firstLine="480" w:firstLineChars="200"/>
        <w:rPr>
          <w:rFonts w:hint="eastAsia" w:ascii="宋体" w:hAnsi="宋体" w:eastAsia="宋体" w:cs="宋体"/>
          <w:color w:val="auto"/>
          <w:sz w:val="24"/>
          <w:lang w:eastAsia="zh-CN"/>
        </w:rPr>
      </w:pPr>
    </w:p>
    <w:p w14:paraId="3BDBF046">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2F70E3"/>
    <w:rsid w:val="36E16C19"/>
    <w:rsid w:val="7A2F7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80</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2026-06-16T10:06:00Z</dcterms:created>
  <dc:creator>默.</dc:creator>
  <cp:lastModifiedBy>默.</cp:lastModifiedBy>
  <dcterms:modified xsi:type="dcterms:W3CDTF">2026-06-16T10:12:01Z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6C48DC1CBA0442978D0ACF1FC8CA961F_11</vt:lpwstr>
  </property>
  <property fmtid="{D5CDD505-2E9C-101B-9397-08002B2CF9AE}" pid="4" name="KSOTemplateDocerSaveRecord">
    <vt:lpwstr>eyJoZGlkIjoiMDFhNGRjM2IyY2I1ZTdjZDQ1YjM3MWYxMGIwMWY2NjIiLCJ1c2VySWQiOiI0MjU4NjcyNzgifQ==</vt:lpwstr>
  </property>
</Properties>
</file>