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版本号：SCIT-ZC-SX202606000420260715001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阎良校区图文信息中心3、4层玻璃隔断施工项目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SCIT-ZC-SX2026060004</w:t>
      </w:r>
      <w:r>
        <w:br/>
      </w:r>
      <w:r>
        <w:br/>
      </w:r>
      <w:r>
        <w:br/>
      </w:r>
    </w:p>
    <w:p>
      <w:pPr>
        <w:pStyle w:val="null3"/>
        <w:jc w:val="center"/>
        <w:outlineLvl w:val="2"/>
      </w:pPr>
      <w:r>
        <w:rPr>
          <w:rFonts w:ascii="仿宋_GB2312" w:hAnsi="仿宋_GB2312" w:cs="仿宋_GB2312" w:eastAsia="仿宋_GB2312"/>
          <w:sz w:val="28"/>
          <w:b/>
        </w:rPr>
        <w:t>西安航空学院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西安航空学院</w:t>
      </w:r>
      <w:r>
        <w:rPr>
          <w:rFonts w:ascii="仿宋_GB2312" w:hAnsi="仿宋_GB2312" w:cs="仿宋_GB2312" w:eastAsia="仿宋_GB2312"/>
        </w:rPr>
        <w:t>委托，拟对</w:t>
      </w:r>
      <w:r>
        <w:rPr>
          <w:rFonts w:ascii="仿宋_GB2312" w:hAnsi="仿宋_GB2312" w:cs="仿宋_GB2312" w:eastAsia="仿宋_GB2312"/>
        </w:rPr>
        <w:t>阎良校区图文信息中心3、4层玻璃隔断施工项目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SCIT-ZC-SX2026060004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阎良校区图文信息中心3、4层玻璃隔断施工项目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，用于阎良校区图文信息中心3、4层玻璃隔断施工改造（具体详见磋商文件）。 采购包预算金额（元）: 49,5000.00； 采购包最高限价（元）: 49,5000.00。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采购包1（阎良校区图文信息中心3、4层玻璃隔断施工）：属于专门面向中小企业采购。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1、法定代表人授权书及被授权人身份证明：法定代表人授权书及被授权人身份证明（法定代表人直接参与磋商只须提交其身份证明）；按采购文件规定格式提供授权书及法定代表人、被授权人身份证明； 供应商需在项目电子化交易系统中按要求进行电子签章。</w:t>
      </w:r>
    </w:p>
    <w:p>
      <w:pPr>
        <w:pStyle w:val="null3"/>
      </w:pPr>
      <w:r>
        <w:rPr>
          <w:rFonts w:ascii="仿宋_GB2312" w:hAnsi="仿宋_GB2312" w:cs="仿宋_GB2312" w:eastAsia="仿宋_GB2312"/>
        </w:rPr>
        <w:t>2、信用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资质：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供应商拟派项目负责人要求：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p>
      <w:pPr>
        <w:pStyle w:val="null3"/>
      </w:pPr>
      <w:r>
        <w:rPr>
          <w:rFonts w:ascii="仿宋_GB2312" w:hAnsi="仿宋_GB2312" w:cs="仿宋_GB2312" w:eastAsia="仿宋_GB2312"/>
        </w:rPr>
        <w:t>5、省外企业须为“陕西省住房和城乡建设厅”官网企业库外省进陕施工企业：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西二环259号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西安航空学院经办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029-81672802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银行账号：9902001856468804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说明：签订合同前，成交供应商应向采购人缴纳成交金额5%的履约保证金。项目验收合格后，采购人一次性无息退还5%的履约保证金给成交人。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 （1）50万元（不含）以下的项目，按照定额6000元标准计费收取； （2）50万元（含）以上的项目，按照国家计委颁布的《招标代理服务收费管理暂行办法》（计价格[2002]1980号）文件为依据计代理服务费；由成交人在领取成交通知书前向招标代理机构交纳招标服务费。招标代理服务费支付方式：银行转账或现金方式.</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踏勘时间：2026-07-23 10:00:00</w:t>
            </w:r>
          </w:p>
          <w:p>
            <w:pPr>
              <w:pStyle w:val="null3"/>
              <w:ind w:firstLine="975"/>
            </w:pPr>
            <w:r>
              <w:rPr>
                <w:rFonts w:ascii="仿宋_GB2312" w:hAnsi="仿宋_GB2312" w:cs="仿宋_GB2312" w:eastAsia="仿宋_GB2312"/>
              </w:rPr>
              <w:t>踏勘地点：西安航空学院阎良校区</w:t>
            </w:r>
          </w:p>
          <w:p>
            <w:pPr>
              <w:pStyle w:val="null3"/>
              <w:ind w:firstLine="975"/>
            </w:pPr>
            <w:r>
              <w:rPr>
                <w:rFonts w:ascii="仿宋_GB2312" w:hAnsi="仿宋_GB2312" w:cs="仿宋_GB2312" w:eastAsia="仿宋_GB2312"/>
              </w:rPr>
              <w:t>联系人：郑孝波</w:t>
            </w:r>
          </w:p>
          <w:p>
            <w:pPr>
              <w:pStyle w:val="null3"/>
              <w:ind w:firstLine="975"/>
            </w:pPr>
            <w:r>
              <w:rPr>
                <w:rFonts w:ascii="仿宋_GB2312" w:hAnsi="仿宋_GB2312" w:cs="仿宋_GB2312" w:eastAsia="仿宋_GB2312"/>
              </w:rPr>
              <w:t>联系电话号码：15091371192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西安航空学院</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阎良校区图文信息中心3、4层玻璃隔断施工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标的名称：阎良校区图文信息中心3、4层玻璃隔断施工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一、项目概述</w:t>
            </w:r>
          </w:p>
          <w:p>
            <w:pPr>
              <w:pStyle w:val="null3"/>
              <w:ind w:firstLine="400"/>
            </w:pPr>
            <w:r>
              <w:rPr>
                <w:rFonts w:ascii="仿宋_GB2312" w:hAnsi="仿宋_GB2312" w:cs="仿宋_GB2312" w:eastAsia="仿宋_GB2312"/>
              </w:rPr>
              <w:t>根据学校整体工作规划与场地功能调整安排，现将阎良校区图文信息中心场地进行重新划分：其中</w:t>
            </w:r>
            <w:r>
              <w:rPr>
                <w:rFonts w:ascii="仿宋_GB2312" w:hAnsi="仿宋_GB2312" w:cs="仿宋_GB2312" w:eastAsia="仿宋_GB2312"/>
              </w:rPr>
              <w:t>3层划归计算机与人工智能学院作为实验室使用，4层划归理学院作为实验室使用。施工内容包括玻璃隔断施工、玻璃门安装及线路改造等项目（具体工程量详见施工图及工程量清单）。</w:t>
            </w:r>
          </w:p>
          <w:p>
            <w:pPr>
              <w:pStyle w:val="null3"/>
            </w:pPr>
            <w:r>
              <w:rPr>
                <w:rFonts w:ascii="仿宋_GB2312" w:hAnsi="仿宋_GB2312" w:cs="仿宋_GB2312" w:eastAsia="仿宋_GB2312"/>
              </w:rPr>
              <w:t>二、技术要求</w:t>
            </w:r>
          </w:p>
          <w:p>
            <w:pPr>
              <w:pStyle w:val="null3"/>
              <w:ind w:firstLine="200"/>
            </w:pPr>
            <w:r>
              <w:rPr>
                <w:rFonts w:ascii="仿宋_GB2312" w:hAnsi="仿宋_GB2312" w:cs="仿宋_GB2312" w:eastAsia="仿宋_GB2312"/>
              </w:rPr>
              <w:t>（</w:t>
            </w:r>
            <w:r>
              <w:rPr>
                <w:rFonts w:ascii="仿宋_GB2312" w:hAnsi="仿宋_GB2312" w:cs="仿宋_GB2312" w:eastAsia="仿宋_GB2312"/>
              </w:rPr>
              <w:t>1）项目的材料、设备、施工均须达到中华人民共和国现行及省、自治区、直辖市或行业的工程建设标准、强制性条文、规范的要求。</w:t>
            </w:r>
          </w:p>
          <w:p>
            <w:pPr>
              <w:pStyle w:val="null3"/>
              <w:ind w:firstLine="200"/>
            </w:pPr>
            <w:r>
              <w:rPr>
                <w:rFonts w:ascii="仿宋_GB2312" w:hAnsi="仿宋_GB2312" w:cs="仿宋_GB2312" w:eastAsia="仿宋_GB2312"/>
              </w:rPr>
              <w:t>（</w:t>
            </w:r>
            <w:r>
              <w:rPr>
                <w:rFonts w:ascii="仿宋_GB2312" w:hAnsi="仿宋_GB2312" w:cs="仿宋_GB2312" w:eastAsia="仿宋_GB2312"/>
              </w:rPr>
              <w:t>2）若项目的材料、设备、施工无上述标准，订货、采购及施工、安装时，应提供生产厂家或施工企业、安装企业在技术监督部门备案的企业标准，并经监理单位和采购人认定质量合格后方可实施。</w:t>
            </w:r>
          </w:p>
          <w:p>
            <w:pPr>
              <w:pStyle w:val="null3"/>
            </w:pPr>
            <w:r>
              <w:rPr>
                <w:rFonts w:ascii="仿宋_GB2312" w:hAnsi="仿宋_GB2312" w:cs="仿宋_GB2312" w:eastAsia="仿宋_GB2312"/>
              </w:rPr>
              <w:t>（</w:t>
            </w:r>
            <w:r>
              <w:rPr>
                <w:rFonts w:ascii="仿宋_GB2312" w:hAnsi="仿宋_GB2312" w:cs="仿宋_GB2312" w:eastAsia="仿宋_GB2312"/>
              </w:rPr>
              <w:t>3）施工单位须遵循后勤管理部门规定，经采购人同意可使用水电，并安装独立计量装置计量缴费，相关费用由施工方承担。电费按1.00元/度、水费按5.8元/吨收取。施工前须办理用水用电手续并缴纳保证金，工程完工且结清水电费后，保证金无息退还。</w:t>
            </w:r>
          </w:p>
          <w:p>
            <w:pPr>
              <w:pStyle w:val="null3"/>
            </w:pPr>
            <w:r>
              <w:rPr>
                <w:rFonts w:ascii="仿宋_GB2312" w:hAnsi="仿宋_GB2312" w:cs="仿宋_GB2312" w:eastAsia="仿宋_GB2312"/>
              </w:rPr>
              <w:t>（</w:t>
            </w:r>
            <w:r>
              <w:rPr>
                <w:rFonts w:ascii="仿宋_GB2312" w:hAnsi="仿宋_GB2312" w:cs="仿宋_GB2312" w:eastAsia="仿宋_GB2312"/>
              </w:rPr>
              <w:t>4）工期及总造价已明确，供应商在响应时应合理确定赶工措施费，确保成交后不因赶工向发包人提出额外经济补偿。</w:t>
            </w:r>
          </w:p>
          <w:p>
            <w:pPr>
              <w:pStyle w:val="null3"/>
            </w:pPr>
            <w:r>
              <w:rPr>
                <w:rFonts w:ascii="仿宋_GB2312" w:hAnsi="仿宋_GB2312" w:cs="仿宋_GB2312" w:eastAsia="仿宋_GB2312"/>
              </w:rPr>
              <w:t>（</w:t>
            </w:r>
            <w:r>
              <w:rPr>
                <w:rFonts w:ascii="仿宋_GB2312" w:hAnsi="仿宋_GB2312" w:cs="仿宋_GB2312" w:eastAsia="仿宋_GB2312"/>
              </w:rPr>
              <w:t>5）施工过程中如遇其他工程交叉，应主动沟通协调，无条件服从校方安排。</w:t>
            </w:r>
          </w:p>
          <w:p>
            <w:pPr>
              <w:pStyle w:val="null3"/>
            </w:pPr>
            <w:r>
              <w:rPr>
                <w:rFonts w:ascii="仿宋_GB2312" w:hAnsi="仿宋_GB2312" w:cs="仿宋_GB2312" w:eastAsia="仿宋_GB2312"/>
              </w:rPr>
              <w:t>（</w:t>
            </w:r>
            <w:r>
              <w:rPr>
                <w:rFonts w:ascii="仿宋_GB2312" w:hAnsi="仿宋_GB2312" w:cs="仿宋_GB2312" w:eastAsia="仿宋_GB2312"/>
              </w:rPr>
              <w:t>6）工程资料收集整理须与施工进度同步，确保顺利通过竣工验收，按时提交完整资料。</w:t>
            </w:r>
          </w:p>
          <w:p>
            <w:pPr>
              <w:pStyle w:val="null3"/>
            </w:pPr>
            <w:r>
              <w:rPr>
                <w:rFonts w:ascii="仿宋_GB2312" w:hAnsi="仿宋_GB2312" w:cs="仿宋_GB2312" w:eastAsia="仿宋_GB2312"/>
              </w:rPr>
              <w:t>（</w:t>
            </w:r>
            <w:r>
              <w:rPr>
                <w:rFonts w:ascii="仿宋_GB2312" w:hAnsi="仿宋_GB2312" w:cs="仿宋_GB2312" w:eastAsia="仿宋_GB2312"/>
              </w:rPr>
              <w:t>7）施工须满足政府相关部门要求，尽量减少对周边环境影响。</w:t>
            </w:r>
          </w:p>
          <w:p>
            <w:pPr>
              <w:pStyle w:val="null3"/>
            </w:pPr>
            <w:r>
              <w:rPr>
                <w:rFonts w:ascii="仿宋_GB2312" w:hAnsi="仿宋_GB2312" w:cs="仿宋_GB2312" w:eastAsia="仿宋_GB2312"/>
              </w:rPr>
              <w:t>（</w:t>
            </w:r>
            <w:r>
              <w:rPr>
                <w:rFonts w:ascii="仿宋_GB2312" w:hAnsi="仿宋_GB2312" w:cs="仿宋_GB2312" w:eastAsia="仿宋_GB2312"/>
              </w:rPr>
              <w:t>8）建筑垃圾严禁长时间校内堆放，应及时外运并铺设防尘网；外运须遵守《西安市建筑垃圾管理条例》等相关规定，并负责与街办、城管等部门协调。</w:t>
            </w:r>
          </w:p>
          <w:p>
            <w:pPr>
              <w:pStyle w:val="null3"/>
            </w:pPr>
            <w:r>
              <w:rPr>
                <w:rFonts w:ascii="仿宋_GB2312" w:hAnsi="仿宋_GB2312" w:cs="仿宋_GB2312" w:eastAsia="仿宋_GB2312"/>
              </w:rPr>
              <w:t>（</w:t>
            </w:r>
            <w:r>
              <w:rPr>
                <w:rFonts w:ascii="仿宋_GB2312" w:hAnsi="仿宋_GB2312" w:cs="仿宋_GB2312" w:eastAsia="仿宋_GB2312"/>
              </w:rPr>
              <w:t>9）材料进场需实施三方联合验收，否则不可用于本工程。</w:t>
            </w:r>
          </w:p>
          <w:p>
            <w:pPr>
              <w:pStyle w:val="null3"/>
            </w:pPr>
            <w:r>
              <w:rPr>
                <w:rFonts w:ascii="仿宋_GB2312" w:hAnsi="仿宋_GB2312" w:cs="仿宋_GB2312" w:eastAsia="仿宋_GB2312"/>
              </w:rPr>
              <w:t>（</w:t>
            </w:r>
            <w:r>
              <w:rPr>
                <w:rFonts w:ascii="仿宋_GB2312" w:hAnsi="仿宋_GB2312" w:cs="仿宋_GB2312" w:eastAsia="仿宋_GB2312"/>
              </w:rPr>
              <w:t>10）项目完工后，需进行全面保洁，达到“工完、料净、场地清”标准。</w:t>
            </w:r>
          </w:p>
          <w:p>
            <w:pPr>
              <w:pStyle w:val="null3"/>
            </w:pPr>
            <w:r>
              <w:rPr>
                <w:rFonts w:ascii="仿宋_GB2312" w:hAnsi="仿宋_GB2312" w:cs="仿宋_GB2312" w:eastAsia="仿宋_GB2312"/>
              </w:rPr>
              <w:t>（</w:t>
            </w:r>
            <w:r>
              <w:rPr>
                <w:rFonts w:ascii="仿宋_GB2312" w:hAnsi="仿宋_GB2312" w:cs="仿宋_GB2312" w:eastAsia="仿宋_GB2312"/>
              </w:rPr>
              <w:t>11）成交人须按法律法规及合同约定完成施工，并在竣工后的缺陷责任期及质量保修期内承担保修责任。</w:t>
            </w:r>
          </w:p>
          <w:p>
            <w:pPr>
              <w:pStyle w:val="null3"/>
            </w:pPr>
            <w:r>
              <w:rPr>
                <w:rFonts w:ascii="仿宋_GB2312" w:hAnsi="仿宋_GB2312" w:cs="仿宋_GB2312" w:eastAsia="仿宋_GB2312"/>
              </w:rPr>
              <w:t>（</w:t>
            </w:r>
            <w:r>
              <w:rPr>
                <w:rFonts w:ascii="仿宋_GB2312" w:hAnsi="仿宋_GB2312" w:cs="仿宋_GB2312" w:eastAsia="仿宋_GB2312"/>
              </w:rPr>
              <w:t>12）质量标准：合格。</w:t>
            </w:r>
          </w:p>
          <w:p>
            <w:pPr>
              <w:pStyle w:val="null3"/>
            </w:pPr>
            <w:r>
              <w:rPr>
                <w:rFonts w:ascii="仿宋_GB2312" w:hAnsi="仿宋_GB2312" w:cs="仿宋_GB2312" w:eastAsia="仿宋_GB2312"/>
                <w:sz w:val="21"/>
              </w:rPr>
              <w:t>（</w:t>
            </w:r>
            <w:r>
              <w:rPr>
                <w:rFonts w:ascii="仿宋_GB2312" w:hAnsi="仿宋_GB2312" w:cs="仿宋_GB2312" w:eastAsia="仿宋_GB2312"/>
                <w:sz w:val="21"/>
              </w:rPr>
              <w:t>13）施工单位负责协调住建局、环保局以及城管等相关政府部门，确保施工过程中符合相关法规要求，及时办理各项手续，以保证项目的顺利进行。同时，施工单位需与这些政府部门保持良好的沟通与协作，及时解决施工中可能出现的问题，确保工程按期、高质量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符合国家及行业验收合格标准，质量合格。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 完工时间： 合同签订后25个日历日内竣工并交付验收，施工方每延误一天，学校按合同金额3‰/天扣除施工方工程款。 3.3.2 验收： 3.3.2.1 采购人组织安排验收，成交供应商提供工程量清单以及图纸配合验收工作。 3.3.2.2验收标准：依据国家相关行业质量验收规范合格标准进行验收。 3.3.3付款方式及条件（因系统固化原因，付款以此为准） 3.3.3.1 款项结算：本项目工程以实结算，工程量以审计结果为准。在付款前，每次付款时，成交人须向采购人提供等额的增值税发票（如遇学校寒暑假，则顺延至学校开学后无息支付)。 3.3.3.2 付款方式：竣工并通过验收后支付合同金额的 70%，审计完成后支付至审定金额的 97%，质保期满后支付剩余工程款。 3.3.4质保期： 工程整体质量保修期 2 年，自验收合格之日起计算，若供应商承诺多于 2年则按其承诺，保修期内须提供24小时内的紧急维修服务。 3.3.5 施工及后期要求： 3.3.5.1 为了保证工程的质量与进度，成交供应商派驻施工现场的项目经理（负责人）、技术负责人及项目管理人员必须与文件提供的项目经理、技术负责人及项目管理人员一致，且在施工期内必须每天保证至少有一人驻守施工现场组织施工和技术管理工作； 3.3.5.2由于本项目工期紧、任务重，成交单位在施工过程中各个部门紧密配合，各个施工点可以同时作业，从而保证施工的的质量与效率。 3.3.5.3 项目施工过程中所有责任由成交人承担，施工完成后，提供完整的竣工资料，包括但不限于竣工图纸、过程资料等。 3.3.5.4质保期内，成交人应在接到维修通知后，3天内派人维修。发生紧急抢修事故（如上水管跑水、爆裂，供电设施漏、断电等），成交人应在接到事故通知后 2 小时内到达事故现场并于 3 小时内完成应急维修； 注：3.3其他要求不允许负偏离。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法定代表人授权书及被授权人身份证明（法定代表人直接参与磋商只须提交其身份证明）；按采购文件规定格式提供授权书及法定代表人、被授权人身份证明；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筑工程施工总承包三级（含三级）及以上资质或建筑装修装饰工程专业承包二级（含二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供应商拟派项目负责人要求</w:t>
            </w:r>
          </w:p>
        </w:tc>
        <w:tc>
          <w:tcPr>
            <w:tcW w:type="dxa" w:w="3322"/>
          </w:tcPr>
          <w:p>
            <w:pPr>
              <w:pStyle w:val="null3"/>
            </w:pPr>
            <w:r>
              <w:rPr>
                <w:rFonts w:ascii="仿宋_GB2312" w:hAnsi="仿宋_GB2312" w:cs="仿宋_GB2312" w:eastAsia="仿宋_GB2312"/>
              </w:rPr>
              <w:t>供应商拟派项目负责人须具备建筑工程专业贰级及以上注册建造师资质、具有安全生产考核合格证（B证）且无在建工程（提供无在建工程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省外企业须为“陕西省住房和城乡建设厅”官网企业库外省进陕施工企业</w:t>
            </w:r>
          </w:p>
        </w:tc>
        <w:tc>
          <w:tcPr>
            <w:tcW w:type="dxa" w:w="3322"/>
          </w:tcPr>
          <w:p>
            <w:pPr>
              <w:pStyle w:val="null3"/>
            </w:pPr>
            <w:r>
              <w:rPr>
                <w:rFonts w:ascii="仿宋_GB2312" w:hAnsi="仿宋_GB2312" w:cs="仿宋_GB2312" w:eastAsia="仿宋_GB2312"/>
              </w:rPr>
              <w:t>省外企业须为“陕西省住房和城乡建设厅”官网企业库外省进陕施工企业；采购人或采购代理机构将于本项目磋商截止日在“陕西省住房和城乡建设厅”对供应商进行备案记录查询，未在“陕西省住房和城乡建设厅”备案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(3）磋商小组经过磋商后，供应商响应文件中技术、服务标准明显不符合磋商文件实质性要求的，或者磋商过程中，磋商小组发现或者知晓供应商存在违法、违纪行为的；（4）属于竞争性磋商文件中无效响应情形的。（5）未按规定缴纳磋商保证金的；（6）未标价的工程量清单。</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(3）磋商小组经过磋商后，供应商响应文件中技术、服务标准明显不符合磋商文件实质性要求的，或者磋商过程中，磋商小组发现或者知晓供应商存在违法、违纪行为的；（4）属于竞争性磋商文件中无效响应情形的。（5）未按规定缴纳磋商保证金的；（6）未标价的工程量清单。</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本项目施工方案①施工工艺②施工方法③技术响应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机械配置方案</w:t>
            </w:r>
          </w:p>
        </w:tc>
        <w:tc>
          <w:tcPr>
            <w:tcW w:type="dxa" w:w="2492"/>
          </w:tcPr>
          <w:p>
            <w:pPr>
              <w:pStyle w:val="null3"/>
            </w:pPr>
            <w:r>
              <w:rPr>
                <w:rFonts w:ascii="仿宋_GB2312" w:hAnsi="仿宋_GB2312" w:cs="仿宋_GB2312" w:eastAsia="仿宋_GB2312"/>
              </w:rPr>
              <w:t>根据供应商提供的 机械配置方案①施工所需机械设备清单② 设备配备③劳保用品配置措施进行综合打分，完全响应得9分；方案中每有一项内容缺失扣3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供应商提供针对本项目的人员配备方案，包含①项目成员数量配备及劳动力保障措施 ②人员组成结构及人员的技术能力③相关资质及经验等综合评审，完全响应得9分；方案中每有一项内容缺失扣3分，方案内容要素中每存在一处缺陷扣0.5分，该分项分值扣完为止。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供应商提供针对本项目的质量管理方案包含：①质量管理体系②质量保证措施，完全响应得6分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供应商提供针对本项目的工期及进度安排计划包含：①保证项目工期实施措施，②施工进度表或施工网络节点表措施，③出现特殊情况的应急预案进行综合评审：完全响应得6分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供应商提供针对本项目的环保方案，包含：①环境保护管理体系与措施②污染物处理及排放符合国家及地方环境保护标准响应措施；③现场扬尘预防措施进行综合评审：完全响应得 9分 ；方案中每有一项内容缺失扣3分，方案内容要素中每存在一处缺陷扣0.5分，该分项分值扣完为止。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供应商所提供的产品中每有一项为绿色建材产品的得0.5分。本项最高得2分(以经国家确定的认证机构出具的、处于有效期内的绿色建材产品认证证书等证明性材料为准。)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根据供应商2023年01月01日至磋商响应截止时间同类业绩，每提供一份有效合同得2分，最高得8分。 注：供应商自己实施的，提供合同复印件。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根据供应商提供的①安全管理体系与措施②安全文明施工措施③安全教育及培训计划④安全防护措施等进行综合评审：完全响应得6分 ；方案中每有一项内容缺失扣1.5分，方案内容要素中每存在一处缺陷扣0.5分，该分项分值扣完为止。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对供应商提供的售后服务方案，包括①承诺维修响应时间②售后人员配置③工程质保承诺方案等进行综合评定：完全响应得6分 ；方案中每有一项内容缺失扣2分，方案内容要素中每存在一处缺陷扣0.5分，该分项分值扣完为止。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最低有效报价得30分。以本次最低有效报价为基准价，报价得分=(基准价÷磋商报价)×价格权值×100。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详见附件：施工工程类合同模板.docx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