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186"/>
        <w:gridCol w:w="6319"/>
      </w:tblGrid>
      <w:tr w14:paraId="4220FC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02" w:type="dxa"/>
          </w:tcPr>
          <w:p w14:paraId="408A37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86" w:type="dxa"/>
          </w:tcPr>
          <w:p w14:paraId="38C297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19" w:type="dxa"/>
          </w:tcPr>
          <w:p w14:paraId="0A50D4B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7D8B8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6CEA27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86" w:type="dxa"/>
          </w:tcPr>
          <w:p w14:paraId="39D7A536"/>
        </w:tc>
        <w:tc>
          <w:tcPr>
            <w:tcW w:w="6319" w:type="dxa"/>
          </w:tcPr>
          <w:p w14:paraId="018DE4D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工程量清单编制说明</w:t>
            </w:r>
          </w:p>
          <w:p w14:paraId="25E2926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一、工程概况</w:t>
            </w:r>
          </w:p>
          <w:p w14:paraId="4B0DF2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本项目位于陕西省西安市咸宁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1"/>
              </w:rPr>
              <w:t>教育公寓，包含南、北围墙拆除及新建。</w:t>
            </w:r>
          </w:p>
          <w:p w14:paraId="154E48B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二、编制范围</w:t>
            </w:r>
          </w:p>
          <w:p w14:paraId="086AFF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包含咸宁教育公寓南、北围墙拆除、新建及相关配套修缮。</w:t>
            </w:r>
          </w:p>
          <w:p w14:paraId="056F28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三、编制依据</w:t>
            </w:r>
          </w:p>
          <w:p w14:paraId="7968D0E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1、《陕西省建设工程工程量清单计价计算标准》（2025）、《陕西省建设工程费用规则》（2025）；</w:t>
            </w:r>
          </w:p>
          <w:p w14:paraId="57D5AA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2、正常施工组织设计及施工方法；</w:t>
            </w:r>
          </w:p>
          <w:p w14:paraId="249564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3、与建设工程项目有关的标准、规范、图集、技术资料；</w:t>
            </w:r>
          </w:p>
          <w:p w14:paraId="78DC11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4、招标文件；</w:t>
            </w:r>
          </w:p>
          <w:p w14:paraId="0E1A04E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5、本工程量清单所提供工程项目特征仅表达了主要工程做法，组价时应依据现场实际、相关图集，结合招标文件，合同条款，技术规范、图纸、答疑纪要等进行组价。</w:t>
            </w:r>
          </w:p>
          <w:p w14:paraId="00D8B8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四、有关问题说明</w:t>
            </w:r>
          </w:p>
          <w:p w14:paraId="3646C5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1、砂浆和混凝土按照现场搅拌考虑；</w:t>
            </w:r>
          </w:p>
          <w:p w14:paraId="1C41B4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2、本工程量清单采用广联达云计价平台GCCP7.0（7.5000.23.3版本）编制。</w:t>
            </w:r>
          </w:p>
        </w:tc>
      </w:tr>
      <w:tr w14:paraId="1BBFDA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0A898C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86" w:type="dxa"/>
          </w:tcPr>
          <w:p w14:paraId="602AF7F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319" w:type="dxa"/>
          </w:tcPr>
          <w:p w14:paraId="5F9FC0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五、其他要求</w:t>
            </w:r>
          </w:p>
          <w:p w14:paraId="6F2B51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★1、工期:自合同签订之日起60日历日内完工。</w:t>
            </w:r>
          </w:p>
          <w:p w14:paraId="22ED93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★2、质保期：自竣工验收合格之日起质保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</w:rPr>
              <w:t>年。</w:t>
            </w:r>
          </w:p>
          <w:p w14:paraId="62333F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3、付款方式：</w:t>
            </w:r>
          </w:p>
          <w:p w14:paraId="037B44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（1）合同签订后，甲方向乙方支付合同总价的40%预付款，预付款支付前乙方须提供项目等额预付款保函。</w:t>
            </w:r>
          </w:p>
          <w:p w14:paraId="262822E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（2）工程竣工初验合格后10日，甲方支付至合同总价的70％。</w:t>
            </w:r>
          </w:p>
          <w:p w14:paraId="6C44CA1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（3）工程终验合格后10日，由乙方书面递交工程完整资料报甲方开展审计，审计完成后六十日内，甲方支付至审计金额的100%。</w:t>
            </w:r>
          </w:p>
        </w:tc>
      </w:tr>
    </w:tbl>
    <w:p w14:paraId="3F44BB7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0401B7"/>
    <w:rsid w:val="4F04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2026-10-30T09:03:00Z</dcterms:created>
  <dc:creator>徐闫靖双</dc:creator>
  <cp:lastModifiedBy>徐闫靖双</cp:lastModifiedBy>
  <dcterms:modified xsi:type="dcterms:W3CDTF">2026-10-30T09:03:22Z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83A6925E38A74817AAD3B4F154951307_11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