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版本号：SXLZ-2026-13220260704001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陕西省缺水少绿典型地区（富平县）治水兴水能力提升路径研究</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SXLZ-2026-132</w:t>
      </w:r>
      <w:r>
        <w:br/>
      </w:r>
      <w:r>
        <w:br/>
      </w:r>
      <w:r>
        <w:br/>
      </w:r>
    </w:p>
    <w:p>
      <w:pPr>
        <w:pStyle w:val="null3"/>
        <w:jc w:val="center"/>
        <w:outlineLvl w:val="2"/>
      </w:pPr>
      <w:r>
        <w:rPr>
          <w:rFonts w:ascii="仿宋_GB2312" w:hAnsi="仿宋_GB2312" w:cs="仿宋_GB2312" w:eastAsia="仿宋_GB2312"/>
          <w:sz w:val="28"/>
          <w:b/>
        </w:rPr>
        <w:t>陕西省水利厅机关</w:t>
      </w:r>
    </w:p>
    <w:p>
      <w:pPr>
        <w:pStyle w:val="null3"/>
        <w:jc w:val="center"/>
        <w:outlineLvl w:val="2"/>
      </w:pPr>
      <w:r>
        <w:rPr>
          <w:rFonts w:ascii="仿宋_GB2312" w:hAnsi="仿宋_GB2312" w:cs="仿宋_GB2312" w:eastAsia="仿宋_GB2312"/>
          <w:sz w:val="28"/>
          <w:b/>
        </w:rPr>
        <w:t>陕西龙泽项目咨询管理有限公司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陕西龙泽项目咨询管理有限公司</w:t>
      </w:r>
      <w:r>
        <w:rPr>
          <w:rFonts w:ascii="仿宋_GB2312" w:hAnsi="仿宋_GB2312" w:cs="仿宋_GB2312" w:eastAsia="仿宋_GB2312"/>
        </w:rPr>
        <w:t>（以下简称“代理机构”）受</w:t>
      </w:r>
      <w:r>
        <w:rPr>
          <w:rFonts w:ascii="仿宋_GB2312" w:hAnsi="仿宋_GB2312" w:cs="仿宋_GB2312" w:eastAsia="仿宋_GB2312"/>
        </w:rPr>
        <w:t>陕西省水利厅机关</w:t>
      </w:r>
      <w:r>
        <w:rPr>
          <w:rFonts w:ascii="仿宋_GB2312" w:hAnsi="仿宋_GB2312" w:cs="仿宋_GB2312" w:eastAsia="仿宋_GB2312"/>
        </w:rPr>
        <w:t>委托，拟对</w:t>
      </w:r>
      <w:r>
        <w:rPr>
          <w:rFonts w:ascii="仿宋_GB2312" w:hAnsi="仿宋_GB2312" w:cs="仿宋_GB2312" w:eastAsia="仿宋_GB2312"/>
        </w:rPr>
        <w:t>陕西省缺水少绿典型地区（富平县）治水兴水能力提升路径研究</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SXLZ-2026-132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陕西省缺水少绿典型地区（富平县）治水兴水能力提升路径研究</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一是开展富平以治水为主线推进乡村振兴的调研；二是对富平县“五水协同”先进经验做法的总结；三是富平县“五网融合”构建现代水网实施方案的编制；四是对陕西省“缺水少绿”典型地区（富平县）治水兴水能力提升路径的研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1、信用查询截图：供应商未被列入信用中国网站(www.creditchina.gov.cn)“重大税收违法失信主体”；未被列入中国执行信息公开网(https://zxgk.court.gov.cn)“失信被执行人”；不处于中国政府采购网(www.ccgp. gov.cn)“政府采购严重违法失信行为信息记录”中的禁止参加政府采购活动期间。</w:t>
      </w:r>
    </w:p>
    <w:p>
      <w:pPr>
        <w:pStyle w:val="null3"/>
      </w:pPr>
      <w:r>
        <w:rPr>
          <w:rFonts w:ascii="仿宋_GB2312" w:hAnsi="仿宋_GB2312" w:cs="仿宋_GB2312" w:eastAsia="仿宋_GB2312"/>
        </w:rPr>
        <w:t>2、法定代表人证明书或授权委托书：提供法定代表人授权书（附法定代表人、被授权人身份证复印件），法定代表人直接参加磋商，须提供法定代表人身份证明及身份证复印件）。</w:t>
      </w:r>
    </w:p>
    <w:p>
      <w:pPr>
        <w:pStyle w:val="null3"/>
      </w:pPr>
      <w:r>
        <w:rPr>
          <w:rFonts w:ascii="仿宋_GB2312" w:hAnsi="仿宋_GB2312" w:cs="仿宋_GB2312" w:eastAsia="仿宋_GB2312"/>
        </w:rPr>
        <w:t>3、非联合体投标：本项目不接受联合体投标，提供非联合体投标声明。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陕西省水利厅机关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尚德路150号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029-61835126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陕西龙泽项目咨询管理有限公司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陕西省西安市国家民用航天产业基地神舟五路与东长安街交汇处东南角航天城中心广场1号楼708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郭佳星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15309270789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经与采购单位协商，根据成交⾦额，参照国家计委颁发的《招标代理服务收费管理暂⾏办法》(计价格〔2002〕1980号)、国家发展和改⾰委员会办公厅颁发的《关于招标代理服务费收费有关问题的通知》及《调整后的招标代理服务收费标准》(发改价格〔2011〕〕534号)规定的95%计取。2.采购代理服务费由成交供应商⽀付，成交供应商领取成交通知书时，须⼀次性向采购代理机构交纳采购代理服务费。3.采购代理服务费账户：公司名称：陕西⻰泽项⽬咨询管理有限公司；账 号: 61050111583800000087；开户⾏：中国建设银⾏股份有限公司西安雁塔南路南段⽀⾏。</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陕西省水利厅机关</w:t>
      </w:r>
      <w:r>
        <w:rPr>
          <w:rFonts w:ascii="仿宋_GB2312" w:hAnsi="仿宋_GB2312" w:cs="仿宋_GB2312" w:eastAsia="仿宋_GB2312"/>
        </w:rPr>
        <w:t>和</w:t>
      </w:r>
      <w:r>
        <w:rPr>
          <w:rFonts w:ascii="仿宋_GB2312" w:hAnsi="仿宋_GB2312" w:cs="仿宋_GB2312" w:eastAsia="仿宋_GB2312"/>
        </w:rPr>
        <w:t>陕西龙泽项目咨询管理有限公司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陕西省水利厅机关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陕西龙泽项目咨询管理有限公司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陕西省水利厅机关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陕西龙泽项目咨询管理有限公司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中使⽤的任何技术、产品和服务（包括部分使⽤），不会产⽣因第三⽅提出侵犯其专利权、商标权或其它知识产权⽽引起的法律和经济纠纷，如存在前述情形，由供应商承担所有相关责任。采购⼈享有本项⽬实施过程中产⽣的知识成果及知识产权。2.供应商将在采购项⽬实施过程中采⽤⾃有或者第三⽅知识成果的，使⽤该知识成果后，供应商需提供开发接⼝和开发⼿册等技术资料，并承诺提供⽆限期⽀持，采购⼈享有使⽤权（含采购⼈委托第三⽅在该项⽬后续开发的使⽤权）。3.如采⽤供应商所不拥有的知识产权，则在报价中必须包括合法使⽤该知识产权的相关费⽤。4.构成本采购⽂件的各组成部分，未经采购⼈书⾯同意，供应商不得擅⾃复印或⽤于⾮本采购项⽬所需的其他⽬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按国家有关规定以及磋商文件的要求、供应商的响应文件及承诺与本项目合同约定标准进行验收。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联系人：郭佳星</w:t>
      </w:r>
    </w:p>
    <w:p>
      <w:pPr>
        <w:pStyle w:val="null3"/>
      </w:pPr>
      <w:r>
        <w:rPr>
          <w:rFonts w:ascii="仿宋_GB2312" w:hAnsi="仿宋_GB2312" w:cs="仿宋_GB2312" w:eastAsia="仿宋_GB2312"/>
        </w:rPr>
        <w:t>联系电话：15309270789</w:t>
      </w:r>
    </w:p>
    <w:p>
      <w:pPr>
        <w:pStyle w:val="null3"/>
      </w:pPr>
      <w:r>
        <w:rPr>
          <w:rFonts w:ascii="仿宋_GB2312" w:hAnsi="仿宋_GB2312" w:cs="仿宋_GB2312" w:eastAsia="仿宋_GB2312"/>
        </w:rPr>
        <w:t>地址：陕西省西安市国家⺠⽤航天产业基地神⾈五路与东⻓安街交汇处东南⻆航天城中⼼⼴场1号楼708</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一是开展富平以治水为主线推进乡村振兴的调研；二是对富平县“五水协同”先进经验做法的总结；三是富平县“五网融合”构建现代水网实施方案的编制；四是对陕西省“缺水少绿”典型地区（富平县）治水兴水能力提升路径的研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陕西省缺水少绿典型地区富平县治水兴水能力提升路径研究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标的名称：陕西省缺水少绿典型地区富平县治水兴水能力提升路径研究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1"/>
              </w:rPr>
              <w:t>一、项目概况</w:t>
            </w:r>
          </w:p>
          <w:p>
            <w:pPr>
              <w:pStyle w:val="null3"/>
              <w:ind w:firstLine="560"/>
              <w:jc w:val="both"/>
            </w:pPr>
            <w:r>
              <w:rPr>
                <w:rFonts w:ascii="仿宋_GB2312" w:hAnsi="仿宋_GB2312" w:cs="仿宋_GB2312" w:eastAsia="仿宋_GB2312"/>
                <w:sz w:val="21"/>
              </w:rPr>
              <w:t>一是开展富平以治水为主线推进乡村振兴的调研；二是对富平县</w:t>
            </w:r>
            <w:r>
              <w:rPr>
                <w:rFonts w:ascii="仿宋_GB2312" w:hAnsi="仿宋_GB2312" w:cs="仿宋_GB2312" w:eastAsia="仿宋_GB2312"/>
                <w:sz w:val="21"/>
              </w:rPr>
              <w:t>“五水协同”先进经验做法的总结；三是富平县“五网融合”构建现代水网实施方案的编制；四是对陕西省“缺水少绿”典型地区（富平县）治水兴水能力提升路径的研究。</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560"/>
              <w:jc w:val="both"/>
            </w:pPr>
            <w:r>
              <w:rPr>
                <w:rFonts w:ascii="仿宋_GB2312" w:hAnsi="仿宋_GB2312" w:cs="仿宋_GB2312" w:eastAsia="仿宋_GB2312"/>
                <w:sz w:val="21"/>
              </w:rPr>
              <w:t>二、采购内容及技术要求</w:t>
            </w:r>
          </w:p>
          <w:p>
            <w:pPr>
              <w:pStyle w:val="null3"/>
              <w:ind w:firstLine="560"/>
              <w:jc w:val="both"/>
            </w:pPr>
            <w:r>
              <w:rPr>
                <w:rFonts w:ascii="仿宋_GB2312" w:hAnsi="仿宋_GB2312" w:cs="仿宋_GB2312" w:eastAsia="仿宋_GB2312"/>
                <w:sz w:val="21"/>
              </w:rPr>
              <w:t>供应商需围绕富平县</w:t>
            </w:r>
            <w:r>
              <w:rPr>
                <w:rFonts w:ascii="仿宋_GB2312" w:hAnsi="仿宋_GB2312" w:cs="仿宋_GB2312" w:eastAsia="仿宋_GB2312"/>
                <w:sz w:val="21"/>
              </w:rPr>
              <w:t>“缺水少绿”典型特征及“五水协同”治水实践，完成以下四项核心研究及编制任务：</w:t>
            </w:r>
          </w:p>
          <w:p>
            <w:pPr>
              <w:pStyle w:val="null3"/>
              <w:ind w:firstLine="560"/>
              <w:jc w:val="both"/>
            </w:pPr>
            <w:r>
              <w:rPr>
                <w:rFonts w:ascii="仿宋_GB2312" w:hAnsi="仿宋_GB2312" w:cs="仿宋_GB2312" w:eastAsia="仿宋_GB2312"/>
                <w:sz w:val="21"/>
              </w:rPr>
              <w:t>1、富平以治水为主线推进乡村振兴的调研</w:t>
            </w:r>
          </w:p>
          <w:p>
            <w:pPr>
              <w:pStyle w:val="null3"/>
              <w:ind w:firstLine="560"/>
              <w:jc w:val="both"/>
            </w:pPr>
            <w:r>
              <w:rPr>
                <w:rFonts w:ascii="仿宋_GB2312" w:hAnsi="仿宋_GB2312" w:cs="仿宋_GB2312" w:eastAsia="仿宋_GB2312"/>
                <w:sz w:val="21"/>
              </w:rPr>
              <w:t>深入富平县各乡镇、村组及涉水企业开展实地调研，全面梳理富平县近年来以治水为牵引，推进</w:t>
            </w:r>
            <w:r>
              <w:rPr>
                <w:rFonts w:ascii="仿宋_GB2312" w:hAnsi="仿宋_GB2312" w:cs="仿宋_GB2312" w:eastAsia="仿宋_GB2312"/>
                <w:sz w:val="21"/>
              </w:rPr>
              <w:t>“山水林田塬城村”一体化建设的实践历程。</w:t>
            </w:r>
          </w:p>
          <w:p>
            <w:pPr>
              <w:pStyle w:val="null3"/>
              <w:ind w:firstLine="560"/>
              <w:jc w:val="both"/>
            </w:pPr>
            <w:r>
              <w:rPr>
                <w:rFonts w:ascii="仿宋_GB2312" w:hAnsi="仿宋_GB2312" w:cs="仿宋_GB2312" w:eastAsia="仿宋_GB2312"/>
                <w:sz w:val="21"/>
              </w:rPr>
              <w:t>分析治水在改善农村人居环境、带动特色产业（如柿子、奶山羊等）发展、促进生态富民等方面的具体成效与数据支撑。</w:t>
            </w:r>
          </w:p>
          <w:p>
            <w:pPr>
              <w:pStyle w:val="null3"/>
              <w:ind w:firstLine="560"/>
              <w:jc w:val="both"/>
            </w:pPr>
            <w:r>
              <w:rPr>
                <w:rFonts w:ascii="仿宋_GB2312" w:hAnsi="仿宋_GB2312" w:cs="仿宋_GB2312" w:eastAsia="仿宋_GB2312"/>
                <w:sz w:val="21"/>
              </w:rPr>
              <w:t>2、富平县“五水协同”先进经验做法总结</w:t>
            </w:r>
          </w:p>
          <w:p>
            <w:pPr>
              <w:pStyle w:val="null3"/>
              <w:ind w:firstLine="560"/>
              <w:jc w:val="both"/>
            </w:pPr>
            <w:r>
              <w:rPr>
                <w:rFonts w:ascii="仿宋_GB2312" w:hAnsi="仿宋_GB2312" w:cs="仿宋_GB2312" w:eastAsia="仿宋_GB2312"/>
                <w:sz w:val="21"/>
              </w:rPr>
              <w:t>系统提炼富平县在统筹</w:t>
            </w:r>
            <w:r>
              <w:rPr>
                <w:rFonts w:ascii="仿宋_GB2312" w:hAnsi="仿宋_GB2312" w:cs="仿宋_GB2312" w:eastAsia="仿宋_GB2312"/>
                <w:sz w:val="21"/>
              </w:rPr>
              <w:t>“水资源、水环境、水生态、水安全、水价值”方面的创新举措。</w:t>
            </w:r>
          </w:p>
          <w:p>
            <w:pPr>
              <w:pStyle w:val="null3"/>
              <w:ind w:firstLine="560"/>
              <w:jc w:val="both"/>
            </w:pPr>
            <w:r>
              <w:rPr>
                <w:rFonts w:ascii="仿宋_GB2312" w:hAnsi="仿宋_GB2312" w:cs="仿宋_GB2312" w:eastAsia="仿宋_GB2312"/>
                <w:sz w:val="21"/>
              </w:rPr>
              <w:t>总结在节水优先、空间均衡、系统治理（如石川河与温泉河复苏、地下水超采治理、小流域综合治理等）方面的典型模式，形成具有推广价值的</w:t>
            </w:r>
            <w:r>
              <w:rPr>
                <w:rFonts w:ascii="仿宋_GB2312" w:hAnsi="仿宋_GB2312" w:cs="仿宋_GB2312" w:eastAsia="仿宋_GB2312"/>
                <w:sz w:val="21"/>
              </w:rPr>
              <w:t>“富平治水经验”报告或典型案例集。</w:t>
            </w:r>
          </w:p>
          <w:p>
            <w:pPr>
              <w:pStyle w:val="null3"/>
              <w:ind w:firstLine="560"/>
              <w:jc w:val="both"/>
            </w:pPr>
            <w:r>
              <w:rPr>
                <w:rFonts w:ascii="仿宋_GB2312" w:hAnsi="仿宋_GB2312" w:cs="仿宋_GB2312" w:eastAsia="仿宋_GB2312"/>
                <w:sz w:val="21"/>
              </w:rPr>
              <w:t>3、富平县“五网融合”构建现代水网实施方案编制</w:t>
            </w:r>
          </w:p>
          <w:p>
            <w:pPr>
              <w:pStyle w:val="null3"/>
              <w:ind w:firstLine="560"/>
              <w:jc w:val="both"/>
            </w:pPr>
            <w:r>
              <w:rPr>
                <w:rFonts w:ascii="仿宋_GB2312" w:hAnsi="仿宋_GB2312" w:cs="仿宋_GB2312" w:eastAsia="仿宋_GB2312"/>
                <w:sz w:val="21"/>
              </w:rPr>
              <w:t>衔接国家及陕西省、渭南市水网建设规划，结合富平县实际，科学编制</w:t>
            </w:r>
            <w:r>
              <w:rPr>
                <w:rFonts w:ascii="仿宋_GB2312" w:hAnsi="仿宋_GB2312" w:cs="仿宋_GB2312" w:eastAsia="仿宋_GB2312"/>
                <w:sz w:val="21"/>
              </w:rPr>
              <w:t>“五网融合”（水网与交通、能源、信息等网络融合）实施方案。</w:t>
            </w:r>
          </w:p>
          <w:p>
            <w:pPr>
              <w:pStyle w:val="null3"/>
              <w:ind w:firstLine="560"/>
              <w:jc w:val="both"/>
            </w:pPr>
            <w:r>
              <w:rPr>
                <w:rFonts w:ascii="仿宋_GB2312" w:hAnsi="仿宋_GB2312" w:cs="仿宋_GB2312" w:eastAsia="仿宋_GB2312"/>
                <w:sz w:val="21"/>
              </w:rPr>
              <w:t>提出构建</w:t>
            </w:r>
            <w:r>
              <w:rPr>
                <w:rFonts w:ascii="仿宋_GB2312" w:hAnsi="仿宋_GB2312" w:cs="仿宋_GB2312" w:eastAsia="仿宋_GB2312"/>
                <w:sz w:val="21"/>
              </w:rPr>
              <w:t>“三河筑基、七水兴富、五干共济、多点调蓄”的水网空间布局，明确供水安全保障、防洪排涝减灾、水生态环境修复治理、高效智慧管水四大任务的具体项目库与实施路径。</w:t>
            </w:r>
          </w:p>
          <w:p>
            <w:pPr>
              <w:pStyle w:val="null3"/>
              <w:ind w:firstLine="560"/>
              <w:jc w:val="both"/>
            </w:pPr>
            <w:r>
              <w:rPr>
                <w:rFonts w:ascii="仿宋_GB2312" w:hAnsi="仿宋_GB2312" w:cs="仿宋_GB2312" w:eastAsia="仿宋_GB2312"/>
                <w:sz w:val="21"/>
              </w:rPr>
              <w:t>4、陕西省“缺水少绿”典型地区治水兴水能力提升路径研究立足富平县作为陕西省“缺水少绿”典型地区的县情，深入剖析当前水利发展面临的瓶颈与挑战。</w:t>
            </w:r>
          </w:p>
          <w:p>
            <w:pPr>
              <w:pStyle w:val="null3"/>
              <w:ind w:firstLine="560"/>
              <w:jc w:val="both"/>
            </w:pPr>
            <w:r>
              <w:rPr>
                <w:rFonts w:ascii="仿宋_GB2312" w:hAnsi="仿宋_GB2312" w:cs="仿宋_GB2312" w:eastAsia="仿宋_GB2312"/>
                <w:sz w:val="21"/>
              </w:rPr>
              <w:t>从体制机制创新、水资源优化配置、水生态产品价值实现（水价值转化）等方面，研究提出提升区域治水兴水能力、实现人与自然和谐共生现代化的前瞻性路径与对策建议。</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560"/>
              <w:jc w:val="both"/>
            </w:pPr>
            <w:r>
              <w:rPr>
                <w:rFonts w:ascii="仿宋_GB2312" w:hAnsi="仿宋_GB2312" w:cs="仿宋_GB2312" w:eastAsia="仿宋_GB2312"/>
                <w:sz w:val="21"/>
              </w:rPr>
              <w:t>三、成果交付要求</w:t>
            </w:r>
          </w:p>
          <w:p>
            <w:pPr>
              <w:pStyle w:val="null3"/>
              <w:ind w:firstLine="560"/>
              <w:jc w:val="both"/>
            </w:pPr>
            <w:r>
              <w:rPr>
                <w:rFonts w:ascii="仿宋_GB2312" w:hAnsi="仿宋_GB2312" w:cs="仿宋_GB2312" w:eastAsia="仿宋_GB2312"/>
                <w:sz w:val="21"/>
              </w:rPr>
              <w:t>1、成果形式：提交上述四项课题的正式研究报告/实施方案（含电子版及纸质版），并配合完成专家评审及修改完善工作。</w:t>
            </w:r>
          </w:p>
          <w:p>
            <w:pPr>
              <w:pStyle w:val="null3"/>
              <w:ind w:firstLine="560"/>
              <w:jc w:val="both"/>
            </w:pPr>
            <w:r>
              <w:rPr>
                <w:rFonts w:ascii="仿宋_GB2312" w:hAnsi="仿宋_GB2312" w:cs="仿宋_GB2312" w:eastAsia="仿宋_GB2312"/>
                <w:sz w:val="21"/>
              </w:rPr>
              <w:t>2、成果质量：符合国家及陕西省关于水利规划、乡村振兴等相关政策导向和技术规范。</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满⾜磋商⽂件及采购⼈要求。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满⾜磋商⽂件及采购⼈要求。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满⾜磋商⽂件及采购⼈要求。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自合同签订之日起180日历天。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单位应负责在项目验收前将项目过程中产生的全部资料整理归档，并提交至采购方。2、对整个项目的验收包括是否实现了采购人在响应文件中所要求的服务内容，是否与成交单位提出的解决方案完全一致。3、本项目的最终验收由采购人、成交单位共同进行。4、验收依据：合同文本及合同补充文件（条款）；竞争性磋商文件；竞争性磋商响应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进度款，提交初步成果并经采购人确认后，达到付款条件起10个工作日内，支付合同总金额的60.0%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进度款，全部工作完成并通过验收后，达到付款条件起10个工作日内，支付合同总金额的10.0%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2、未按照合同要求提供服务或服务质量不能满足服务要求和标准，采购人有权终止合同，并对供方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根据采购⽂件要求及合同约定执⾏；事业单位参与投标时，可不提供社会保障资⾦和税收缴纳证明；依法免税或不需要缴纳社会保障资⾦的供应商，应提供相应证明⽂件，证明其依法免税或不需要缴纳社会保障资⾦；⾃然⼈（仅限中国公⺠）参与投标时，只须提供⾝份证复印件。2.为顺利推进政府采购电⼦化交易平台应⽤⼯作，供应商需要在线提交所有通过电⼦化交易平台实施的政府采购项⽬的响应⽂件，确定成交后，根据采购⼈要求，成交供应商向代理机构提交纸质版磋商响应⽂件⽤于项⽬存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 应提供其有效的登记证书复印件；（5）供应商是个体工商户的，应提供其有效的“营业执照”复印件；（6）供应商是自然人的，应提供其有效的自然人身份证明复印件。 2、提供可满足履行合同所需设备和专业技术能力的证明材料或承诺。 3、提供响应文件递交截止时间前六个月内至少一个月的纳税证明或完税证明，依法免税的单位应提供相关证明材料；时间以税款所属时期为准。 4、提供响应文件递交截止时间前近六个月内至少一个月的社会保障资金缴存单据或社保机构开具的社会保险参保缴费情况证明，依法不需要缴纳社会保障资金的单位应提供相关证明材料。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扫描件或复印件，应满足以下要求：①资信证明须为递交响应文件截止时间前三个月内由供应商开户银行出具。②无论开具银行是否标明“复印无效”，供应商提供的复印件在本次投标中予以认可 (即不因 “复印无效 ”字样而认定资信证明复印件无效）。③银行出具的存款证明不能替代银行资信证明。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信用查询截图</w:t>
            </w:r>
          </w:p>
        </w:tc>
        <w:tc>
          <w:tcPr>
            <w:tcW w:type="dxa" w:w="3322"/>
          </w:tcPr>
          <w:p>
            <w:pPr>
              <w:pStyle w:val="null3"/>
            </w:pPr>
            <w:r>
              <w:rPr>
                <w:rFonts w:ascii="仿宋_GB2312" w:hAnsi="仿宋_GB2312" w:cs="仿宋_GB2312" w:eastAsia="仿宋_GB2312"/>
              </w:rPr>
              <w:t>供应商未被列入信用中国网站(www.creditchina.gov.cn)“重大税收违法失信主体”；未被列入中国执行信息公开网(https://zxgk.court.gov.cn)“失信被执行人”；不处于中国政府采购网(www.ccgp. gov.cn)“政府采购严重违法失信行为信息记录”中的禁止参加政府采购活动期间。</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法定代表人证明书或授权委托书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提供法定代表人授权书（附法定代表人、被授权人身份证复印件），法定代表人直接参加磋商，须提供法定代表人身份证明及身份证复印件）。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本项目不接受联合体投标，提供非联合体投标声明。</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磋商响应⽂件格式</w:t>
            </w:r>
          </w:p>
        </w:tc>
        <w:tc>
          <w:tcPr>
            <w:tcW w:type="dxa" w:w="3322"/>
          </w:tcPr>
          <w:p>
            <w:pPr>
              <w:pStyle w:val="null3"/>
            </w:pPr>
            <w:r>
              <w:rPr>
                <w:rFonts w:ascii="仿宋_GB2312" w:hAnsi="仿宋_GB2312" w:cs="仿宋_GB2312" w:eastAsia="仿宋_GB2312"/>
              </w:rPr>
              <w:t>应符合“竞争性磋商响应⽂件格式”要求（不得因⽂件排序限制和影响供应商响应）。</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磋商响应⽂件的签署盖章</w:t>
            </w:r>
          </w:p>
        </w:tc>
        <w:tc>
          <w:tcPr>
            <w:tcW w:type="dxa" w:w="3322"/>
          </w:tcPr>
          <w:p>
            <w:pPr>
              <w:pStyle w:val="null3"/>
            </w:pPr>
            <w:r>
              <w:rPr>
                <w:rFonts w:ascii="仿宋_GB2312" w:hAnsi="仿宋_GB2312" w:cs="仿宋_GB2312" w:eastAsia="仿宋_GB2312"/>
              </w:rPr>
              <w:t>磋商响应⽂件的签署盖章 应符合竞争性磋商响应⽂件要求。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响应⽂件报价</w:t>
            </w:r>
          </w:p>
        </w:tc>
        <w:tc>
          <w:tcPr>
            <w:tcW w:type="dxa" w:w="3322"/>
          </w:tcPr>
          <w:p>
            <w:pPr>
              <w:pStyle w:val="null3"/>
            </w:pPr>
            <w:r>
              <w:rPr>
                <w:rFonts w:ascii="仿宋_GB2312" w:hAnsi="仿宋_GB2312" w:cs="仿宋_GB2312" w:eastAsia="仿宋_GB2312"/>
              </w:rPr>
              <w:t>报价唯⼀，磋商报价符合唯⼀性要求、响应报价表填写符合要求、报价货币符合磋商⽂件要求、报价数量与要求符合并未出现漏项、未超出采购预算和磋商⽂件规定的各分项最⾼限价；只能有⼀个有效报价，不得提交选择性报价，按要求提交⼆次或多次报价，且每轮报价不超过采购预算⾦额或最⾼限价或磋商⼩组认为低于成本价的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磋商响应⽂件内容</w:t>
            </w:r>
          </w:p>
        </w:tc>
        <w:tc>
          <w:tcPr>
            <w:tcW w:type="dxa" w:w="3322"/>
          </w:tcPr>
          <w:p>
            <w:pPr>
              <w:pStyle w:val="null3"/>
            </w:pPr>
            <w:r>
              <w:rPr>
                <w:rFonts w:ascii="仿宋_GB2312" w:hAnsi="仿宋_GB2312" w:cs="仿宋_GB2312" w:eastAsia="仿宋_GB2312"/>
              </w:rPr>
              <w:t>磋商响应⽂件内容符合磋商⽂件要求； 磋商响应⽂件中项⽬名称、项⽬编号与本项⽬⼀致；磋商响应⽂件⾄少包括：（1）响应函、（2）响应报价表、（3）供应商资格证明、（4）采购需求偏离表、（5）供应商承诺书。</w:t>
            </w:r>
          </w:p>
        </w:tc>
        <w:tc>
          <w:tcPr>
            <w:tcW w:type="dxa" w:w="1661"/>
          </w:tcPr>
          <w:p>
            <w:pPr>
              <w:pStyle w:val="null3"/>
            </w:pPr>
            <w:r>
              <w:rPr>
                <w:rFonts w:ascii="仿宋_GB2312" w:hAnsi="仿宋_GB2312" w:cs="仿宋_GB2312" w:eastAsia="仿宋_GB2312"/>
              </w:rPr>
              <w:t>采购需求偏离表.pdf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 xml:space="preserve"> 应满⾜磋商⽂件中的规定。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应满⾜磋商⽂件中要求的服务期限。</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对磋商⽂件条款响应</w:t>
            </w:r>
          </w:p>
        </w:tc>
        <w:tc>
          <w:tcPr>
            <w:tcW w:type="dxa" w:w="3322"/>
          </w:tcPr>
          <w:p>
            <w:pPr>
              <w:pStyle w:val="null3"/>
            </w:pPr>
            <w:r>
              <w:rPr>
                <w:rFonts w:ascii="仿宋_GB2312" w:hAnsi="仿宋_GB2312" w:cs="仿宋_GB2312" w:eastAsia="仿宋_GB2312"/>
              </w:rPr>
              <w:t>要求实质性条款全部响应，不能有采购⼈不能接受的附加条件，未有负偏离且响应的内容未含有采购⼈不能接受的附加条件。</w:t>
            </w:r>
          </w:p>
        </w:tc>
        <w:tc>
          <w:tcPr>
            <w:tcW w:type="dxa" w:w="1661"/>
          </w:tcPr>
          <w:p>
            <w:pPr>
              <w:pStyle w:val="null3"/>
            </w:pPr>
            <w:r>
              <w:rPr>
                <w:rFonts w:ascii="仿宋_GB2312" w:hAnsi="仿宋_GB2312" w:cs="仿宋_GB2312" w:eastAsia="仿宋_GB2312"/>
              </w:rPr>
              <w:t>采购需求偏离表.pdf</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项目的理解和认识</w:t>
            </w:r>
          </w:p>
        </w:tc>
        <w:tc>
          <w:tcPr>
            <w:tcW w:type="dxa" w:w="2492"/>
          </w:tcPr>
          <w:p>
            <w:pPr>
              <w:pStyle w:val="null3"/>
            </w:pPr>
            <w:r>
              <w:rPr>
                <w:rFonts w:ascii="仿宋_GB2312" w:hAnsi="仿宋_GB2312" w:cs="仿宋_GB2312" w:eastAsia="仿宋_GB2312"/>
              </w:rPr>
              <w:t>供应商根据采购需求编制对本项目的理解及认识方案，内容包含：①项目背景分析；②项目基本情况；③项目重难点分析；④项目目标的理解。以上内容专门针对本项目且符合本项目实际需求的得8分，每缺一项内容扣2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工作方案</w:t>
            </w:r>
          </w:p>
        </w:tc>
        <w:tc>
          <w:tcPr>
            <w:tcW w:type="dxa" w:w="2492"/>
          </w:tcPr>
          <w:p>
            <w:pPr>
              <w:pStyle w:val="null3"/>
            </w:pPr>
            <w:r>
              <w:rPr>
                <w:rFonts w:ascii="仿宋_GB2312" w:hAnsi="仿宋_GB2312" w:cs="仿宋_GB2312" w:eastAsia="仿宋_GB2312"/>
              </w:rPr>
              <w:t>供应商针对本项目工作方案及内容，内容包含： ①工作思路；②工作依据及原则；③工作范围；④工作方法；⑤主要工作内容；⑥报告编制结构框架及内容以上内容专门针对本项目且符合本项目实际需求的得24分，每缺一项内容扣4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提供针对本项目的质量保障措施方案，内容包括但不限于：①质量管理体系；②质量保障措施；③质量控制手段；④成果保障措施等。以上内容专门针对本项目且符合本项目实际需求的得4分，每缺一项内容扣1分，若上述内容存在瑕疵，每存在1处瑕疵扣0.5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项目进度及保障措施</w:t>
            </w:r>
          </w:p>
        </w:tc>
        <w:tc>
          <w:tcPr>
            <w:tcW w:type="dxa" w:w="2492"/>
          </w:tcPr>
          <w:p>
            <w:pPr>
              <w:pStyle w:val="null3"/>
            </w:pPr>
            <w:r>
              <w:rPr>
                <w:rFonts w:ascii="仿宋_GB2312" w:hAnsi="仿宋_GB2312" w:cs="仿宋_GB2312" w:eastAsia="仿宋_GB2312"/>
              </w:rPr>
              <w:t>供应商提供针对本项目的进度保障措施方案，内容包括但不限于：①提供合理的工作计划及时间节点；②项目进度保障措施等。 以上内容专门针对本项目且符合本项目实际需求的得2分，每缺一项内容扣1分，若上述内容存在瑕疵，每存在1处瑕疵扣0.5分，扣完为止。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供应商根据本项目采购需求编制针对性保密措施方案，有相应的保障细则，内容包含：①保密范围；②保密方式及措施。 以上内容专门针对本项目且符合本项目实际需求的得2分，每缺一项内容扣1分，若上述内容存在瑕疵，每存在1处瑕疵扣0.5分，扣完为止。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企业资质</w:t>
            </w:r>
          </w:p>
        </w:tc>
        <w:tc>
          <w:tcPr>
            <w:tcW w:type="dxa" w:w="2492"/>
          </w:tcPr>
          <w:p>
            <w:pPr>
              <w:pStyle w:val="null3"/>
            </w:pPr>
            <w:r>
              <w:rPr>
                <w:rFonts w:ascii="仿宋_GB2312" w:hAnsi="仿宋_GB2312" w:cs="仿宋_GB2312" w:eastAsia="仿宋_GB2312"/>
              </w:rPr>
              <w:t>供应商具备工程设计水利行业乙级资质的，得2分；具备工程设计水利行业甲级及以上资质的，得4分；其余不得分，满分4分。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具备相关专业高级职称的得4分，中级职称得2分，其余不得分。 【注：（1）响应文件中须提供项目负责人身份证、职称证、在职证明复印件，并加盖单位公章。证明人员与供应商具有劳动关系的证明材料可提供以下任意一种：①劳动合同及工资发放记录、②企业为其近三个月中任意一个月社保缴纳证明）。（2）相关专业包括但不限于水利类（水利水电、水文水资源）。】</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团队服务人员（除项目负责人）具备与本项目相关专业高级技术职称证书，每提供1人得2分；具备与本项目相关专业中级技术职称证书，每提供1人得1分，满分14分。 【注：（1）响应文件中须提供项目团队人员职称证书等复印件并加盖单位公章。（2）相关专业包括但不限于水利类（水利水电、水文水资源），同一人员不重复得分。】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服务响应保障</w:t>
            </w:r>
          </w:p>
        </w:tc>
        <w:tc>
          <w:tcPr>
            <w:tcW w:type="dxa" w:w="2492"/>
          </w:tcPr>
          <w:p>
            <w:pPr>
              <w:pStyle w:val="null3"/>
            </w:pPr>
            <w:r>
              <w:rPr>
                <w:rFonts w:ascii="仿宋_GB2312" w:hAnsi="仿宋_GB2312" w:cs="仿宋_GB2312" w:eastAsia="仿宋_GB2312"/>
              </w:rPr>
              <w:t>供应商针对本项目提供正式有效的售后服务响应机制承诺，明确承诺：1.紧急技术问题（成果文件错漏、专家评审在即、行政主管部门核查）（2分）：承诺1小时内专人对接响应，提供7×12小时联络热线、项目专属工作群，满足得满分2分；仅承诺2小时及以内响应得50%分值1分；承诺超过2小时不得分；未提供固定联络渠道证明扣全部分值。2.一般咨询、资料修正需求（2分）：承诺2小时内出具修改思路/回复意见得满分2分；承诺4小时及以内得50%分值1分，超出4小时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 服务质量目标承诺（2分）：供应商提供针对本项目的服务质量管控标准、质量目标、质量验收、整改保障等专项承诺，承诺完整并加盖公章得2分，未提供或不完整不得分。 2. 服务进度目标承诺（2分）：供应商提供针对本项目的服务期限节点、进度管控、进度保障、逾期补救措施等专项承诺，承诺完整并加盖公章得2分，未提供或不完整不得分。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 2023 年 1 月 1 日至响应文件递交截止之日供应商完成的类似项目，每提供一份得3分，满分15分。 【注：以合同协议书关键页或中标通知书证明为准，提供扫描件并加盖鲜章。】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1.经资格审查、符合性审查合格的响应文件，其投标报价为有效投标报价，对符合政策性扣减的供应商的有效投标价格进行政策性扣减，并依据扣减后的价格（评审价格）进行价格评审。 2.满足磋商文件要求且投标报价最低的为评标基准价，其价格分为满分。 价格分按照下列公式计算：报价得分=（评标基准价/有效报价）×价格权重×100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详见附件：采购需求偏离表.pdf</w:t>
      </w:r>
    </w:p>
    <w:p>
      <w:pPr>
        <w:pStyle w:val="null3"/>
        <w:ind w:firstLine="960"/>
      </w:pPr>
      <w:r>
        <w:rPr>
          <w:rFonts w:ascii="仿宋_GB2312" w:hAnsi="仿宋_GB2312" w:cs="仿宋_GB2312" w:eastAsia="仿宋_GB2312"/>
        </w:rPr>
        <w:t>详见附件：磋商方案.pdf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