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版本号：THHDZB-2600920260729002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第十五届中国创新创业大赛陕西赛区会务服务采购项目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THHDZB-26009</w:t>
      </w:r>
      <w:r>
        <w:br/>
      </w:r>
      <w:r>
        <w:br/>
      </w:r>
      <w:r>
        <w:br/>
      </w:r>
    </w:p>
    <w:p>
      <w:pPr>
        <w:pStyle w:val="null3"/>
        <w:jc w:val="center"/>
        <w:outlineLvl w:val="2"/>
      </w:pPr>
      <w:r>
        <w:rPr>
          <w:rFonts w:ascii="仿宋_GB2312" w:hAnsi="仿宋_GB2312" w:cs="仿宋_GB2312" w:eastAsia="仿宋_GB2312"/>
          <w:sz w:val="28"/>
          <w:b/>
        </w:rPr>
        <w:t>西安高新技术产业开发区科技创新局</w:t>
      </w:r>
    </w:p>
    <w:p>
      <w:pPr>
        <w:pStyle w:val="null3"/>
        <w:jc w:val="center"/>
        <w:outlineLvl w:val="2"/>
      </w:pPr>
      <w:r>
        <w:rPr>
          <w:rFonts w:ascii="仿宋_GB2312" w:hAnsi="仿宋_GB2312" w:cs="仿宋_GB2312" w:eastAsia="仿宋_GB2312"/>
          <w:sz w:val="28"/>
          <w:b/>
        </w:rPr>
        <w:t>陕西泰和弘德招标有限公司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陕西泰和弘德招标有限公司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西安高新技术产业开发区科技创新局</w:t>
      </w:r>
      <w:r>
        <w:rPr>
          <w:rFonts w:ascii="仿宋_GB2312" w:hAnsi="仿宋_GB2312" w:cs="仿宋_GB2312" w:eastAsia="仿宋_GB2312"/>
        </w:rPr>
        <w:t>委托，拟对</w:t>
      </w:r>
      <w:r>
        <w:rPr>
          <w:rFonts w:ascii="仿宋_GB2312" w:hAnsi="仿宋_GB2312" w:cs="仿宋_GB2312" w:eastAsia="仿宋_GB2312"/>
        </w:rPr>
        <w:t>第十五届中国创新创业大赛陕西赛区会务服务采购项目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THHDZB-26009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第十五届中国创新创业大赛陕西赛区会务服务采购项目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第十五届中国创新创业大赛陕西赛区会务服务采购项目；主要包括大赛期间各个环节及阶段的会务服务工作。包括但不限于大赛场地选址布置搭建、赛事推广、跟踪服务、会场设备、物料制作、评委专家邀请、人员接待及摄影、摄像、直播全程影像资料采集剪辑留存等赛事会务服务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采购包1（第十五届中国创新创业大赛陕西赛区会务服务采购项目）：属于专门面向中小企业采购。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2、授权委托书：法定代表人直接参加投标的，须提供法定代表人身份证明；法定代表人授权代表参加投标的，须提供法定代表人授权委托书（需同时提供投标截止时间前三个月内任意一个月供应商为其缴纳的社保证明材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西安高新技术产业开发区科技创新局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西安市丝路创智谷5号楼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18192651916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陕西泰和弘德招标有限公司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陕西省西安市高新区锦业路71号中航富士达产业园1号楼4层405室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17629270201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采购包1：1,835,870.00元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代理服务费收费标准：以成交金额为基数，参照《招标代理服务收费管理暂行办法》（计价格[2002]1980号）和《关于招标代理服务收费有关问题的通知》（发改办价格[2003]857号）文件规定执行。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西安高新技术产业开发区科技创新局</w:t>
      </w:r>
      <w:r>
        <w:rPr>
          <w:rFonts w:ascii="仿宋_GB2312" w:hAnsi="仿宋_GB2312" w:cs="仿宋_GB2312" w:eastAsia="仿宋_GB2312"/>
        </w:rPr>
        <w:t>和</w:t>
      </w:r>
      <w:r>
        <w:rPr>
          <w:rFonts w:ascii="仿宋_GB2312" w:hAnsi="仿宋_GB2312" w:cs="仿宋_GB2312" w:eastAsia="仿宋_GB2312"/>
        </w:rPr>
        <w:t>陕西泰和弘德招标有限公司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西安高新技术产业开发区科技创新局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陕西泰和弘德招标有限公司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西安高新技术产业开发区科技创新局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陕西泰和弘德招标有限公司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乙方应保证所提供的服务或其任何一部分均不会侵犯任何第三方的专利权、商标权或著作权;所有成果资料归甲方所有。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（1）招标文件、投标文件、澄清表（函）；（2）本合同及附件文本；（3）合同签订时国家及行业现行的标准和技术规范。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陕西泰和弘德招标有限公司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陕西泰和弘德招标有限公司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陕西泰和弘德招标有限公司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联系人：王鑫</w:t>
      </w:r>
    </w:p>
    <w:p>
      <w:pPr>
        <w:pStyle w:val="null3"/>
      </w:pPr>
      <w:r>
        <w:rPr>
          <w:rFonts w:ascii="仿宋_GB2312" w:hAnsi="仿宋_GB2312" w:cs="仿宋_GB2312" w:eastAsia="仿宋_GB2312"/>
        </w:rPr>
        <w:t>联系电话：17629270201</w:t>
      </w:r>
    </w:p>
    <w:p>
      <w:pPr>
        <w:pStyle w:val="null3"/>
      </w:pPr>
      <w:r>
        <w:rPr>
          <w:rFonts w:ascii="仿宋_GB2312" w:hAnsi="仿宋_GB2312" w:cs="仿宋_GB2312" w:eastAsia="仿宋_GB2312"/>
        </w:rPr>
        <w:t>地址：西安市高新区锦业路71号中航富士达产业园1号楼4层405室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第十五届中国创新创业大赛陕西赛区会务服务采购项目；主要包括大赛期间各个环节及阶段的会务服务工作。包括但不限于大赛场地选址布置搭建、赛事推广、跟踪服务、会场设备、物料制作、评委专家邀请、人员接待及摄影、摄像、直播全程影像资料采集剪辑留存等赛事会务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1,835,870.00</w:t>
      </w:r>
    </w:p>
    <w:p>
      <w:pPr>
        <w:pStyle w:val="null3"/>
      </w:pPr>
      <w:r>
        <w:rPr>
          <w:rFonts w:ascii="仿宋_GB2312" w:hAnsi="仿宋_GB2312" w:cs="仿宋_GB2312" w:eastAsia="仿宋_GB2312"/>
        </w:rPr>
        <w:t>采购包最高限价（元）: 1,835,870.00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第十五届中国创新创业大赛陕西赛区会务服务采购项目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1,835,870.00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标的名称：第十五届中国创新创业大赛陕西赛区会务服务采购项目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rPr>
              <w:t>一、服务内容</w:t>
            </w:r>
          </w:p>
          <w:p>
            <w:pPr>
              <w:pStyle w:val="null3"/>
              <w:ind w:firstLine="640"/>
              <w:jc w:val="both"/>
            </w:pPr>
            <w:r>
              <w:rPr>
                <w:rFonts w:ascii="仿宋_GB2312" w:hAnsi="仿宋_GB2312" w:cs="仿宋_GB2312" w:eastAsia="仿宋_GB2312"/>
                <w:color w:val="000000"/>
              </w:rPr>
              <w:t>主要包括大赛期间各个环节及阶段的会务服务工作。包括但不限于大赛场地选址布置搭建、赛事推广、跟踪服务、会场设备、物料制作、评委专家邀请、人员接待及摄影、摄像、直播全程影像资料采集剪辑留存等赛事会务服务工作。</w:t>
            </w:r>
          </w:p>
          <w:p>
            <w:pPr>
              <w:pStyle w:val="null3"/>
              <w:ind w:firstLine="640"/>
              <w:jc w:val="both"/>
            </w:pPr>
            <w:r>
              <w:rPr>
                <w:rFonts w:ascii="仿宋_GB2312" w:hAnsi="仿宋_GB2312" w:cs="仿宋_GB2312" w:eastAsia="仿宋_GB2312"/>
              </w:rPr>
              <w:t>二、采购内容</w:t>
            </w:r>
          </w:p>
          <w:p>
            <w:pPr>
              <w:pStyle w:val="null3"/>
              <w:ind w:firstLine="640"/>
              <w:jc w:val="both"/>
            </w:pPr>
            <w:r>
              <w:rPr>
                <w:rFonts w:ascii="仿宋_GB2312" w:hAnsi="仿宋_GB2312" w:cs="仿宋_GB2312" w:eastAsia="仿宋_GB2312"/>
                <w:color w:val="000000"/>
              </w:rPr>
              <w:t>（一）项目背景</w:t>
            </w:r>
          </w:p>
          <w:p>
            <w:pPr>
              <w:pStyle w:val="null3"/>
              <w:ind w:firstLine="640"/>
              <w:jc w:val="both"/>
            </w:pPr>
            <w:r>
              <w:rPr>
                <w:rFonts w:ascii="仿宋_GB2312" w:hAnsi="仿宋_GB2312" w:cs="仿宋_GB2312" w:eastAsia="仿宋_GB2312"/>
                <w:color w:val="000000"/>
              </w:rPr>
              <w:t>为深入贯彻落实党中央、国务院重大决策部署，遵循政府引导、公益支持、市场助力原则，围绕发展高科技、实现产业化、加快形成新质生产力，推动“四链”深度融合，搭建“政、产、学、研、用、金、服、园”多向对接交流平台，工业和信息化部火炬高技术产业开发中心决定举办第十五届中国创新创业大赛。</w:t>
            </w:r>
          </w:p>
          <w:p>
            <w:pPr>
              <w:pStyle w:val="null3"/>
              <w:ind w:firstLine="640"/>
              <w:jc w:val="both"/>
            </w:pPr>
            <w:r>
              <w:rPr>
                <w:rFonts w:ascii="仿宋_GB2312" w:hAnsi="仿宋_GB2312" w:cs="仿宋_GB2312" w:eastAsia="仿宋_GB2312"/>
                <w:color w:val="000000"/>
              </w:rPr>
              <w:t>（二）项目整体要求</w:t>
            </w:r>
          </w:p>
          <w:p>
            <w:pPr>
              <w:pStyle w:val="null3"/>
              <w:ind w:firstLine="640"/>
              <w:jc w:val="both"/>
            </w:pPr>
            <w:r>
              <w:rPr>
                <w:rFonts w:ascii="仿宋_GB2312" w:hAnsi="仿宋_GB2312" w:cs="仿宋_GB2312" w:eastAsia="仿宋_GB2312"/>
                <w:color w:val="000000"/>
              </w:rPr>
              <w:t>1.该项目为第十五届中国创新创业大赛陕西赛区会务服务采购项目，主要内容：本次大赛按照新一代信息技术、生物医药、高端装备制造、新材料和新能源、新能源汽车、节能环保五个行业分类报名。大赛采用线上与线下结合方式进行。陕西赛区优胜企业将推荐参加中国创新创业大赛全国赛。供应商需按照采购人要求，承担关于第十五届中国创新创业大赛陕西赛区会务服务相关赛事规划及安排。包括但不限于：负责第十五届中国创新创业大赛陕西赛区会务服务采购项目整体方案策划及执行，包括项目招募、赛事组织、嘉宾邀约、宣传推广、议程安排、现场执行、物料制作、摄影摄像等。</w:t>
            </w:r>
          </w:p>
          <w:p>
            <w:pPr>
              <w:pStyle w:val="null3"/>
              <w:ind w:firstLine="640"/>
              <w:jc w:val="both"/>
            </w:pPr>
            <w:r>
              <w:rPr>
                <w:rFonts w:ascii="仿宋_GB2312" w:hAnsi="仿宋_GB2312" w:cs="仿宋_GB2312" w:eastAsia="仿宋_GB2312"/>
                <w:color w:val="000000"/>
              </w:rPr>
              <w:t>2.项目主题：因创而聚，向新同行</w:t>
            </w:r>
          </w:p>
          <w:p>
            <w:pPr>
              <w:pStyle w:val="null3"/>
              <w:ind w:firstLine="640"/>
              <w:jc w:val="both"/>
            </w:pPr>
            <w:r>
              <w:rPr>
                <w:rFonts w:ascii="仿宋_GB2312" w:hAnsi="仿宋_GB2312" w:cs="仿宋_GB2312" w:eastAsia="仿宋_GB2312"/>
                <w:color w:val="000000"/>
              </w:rPr>
              <w:t>3.项目名称:第十五届中国创新创业大赛陕西赛区会务服务采购项目</w:t>
            </w:r>
          </w:p>
          <w:p>
            <w:pPr>
              <w:pStyle w:val="null3"/>
              <w:ind w:firstLine="640"/>
              <w:jc w:val="both"/>
            </w:pPr>
            <w:r>
              <w:rPr>
                <w:rFonts w:ascii="仿宋_GB2312" w:hAnsi="仿宋_GB2312" w:cs="仿宋_GB2312" w:eastAsia="仿宋_GB2312"/>
                <w:color w:val="000000"/>
              </w:rPr>
              <w:t>4.采购需求：工作内容包含项目招募、赛事组织、嘉宾邀约、议程安排、现场执行、物料制作等内容。</w:t>
            </w:r>
          </w:p>
          <w:p>
            <w:pPr>
              <w:pStyle w:val="null3"/>
              <w:ind w:firstLine="640"/>
              <w:jc w:val="both"/>
            </w:pPr>
            <w:r>
              <w:rPr>
                <w:rFonts w:ascii="仿宋_GB2312" w:hAnsi="仿宋_GB2312" w:cs="仿宋_GB2312" w:eastAsia="仿宋_GB2312"/>
                <w:color w:val="000000"/>
              </w:rPr>
              <w:t>（三）赛事专家评委邀请及服务保障。</w:t>
            </w:r>
          </w:p>
          <w:p>
            <w:pPr>
              <w:pStyle w:val="null3"/>
              <w:ind w:firstLine="640"/>
              <w:jc w:val="both"/>
            </w:pPr>
            <w:r>
              <w:rPr>
                <w:rFonts w:ascii="仿宋_GB2312" w:hAnsi="仿宋_GB2312" w:cs="仿宋_GB2312" w:eastAsia="仿宋_GB2312"/>
                <w:color w:val="000000"/>
              </w:rPr>
              <w:t>负责大赛专家评委邀请及全流程服务保障工作，包括组建覆盖技术、投资、财务领域的专家库（初赛不少于20人、决赛不少于30人，投资类专家，省外国家级专家等）专家库并开展专家资质审核、邀请确认、赛前培训、评审系统支持，以及大赛期间交通接驳、食宿安排、现场联络、评审辅助、分数汇总等服务；</w:t>
            </w:r>
          </w:p>
          <w:p>
            <w:pPr>
              <w:pStyle w:val="null3"/>
              <w:ind w:firstLine="640"/>
              <w:jc w:val="both"/>
            </w:pPr>
            <w:r>
              <w:rPr>
                <w:rFonts w:ascii="仿宋_GB2312" w:hAnsi="仿宋_GB2312" w:cs="仿宋_GB2312" w:eastAsia="仿宋_GB2312"/>
                <w:color w:val="000000"/>
              </w:rPr>
              <w:t>（四）大赛宣传要求</w:t>
            </w:r>
          </w:p>
          <w:p>
            <w:pPr>
              <w:pStyle w:val="null3"/>
              <w:ind w:firstLine="640"/>
              <w:jc w:val="both"/>
            </w:pPr>
            <w:r>
              <w:rPr>
                <w:rFonts w:ascii="仿宋_GB2312" w:hAnsi="仿宋_GB2312" w:cs="仿宋_GB2312" w:eastAsia="仿宋_GB2312"/>
                <w:color w:val="000000"/>
              </w:rPr>
              <w:t>负责大赛期间全周期宣传推广服务，涵盖赛前预热、启动仪式、初赛、决赛等。服务内容包括但不限于：邀请不少于20家全国主流媒体（腾讯新闻、新浪新闻、搜狐网、凤凰网、网易新闻</w:t>
            </w:r>
            <w:r>
              <w:rPr>
                <w:rFonts w:ascii="仿宋_GB2312" w:hAnsi="仿宋_GB2312" w:cs="仿宋_GB2312" w:eastAsia="仿宋_GB2312"/>
                <w:color w:val="000000"/>
              </w:rPr>
              <w:t>等</w:t>
            </w:r>
            <w:r>
              <w:rPr>
                <w:rFonts w:ascii="仿宋_GB2312" w:hAnsi="仿宋_GB2312" w:cs="仿宋_GB2312" w:eastAsia="仿宋_GB2312"/>
                <w:color w:val="000000"/>
              </w:rPr>
              <w:t>）陕西区域中省市主流媒体及垂直财经媒体参与赛事报道，做好媒体接待与通稿分发。主流媒体矩阵联动报道、大赛专题页面搭建、短视频拍摄及发布、启动仪式及决赛网络直播等，全面提升大赛品牌影响力与覆盖面，所有产出内容需经采购方审核确认。</w:t>
            </w:r>
          </w:p>
          <w:p>
            <w:pPr>
              <w:pStyle w:val="null3"/>
              <w:ind w:firstLine="640"/>
              <w:jc w:val="both"/>
            </w:pPr>
            <w:r>
              <w:rPr>
                <w:rFonts w:ascii="仿宋_GB2312" w:hAnsi="仿宋_GB2312" w:cs="仿宋_GB2312" w:eastAsia="仿宋_GB2312"/>
                <w:color w:val="000000"/>
              </w:rPr>
              <w:t>（五）相关活动设计搭建及会场服务</w:t>
            </w:r>
          </w:p>
          <w:p>
            <w:pPr>
              <w:pStyle w:val="null3"/>
              <w:ind w:firstLine="640"/>
              <w:jc w:val="both"/>
            </w:pPr>
            <w:r>
              <w:rPr>
                <w:rFonts w:ascii="仿宋_GB2312" w:hAnsi="仿宋_GB2312" w:cs="仿宋_GB2312" w:eastAsia="仿宋_GB2312"/>
                <w:color w:val="000000"/>
              </w:rPr>
              <w:t>负责现场设计搭建与全流程会务服务，包括但不限于：活动主视觉、舞台、灯光、音响、评审区、签到区等氛围设计搭建；如采用LED 屏，屏幕分辨率不能低于P2级、评审系统终端、直播设备等硬件保障；现场流程管控、人员动线规划、嘉宾及评委接待、赛场秩序维护、应急预案制定与执行；赛后撤场及物资归档。要求供应商具备大型赛事活动执行经验，确保各环节无缝衔接，保障赛事零事故运行。</w:t>
            </w:r>
          </w:p>
          <w:p>
            <w:pPr>
              <w:pStyle w:val="null3"/>
              <w:ind w:firstLine="640"/>
              <w:jc w:val="both"/>
            </w:pPr>
            <w:r>
              <w:rPr>
                <w:rFonts w:ascii="仿宋_GB2312" w:hAnsi="仿宋_GB2312" w:cs="仿宋_GB2312" w:eastAsia="仿宋_GB2312"/>
                <w:color w:val="000000"/>
              </w:rPr>
              <w:t>（六）服务商要有大局意识、配合意识，积极主动配合采购人的相关要求，同时服务商内部也要相互紧密配合（应安排专人负责对接），做到工作上、服务上无缝衔接，确保高质量、高标准按时做好会议服务保障各项工作。</w:t>
            </w:r>
          </w:p>
          <w:p>
            <w:pPr>
              <w:pStyle w:val="null3"/>
              <w:ind w:firstLine="640"/>
              <w:jc w:val="both"/>
            </w:pPr>
            <w:r>
              <w:rPr>
                <w:rFonts w:ascii="仿宋_GB2312" w:hAnsi="仿宋_GB2312" w:cs="仿宋_GB2312" w:eastAsia="仿宋_GB2312"/>
                <w:color w:val="000000"/>
              </w:rPr>
              <w:t>（七）本项目预算包含本次活动招标代理费用、集中办公费用和会后审计工作费用。</w:t>
            </w:r>
          </w:p>
          <w:p>
            <w:pPr>
              <w:pStyle w:val="null3"/>
              <w:ind w:firstLine="640"/>
              <w:jc w:val="both"/>
            </w:pPr>
            <w:r>
              <w:rPr>
                <w:rFonts w:ascii="仿宋_GB2312" w:hAnsi="仿宋_GB2312" w:cs="仿宋_GB2312" w:eastAsia="仿宋_GB2312"/>
                <w:color w:val="000000"/>
              </w:rPr>
              <w:t>（八）服务团队: 供应商须为本项目组建一支不少于10人的专职服务团队。至少包含项目负责人1名（需提供投标截止时前三个月任意一个月供应商为其缴纳的社保证明材料）、</w:t>
            </w:r>
            <w:r>
              <w:rPr>
                <w:rFonts w:ascii="仿宋_GB2312" w:hAnsi="仿宋_GB2312" w:cs="仿宋_GB2312" w:eastAsia="仿宋_GB2312"/>
                <w:color w:val="000000"/>
              </w:rPr>
              <w:t>创意设计人员2名、赛事执行及接待人员5名、宣传推广人员1名、后勤及财务人员1名。</w:t>
            </w:r>
            <w:r>
              <w:rPr>
                <w:rFonts w:ascii="仿宋_GB2312" w:hAnsi="仿宋_GB2312" w:cs="仿宋_GB2312" w:eastAsia="仿宋_GB2312"/>
                <w:color w:val="000000"/>
              </w:rPr>
              <w:t>核心成员未经采购方同意不得随意更换，确保服务响应及时、执行到位。</w:t>
            </w:r>
          </w:p>
          <w:p>
            <w:pPr>
              <w:pStyle w:val="null3"/>
              <w:ind w:firstLine="640"/>
              <w:jc w:val="both"/>
            </w:pPr>
            <w:r>
              <w:rPr>
                <w:rFonts w:ascii="仿宋_GB2312" w:hAnsi="仿宋_GB2312" w:cs="仿宋_GB2312" w:eastAsia="仿宋_GB2312"/>
                <w:color w:val="000000"/>
              </w:rPr>
              <w:t>（九）服务期限:自合同签订之日起至活动结束之日止。</w:t>
            </w:r>
          </w:p>
          <w:p>
            <w:pPr>
              <w:pStyle w:val="null3"/>
              <w:ind w:firstLine="640"/>
              <w:jc w:val="both"/>
            </w:pPr>
            <w:r>
              <w:rPr>
                <w:rFonts w:ascii="仿宋_GB2312" w:hAnsi="仿宋_GB2312" w:cs="仿宋_GB2312" w:eastAsia="仿宋_GB2312"/>
              </w:rPr>
              <w:t>三、其他要求</w:t>
            </w:r>
          </w:p>
          <w:p>
            <w:pPr>
              <w:pStyle w:val="null3"/>
              <w:ind w:firstLine="640"/>
              <w:jc w:val="both"/>
            </w:pPr>
            <w:r>
              <w:rPr>
                <w:rFonts w:ascii="仿宋_GB2312" w:hAnsi="仿宋_GB2312" w:cs="仿宋_GB2312" w:eastAsia="仿宋_GB2312"/>
                <w:color w:val="000000"/>
              </w:rPr>
              <w:t>（一）进度要求</w:t>
            </w:r>
          </w:p>
          <w:p>
            <w:pPr>
              <w:pStyle w:val="null3"/>
              <w:ind w:firstLine="640"/>
              <w:jc w:val="both"/>
            </w:pPr>
            <w:r>
              <w:rPr>
                <w:rFonts w:ascii="仿宋_GB2312" w:hAnsi="仿宋_GB2312" w:cs="仿宋_GB2312" w:eastAsia="仿宋_GB2312"/>
                <w:color w:val="000000"/>
              </w:rPr>
              <w:t>按照每阶段项目活动要求，</w:t>
            </w:r>
            <w:r>
              <w:rPr>
                <w:rFonts w:ascii="仿宋_GB2312" w:hAnsi="仿宋_GB2312" w:cs="仿宋_GB2312" w:eastAsia="仿宋_GB2312"/>
                <w:color w:val="000000"/>
              </w:rPr>
              <w:t>至少</w:t>
            </w:r>
            <w:r>
              <w:rPr>
                <w:rFonts w:ascii="仿宋_GB2312" w:hAnsi="仿宋_GB2312" w:cs="仿宋_GB2312" w:eastAsia="仿宋_GB2312"/>
                <w:color w:val="000000"/>
              </w:rPr>
              <w:t>提前一天全部完成，并经采购人验收合格。</w:t>
            </w:r>
          </w:p>
          <w:p>
            <w:pPr>
              <w:pStyle w:val="null3"/>
              <w:ind w:firstLine="640"/>
              <w:jc w:val="both"/>
            </w:pPr>
            <w:r>
              <w:rPr>
                <w:rFonts w:ascii="仿宋_GB2312" w:hAnsi="仿宋_GB2312" w:cs="仿宋_GB2312" w:eastAsia="仿宋_GB2312"/>
                <w:color w:val="000000"/>
              </w:rPr>
              <w:t>（二）质量验收标准或规范</w:t>
            </w:r>
          </w:p>
          <w:p>
            <w:pPr>
              <w:pStyle w:val="null3"/>
              <w:ind w:firstLine="640"/>
              <w:jc w:val="both"/>
            </w:pPr>
            <w:r>
              <w:rPr>
                <w:rFonts w:ascii="仿宋_GB2312" w:hAnsi="仿宋_GB2312" w:cs="仿宋_GB2312" w:eastAsia="仿宋_GB2312"/>
                <w:color w:val="000000"/>
              </w:rPr>
              <w:t>合格、符合采购人要求。</w:t>
            </w:r>
          </w:p>
          <w:p>
            <w:pPr>
              <w:pStyle w:val="null3"/>
              <w:ind w:firstLine="640"/>
              <w:jc w:val="both"/>
            </w:pPr>
            <w:r>
              <w:rPr>
                <w:rFonts w:ascii="仿宋_GB2312" w:hAnsi="仿宋_GB2312" w:cs="仿宋_GB2312" w:eastAsia="仿宋_GB2312"/>
                <w:color w:val="000000"/>
              </w:rPr>
              <w:t>（三）知识产权、保密规定、违约责任等</w:t>
            </w:r>
          </w:p>
          <w:p>
            <w:pPr>
              <w:pStyle w:val="null3"/>
              <w:ind w:firstLine="640"/>
              <w:jc w:val="both"/>
            </w:pP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成交供应商无论出于任何目的如在其他地方使用该成果，必须经采购人同意方可使用。否则，采购人有权要求终止涉及到该成交知识产权的任何使用活动并保留追究卖方相应的法律责任的权利。</w:t>
            </w:r>
            <w:r>
              <w:br/>
            </w:r>
            <w:r>
              <w:rPr>
                <w:rFonts w:ascii="仿宋_GB2312" w:hAnsi="仿宋_GB2312" w:cs="仿宋_GB2312" w:eastAsia="仿宋_GB2312"/>
                <w:color w:val="000000"/>
              </w:rPr>
              <w:t xml:space="preserve">    2</w:t>
            </w:r>
            <w:r>
              <w:rPr>
                <w:rFonts w:ascii="仿宋_GB2312" w:hAnsi="仿宋_GB2312" w:cs="仿宋_GB2312" w:eastAsia="仿宋_GB2312"/>
                <w:color w:val="000000"/>
              </w:rPr>
              <w:t>.</w:t>
            </w:r>
            <w:r>
              <w:rPr>
                <w:rFonts w:ascii="仿宋_GB2312" w:hAnsi="仿宋_GB2312" w:cs="仿宋_GB2312" w:eastAsia="仿宋_GB2312"/>
                <w:color w:val="000000"/>
              </w:rPr>
              <w:t>成交供应商为执行本合同而提供的技术资料使用权归采购人所有。</w:t>
            </w:r>
            <w:r>
              <w:br/>
            </w:r>
            <w:r>
              <w:rPr>
                <w:rFonts w:ascii="仿宋_GB2312" w:hAnsi="仿宋_GB2312" w:cs="仿宋_GB2312" w:eastAsia="仿宋_GB2312"/>
                <w:color w:val="000000"/>
              </w:rPr>
              <w:t xml:space="preserve">    3</w:t>
            </w:r>
            <w:r>
              <w:rPr>
                <w:rFonts w:ascii="仿宋_GB2312" w:hAnsi="仿宋_GB2312" w:cs="仿宋_GB2312" w:eastAsia="仿宋_GB2312"/>
                <w:color w:val="000000"/>
              </w:rPr>
              <w:t>.</w:t>
            </w:r>
            <w:r>
              <w:rPr>
                <w:rFonts w:ascii="仿宋_GB2312" w:hAnsi="仿宋_GB2312" w:cs="仿宋_GB2312" w:eastAsia="仿宋_GB2312"/>
                <w:color w:val="000000"/>
              </w:rPr>
              <w:t>采购人和成交供应商双方应永久恪守因签署或履行本合同而获知的对方秘密信息及其它秘密资料。任何一方如将获知的对方秘密信息泄露给第三方，应赔偿因泄密而给对方造成的一切损失并承担相应的法律责任（包括刑事责任）。</w:t>
            </w:r>
          </w:p>
          <w:p>
            <w:pPr>
              <w:pStyle w:val="null3"/>
              <w:ind w:firstLine="640"/>
              <w:jc w:val="both"/>
            </w:pPr>
            <w:r>
              <w:rPr>
                <w:rFonts w:ascii="仿宋_GB2312" w:hAnsi="仿宋_GB2312" w:cs="仿宋_GB2312" w:eastAsia="仿宋_GB2312"/>
              </w:rPr>
              <w:t>四、商务要求</w:t>
            </w:r>
          </w:p>
          <w:p>
            <w:pPr>
              <w:pStyle w:val="null3"/>
              <w:ind w:firstLine="640"/>
              <w:jc w:val="left"/>
            </w:pPr>
            <w:r>
              <w:rPr>
                <w:rFonts w:ascii="仿宋_GB2312" w:hAnsi="仿宋_GB2312" w:cs="仿宋_GB2312" w:eastAsia="仿宋_GB2312"/>
                <w:color w:val="000000"/>
              </w:rPr>
              <w:t>1.服务期限：</w:t>
            </w:r>
            <w:r>
              <w:rPr>
                <w:rFonts w:ascii="仿宋_GB2312" w:hAnsi="仿宋_GB2312" w:cs="仿宋_GB2312" w:eastAsia="仿宋_GB2312"/>
                <w:color w:val="000000"/>
                <w:u w:val="single"/>
              </w:rPr>
              <w:t>自合同签订之日起至活动结束之日止</w:t>
            </w:r>
          </w:p>
          <w:p>
            <w:pPr>
              <w:pStyle w:val="null3"/>
              <w:ind w:firstLine="640"/>
              <w:jc w:val="left"/>
            </w:pPr>
            <w:r>
              <w:rPr>
                <w:rFonts w:ascii="仿宋_GB2312" w:hAnsi="仿宋_GB2312" w:cs="仿宋_GB2312" w:eastAsia="仿宋_GB2312"/>
                <w:color w:val="000000"/>
              </w:rPr>
              <w:t>2.服务地点：</w:t>
            </w:r>
            <w:r>
              <w:rPr>
                <w:rFonts w:ascii="仿宋_GB2312" w:hAnsi="仿宋_GB2312" w:cs="仿宋_GB2312" w:eastAsia="仿宋_GB2312"/>
                <w:color w:val="000000"/>
                <w:u w:val="single"/>
              </w:rPr>
              <w:t>西安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（响应文件格式-标的清单）本项目服务范围：第十五届中国创新创业大赛陕西赛区会务服务采购项目； 服务要求：符合招标文件有关技术、商务要求； 服务标准：符合国家及行业现行标准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自合同签订之日起至活动结束之日止。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 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进度款，活动顺利结束，且乙方将项目全部资料移交甲方，达到付款条件起30个工作日内，支付合同总金额的70.0%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3.4.1安全责任:乙方应对其工作人员在现场工作期间的一切行为负责，如安全事故责任及因此发生的人身损害赔偿和其它费用由乙方承担。 3.5.2保密条款:(1)成交供应商应严格遵守采购单位有关保密规定，不得泄漏一切机密;(2)在技术服务期间，成交供应商对接触到的有关采购单位商业活动、技术情报和技术资料等文件进行保密。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 2、基本资格条件承诺函</w:t>
            </w:r>
          </w:p>
        </w:tc>
        <w:tc>
          <w:tcPr>
            <w:tcW w:type="dxa" w:w="1661"/>
          </w:tcPr>
          <w:p>
            <w:pPr>
              <w:pStyle w:val="null3"/>
            </w:pPr>
            <w:r>
              <w:rPr>
                <w:rFonts w:ascii="仿宋_GB2312" w:hAnsi="仿宋_GB2312" w:cs="仿宋_GB2312" w:eastAsia="仿宋_GB2312"/>
              </w:rPr>
              <w:t>开标一览表 投标函 标的清单 投标文件封面 其他附件.投标文件格式.docx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基本资格条件承诺函</w:t>
            </w:r>
          </w:p>
        </w:tc>
        <w:tc>
          <w:tcPr>
            <w:tcW w:type="dxa" w:w="1661"/>
          </w:tcPr>
          <w:p>
            <w:pPr>
              <w:pStyle w:val="null3"/>
            </w:pPr>
            <w:r>
              <w:rPr>
                <w:rFonts w:ascii="仿宋_GB2312" w:hAnsi="仿宋_GB2312" w:cs="仿宋_GB2312" w:eastAsia="仿宋_GB2312"/>
              </w:rPr>
              <w:t>开标一览表 投标函 标的清单 投标文件封面 其他附件.投标文件格式.docx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标的清单 投标文件封面 其他附件.投标文件格式.docx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开标一览表 投标函 标的清单 投标文件封面 其他附件.投标文件格式.docx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法定代表人直接参加投标的，须提供法定代表人身份证明；法定代表人授权代表参加投标的，须提供法定代表人授权委托书（需同时提供投标截止时间前三个月内任意一个月供应商为其缴纳的社保证明材料）</w:t>
            </w:r>
          </w:p>
        </w:tc>
        <w:tc>
          <w:tcPr>
            <w:tcW w:type="dxa" w:w="1661"/>
          </w:tcPr>
          <w:p>
            <w:pPr>
              <w:pStyle w:val="null3"/>
            </w:pPr>
            <w:r>
              <w:rPr>
                <w:rFonts w:ascii="仿宋_GB2312" w:hAnsi="仿宋_GB2312" w:cs="仿宋_GB2312" w:eastAsia="仿宋_GB2312"/>
              </w:rPr>
              <w:t>开标一览表 投标函 标的清单 投标文件封面 其他附件.投标文件格式.docx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 其他附件.投标文件格式.docx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开标一览表 投标函 标的清单 投标文件封面 其他附件.投标文件格式.docx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报价唯一，且没有高于采购预算</w:t>
            </w:r>
          </w:p>
        </w:tc>
        <w:tc>
          <w:tcPr>
            <w:tcW w:type="dxa" w:w="1661"/>
          </w:tcPr>
          <w:p>
            <w:pPr>
              <w:pStyle w:val="null3"/>
            </w:pPr>
            <w:r>
              <w:rPr>
                <w:rFonts w:ascii="仿宋_GB2312" w:hAnsi="仿宋_GB2312" w:cs="仿宋_GB2312" w:eastAsia="仿宋_GB2312"/>
              </w:rPr>
              <w:t>开标一览表 投标函 标的清单 投标文件封面 其他附件.投标文件格式.docx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投标文件的签署、盖章符合招标文件要求，供应商递交的投标文件与本项目名称一致</w:t>
            </w:r>
          </w:p>
        </w:tc>
        <w:tc>
          <w:tcPr>
            <w:tcW w:type="dxa" w:w="1661"/>
          </w:tcPr>
          <w:p>
            <w:pPr>
              <w:pStyle w:val="null3"/>
            </w:pPr>
            <w:r>
              <w:rPr>
                <w:rFonts w:ascii="仿宋_GB2312" w:hAnsi="仿宋_GB2312" w:cs="仿宋_GB2312" w:eastAsia="仿宋_GB2312"/>
              </w:rPr>
              <w:t>开标一览表 投标函 标的清单 投标文件封面 其他附件.投标文件格式.docx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开标一览表 投标函 标的清单 投标文件封面 其他附件.投标文件格式.docx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开标一览表 投标函 标的清单 投标文件封面 其他附件.投标文件格式.docx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开标一览表 投标函 标的清单 投标文件封面 其他附件.投标文件格式.docx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供应商对项目的理解，内容包含但不限于①项目背景②项目需求③工作目标解读等进行综合评审。 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其他附件.投标文件格式.docx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供应商对项目的实施方案，内容包含但不限于①项目整体实施方案②活动场地搭建及布置方案③物料设计及制作方案④宣传及推广方案⑤现场卫生保洁等进行综合评审： 前述要求的内容均有描述且符合本项目要求的得20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其他附件.投标文件格式.docx</w:t>
            </w:r>
          </w:p>
        </w:tc>
      </w:tr>
      <w:tr>
        <w:tc>
          <w:tcPr>
            <w:tcW w:type="dxa" w:w="831"/>
            <w:vMerge/>
          </w:tcPr>
          <w:p/>
        </w:tc>
        <w:tc>
          <w:tcPr>
            <w:tcW w:type="dxa" w:w="1661"/>
          </w:tcPr>
          <w:p>
            <w:pPr>
              <w:pStyle w:val="null3"/>
            </w:pPr>
            <w:r>
              <w:rPr>
                <w:rFonts w:ascii="仿宋_GB2312" w:hAnsi="仿宋_GB2312" w:cs="仿宋_GB2312" w:eastAsia="仿宋_GB2312"/>
              </w:rPr>
              <w:t>重难点分析及解决措施</w:t>
            </w:r>
          </w:p>
        </w:tc>
        <w:tc>
          <w:tcPr>
            <w:tcW w:type="dxa" w:w="2492"/>
          </w:tcPr>
          <w:p>
            <w:pPr>
              <w:pStyle w:val="null3"/>
            </w:pPr>
            <w:r>
              <w:rPr>
                <w:rFonts w:ascii="仿宋_GB2312" w:hAnsi="仿宋_GB2312" w:cs="仿宋_GB2312" w:eastAsia="仿宋_GB2312"/>
              </w:rPr>
              <w:t>供应商提供针对本项目的重难点分析及解决措施，内容包含但不限于①针对本项目的重难点分析②针对重难点分析后的预防及解决措施等进行综合评审。 前述要求的内容均有描述且符合本项目要求的得6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其他附件.投标文件格式.docx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供应商提供针对本项目的进度计划，内容包含但不限于①项目整体进度计划安排②整体进度计划保证措施③活动当日现场流程安排等进行综合评审。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其他附件.投标文件格式.docx</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供应商提供针对本项目的质量保证方案，内容包括但不限于①质量管理体系②质量保障措施及手段等进行综合评审。前述要求的内容均有描述且符合本项目要求的得6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其他附件.投标文件格式.docx</w:t>
            </w:r>
          </w:p>
        </w:tc>
      </w:tr>
      <w:tr>
        <w:tc>
          <w:tcPr>
            <w:tcW w:type="dxa" w:w="831"/>
            <w:vMerge/>
          </w:tcPr>
          <w:p/>
        </w:tc>
        <w:tc>
          <w:tcPr>
            <w:tcW w:type="dxa" w:w="1661"/>
          </w:tcPr>
          <w:p>
            <w:pPr>
              <w:pStyle w:val="null3"/>
            </w:pPr>
            <w:r>
              <w:rPr>
                <w:rFonts w:ascii="仿宋_GB2312" w:hAnsi="仿宋_GB2312" w:cs="仿宋_GB2312" w:eastAsia="仿宋_GB2312"/>
              </w:rPr>
              <w:t>突发事件及安全保障方案</w:t>
            </w:r>
          </w:p>
        </w:tc>
        <w:tc>
          <w:tcPr>
            <w:tcW w:type="dxa" w:w="2492"/>
          </w:tcPr>
          <w:p>
            <w:pPr>
              <w:pStyle w:val="null3"/>
            </w:pPr>
            <w:r>
              <w:rPr>
                <w:rFonts w:ascii="仿宋_GB2312" w:hAnsi="仿宋_GB2312" w:cs="仿宋_GB2312" w:eastAsia="仿宋_GB2312"/>
              </w:rPr>
              <w:t>供应商提出针对于本项目的突发事件及安全保障方案，内容包含但不限于①应急预案②应急保障措施③安全预案④安全保障措施等进行综合评审。 前述要求的内容均有描述且符合本项目要求的得12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其他附件.投标文件格式.docx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提供针对本项目的服务团队，内容包含但不限于①岗位配置方案②岗位职责及分工③人员管理方案等进行综合评审；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其他附件.投标文件格式.docx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1.具有本科及以上学历，得2分； 注：学历须提供毕业证书或学信网证明资料； 2.具有3年及以上类似项目管理经验的计2分。 注：管理经验需提供有效证明材料，包括但不限于劳动合同或成果文件或公示公告等证明材料。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其他附件.投标文件格式.docx</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供应商提供针对本项目的人员培训方案，方案包括但不限于①接待岗位行为规范②接待服务礼仪等内容；前述要求的内容均有描述且符合本项目要求的得6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其他附件.投标文件格式.docx</w:t>
            </w:r>
          </w:p>
        </w:tc>
      </w:tr>
      <w:tr>
        <w:tc>
          <w:tcPr>
            <w:tcW w:type="dxa" w:w="831"/>
            <w:vMerge/>
          </w:tcPr>
          <w:p/>
        </w:tc>
        <w:tc>
          <w:tcPr>
            <w:tcW w:type="dxa" w:w="1661"/>
          </w:tcPr>
          <w:p>
            <w:pPr>
              <w:pStyle w:val="null3"/>
            </w:pPr>
            <w:r>
              <w:rPr>
                <w:rFonts w:ascii="仿宋_GB2312" w:hAnsi="仿宋_GB2312" w:cs="仿宋_GB2312" w:eastAsia="仿宋_GB2312"/>
              </w:rPr>
              <w:t>设备投入方案</w:t>
            </w:r>
          </w:p>
        </w:tc>
        <w:tc>
          <w:tcPr>
            <w:tcW w:type="dxa" w:w="2492"/>
          </w:tcPr>
          <w:p>
            <w:pPr>
              <w:pStyle w:val="null3"/>
            </w:pPr>
            <w:r>
              <w:rPr>
                <w:rFonts w:ascii="仿宋_GB2312" w:hAnsi="仿宋_GB2312" w:cs="仿宋_GB2312" w:eastAsia="仿宋_GB2312"/>
              </w:rPr>
              <w:t>供应商提供针对本项目的设备投入方案；方案包括但不限于①设备种类②设备用途说明等内容 前述要求的内容均有描述且符合本项目要求的得4分；每缺少一项要求的方案内容扣2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其他附件.投标文件格式.docx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提供自2023年6月以来，供应商承担的类似业绩合同复印件或扫描件。每提供1个得1分,最高5分。不提供不得分（以加盖公章的合同复印件为准）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其他附件.投标文件格式.docx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其他附件.投标文件格式.docx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为评标基准价，其价格分为满分。其他供应商的价格分统一按照下列公式计算：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其他附件.投标文件格式.docx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详见附件：其他附件.投标文件格式.docx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