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71CAB">
      <w:pPr>
        <w:keepNext w:val="0"/>
        <w:keepLines w:val="0"/>
        <w:pageBreakBefore w:val="0"/>
        <w:numPr>
          <w:ilvl w:val="0"/>
          <w:numId w:val="0"/>
        </w:numPr>
        <w:kinsoku/>
        <w:overflowPunct/>
        <w:topLinePunct w:val="0"/>
        <w:autoSpaceDE/>
        <w:autoSpaceDN/>
        <w:bidi w:val="0"/>
        <w:adjustRightInd/>
        <w:snapToGrid w:val="0"/>
        <w:spacing w:line="360" w:lineRule="auto"/>
        <w:ind w:left="0" w:leftChars="0" w:firstLine="0" w:firstLineChars="0"/>
        <w:jc w:val="center"/>
        <w:textAlignment w:val="auto"/>
        <w:rPr>
          <w:rFonts w:hint="eastAsia" w:ascii="仿宋" w:hAnsi="仿宋" w:eastAsia="仿宋" w:cs="仿宋"/>
          <w:b/>
          <w:bCs/>
          <w:sz w:val="32"/>
          <w:szCs w:val="32"/>
          <w:lang w:val="en-US" w:eastAsia="zh-CN"/>
        </w:rPr>
      </w:pPr>
      <w:bookmarkStart w:id="0" w:name="_GoBack"/>
      <w:bookmarkEnd w:id="0"/>
      <w:r>
        <w:rPr>
          <w:rFonts w:hint="eastAsia" w:ascii="仿宋" w:hAnsi="仿宋" w:eastAsia="仿宋" w:cs="仿宋"/>
          <w:b/>
          <w:bCs/>
          <w:sz w:val="32"/>
          <w:szCs w:val="32"/>
          <w:lang w:val="en-US" w:eastAsia="zh-CN"/>
        </w:rPr>
        <w:t>供货合同（参照）</w:t>
      </w:r>
    </w:p>
    <w:p w14:paraId="70D235BF">
      <w:pPr>
        <w:keepNext w:val="0"/>
        <w:keepLines w:val="0"/>
        <w:pageBreakBefore w:val="0"/>
        <w:numPr>
          <w:ilvl w:val="0"/>
          <w:numId w:val="0"/>
        </w:numPr>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依</w:t>
      </w:r>
      <w:r>
        <w:rPr>
          <w:rFonts w:hint="eastAsia" w:ascii="仿宋" w:hAnsi="仿宋" w:eastAsia="仿宋" w:cs="仿宋"/>
          <w:sz w:val="20"/>
          <w:szCs w:val="20"/>
          <w:highlight w:val="none"/>
        </w:rPr>
        <w:t>据《中华人民共和国</w:t>
      </w:r>
      <w:r>
        <w:rPr>
          <w:rFonts w:hint="eastAsia" w:ascii="仿宋" w:hAnsi="仿宋" w:eastAsia="仿宋" w:cs="仿宋"/>
          <w:sz w:val="20"/>
          <w:szCs w:val="20"/>
          <w:highlight w:val="none"/>
          <w:lang w:val="en-US" w:eastAsia="zh-CN"/>
        </w:rPr>
        <w:t>政府采购法</w:t>
      </w: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及其实施条例、《政府采购竞争性磋商采购方式管理暂行办法》、</w:t>
      </w:r>
      <w:r>
        <w:rPr>
          <w:rFonts w:hint="eastAsia" w:ascii="仿宋" w:hAnsi="仿宋" w:eastAsia="仿宋" w:cs="仿宋"/>
          <w:sz w:val="20"/>
          <w:szCs w:val="20"/>
          <w:highlight w:val="none"/>
        </w:rPr>
        <w:t>《中华人民共和国民法典》及相关法律法规的规定，甲乙双方在平等、互利的基础上，经充分协商，一致同意就以下条</w:t>
      </w:r>
      <w:r>
        <w:rPr>
          <w:rFonts w:hint="eastAsia" w:ascii="仿宋" w:hAnsi="仿宋" w:eastAsia="仿宋" w:cs="仿宋"/>
          <w:sz w:val="20"/>
          <w:szCs w:val="20"/>
        </w:rPr>
        <w:t xml:space="preserve">款订立本合同，共同信守执行。 </w:t>
      </w:r>
    </w:p>
    <w:p w14:paraId="645F53C3">
      <w:pPr>
        <w:keepNext w:val="0"/>
        <w:keepLines w:val="0"/>
        <w:pageBreakBefore w:val="0"/>
        <w:numPr>
          <w:ilvl w:val="0"/>
          <w:numId w:val="0"/>
        </w:numPr>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甲方</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采购人</w:t>
      </w:r>
      <w:r>
        <w:rPr>
          <w:rFonts w:hint="eastAsia" w:ascii="仿宋" w:hAnsi="仿宋" w:eastAsia="仿宋" w:cs="仿宋"/>
          <w:sz w:val="20"/>
          <w:szCs w:val="20"/>
          <w:lang w:eastAsia="zh-CN"/>
        </w:rPr>
        <w:t>）</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lang w:val="en-US" w:eastAsia="zh-CN"/>
        </w:rPr>
        <w:t xml:space="preserve">                              </w:t>
      </w:r>
    </w:p>
    <w:p w14:paraId="4DC56231">
      <w:pPr>
        <w:keepNext w:val="0"/>
        <w:keepLines w:val="0"/>
        <w:pageBreakBefore w:val="0"/>
        <w:numPr>
          <w:ilvl w:val="0"/>
          <w:numId w:val="0"/>
        </w:numPr>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联系人：</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lang w:val="en-US" w:eastAsia="zh-CN"/>
        </w:rPr>
        <w:t xml:space="preserve">                            </w:t>
      </w:r>
    </w:p>
    <w:p w14:paraId="7BAC6038">
      <w:pPr>
        <w:keepNext w:val="0"/>
        <w:keepLines w:val="0"/>
        <w:pageBreakBefore w:val="0"/>
        <w:numPr>
          <w:ilvl w:val="0"/>
          <w:numId w:val="0"/>
        </w:numPr>
        <w:kinsoku/>
        <w:overflowPunct/>
        <w:topLinePunct w:val="0"/>
        <w:autoSpaceDE/>
        <w:autoSpaceDN/>
        <w:bidi w:val="0"/>
        <w:adjustRightInd/>
        <w:snapToGrid w:val="0"/>
        <w:spacing w:line="360" w:lineRule="auto"/>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电</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话</w:t>
      </w:r>
      <w:r>
        <w:rPr>
          <w:rFonts w:hint="eastAsia" w:ascii="仿宋" w:hAnsi="仿宋" w:eastAsia="仿宋" w:cs="仿宋"/>
          <w:sz w:val="20"/>
          <w:szCs w:val="20"/>
          <w:lang w:eastAsia="zh-CN"/>
        </w:rPr>
        <w:t>：</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 xml:space="preserve"> </w:t>
      </w:r>
      <w:r>
        <w:rPr>
          <w:rFonts w:hint="eastAsia" w:ascii="仿宋" w:hAnsi="仿宋" w:eastAsia="仿宋" w:cs="仿宋"/>
          <w:sz w:val="20"/>
          <w:szCs w:val="20"/>
          <w:lang w:val="en-US" w:eastAsia="zh-CN"/>
        </w:rPr>
        <w:t xml:space="preserve">                             </w:t>
      </w:r>
    </w:p>
    <w:p w14:paraId="5A6162F3">
      <w:pPr>
        <w:keepNext w:val="0"/>
        <w:keepLines w:val="0"/>
        <w:pageBreakBefore w:val="0"/>
        <w:numPr>
          <w:ilvl w:val="0"/>
          <w:numId w:val="0"/>
        </w:numPr>
        <w:kinsoku/>
        <w:overflowPunct/>
        <w:topLinePunct w:val="0"/>
        <w:autoSpaceDE/>
        <w:autoSpaceDN/>
        <w:bidi w:val="0"/>
        <w:adjustRightInd/>
        <w:snapToGrid w:val="0"/>
        <w:spacing w:line="360" w:lineRule="auto"/>
        <w:textAlignment w:val="auto"/>
        <w:rPr>
          <w:rFonts w:hint="eastAsia" w:ascii="仿宋" w:hAnsi="仿宋" w:eastAsia="仿宋" w:cs="仿宋"/>
          <w:sz w:val="20"/>
          <w:szCs w:val="20"/>
        </w:rPr>
      </w:pPr>
    </w:p>
    <w:p w14:paraId="7C4EA17A">
      <w:pPr>
        <w:keepNext w:val="0"/>
        <w:keepLines w:val="0"/>
        <w:pageBreakBefore w:val="0"/>
        <w:numPr>
          <w:ilvl w:val="0"/>
          <w:numId w:val="0"/>
        </w:numPr>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乙方</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成交供应商</w:t>
      </w:r>
      <w:r>
        <w:rPr>
          <w:rFonts w:hint="eastAsia" w:ascii="仿宋" w:hAnsi="仿宋" w:eastAsia="仿宋" w:cs="仿宋"/>
          <w:sz w:val="20"/>
          <w:szCs w:val="20"/>
          <w:lang w:eastAsia="zh-CN"/>
        </w:rPr>
        <w:t>）</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14:paraId="17F5255A">
      <w:pPr>
        <w:keepNext w:val="0"/>
        <w:keepLines w:val="0"/>
        <w:pageBreakBefore w:val="0"/>
        <w:numPr>
          <w:ilvl w:val="0"/>
          <w:numId w:val="0"/>
        </w:numPr>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lang w:val="en-US" w:eastAsia="zh-CN"/>
        </w:rPr>
      </w:pPr>
      <w:r>
        <w:rPr>
          <w:rFonts w:hint="eastAsia" w:ascii="仿宋" w:hAnsi="仿宋" w:eastAsia="仿宋" w:cs="仿宋"/>
          <w:sz w:val="20"/>
          <w:szCs w:val="20"/>
        </w:rPr>
        <w:t>联系人：</w:t>
      </w:r>
      <w:r>
        <w:rPr>
          <w:rFonts w:hint="eastAsia" w:ascii="仿宋" w:hAnsi="仿宋" w:eastAsia="仿宋" w:cs="仿宋"/>
          <w:sz w:val="20"/>
          <w:szCs w:val="20"/>
          <w:u w:val="single"/>
          <w:lang w:val="en-US" w:eastAsia="zh-CN"/>
        </w:rPr>
        <w:t xml:space="preserve">                             </w:t>
      </w:r>
    </w:p>
    <w:p w14:paraId="5F56DA67">
      <w:pPr>
        <w:keepNext w:val="0"/>
        <w:keepLines w:val="0"/>
        <w:pageBreakBefore w:val="0"/>
        <w:numPr>
          <w:ilvl w:val="0"/>
          <w:numId w:val="0"/>
        </w:numPr>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lang w:eastAsia="zh-CN"/>
        </w:rPr>
      </w:pPr>
      <w:r>
        <w:rPr>
          <w:rFonts w:hint="eastAsia" w:ascii="仿宋" w:hAnsi="仿宋" w:eastAsia="仿宋" w:cs="仿宋"/>
          <w:sz w:val="20"/>
          <w:szCs w:val="20"/>
        </w:rPr>
        <w:t>电</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话</w:t>
      </w:r>
      <w:r>
        <w:rPr>
          <w:rFonts w:hint="eastAsia" w:ascii="仿宋" w:hAnsi="仿宋" w:eastAsia="仿宋" w:cs="仿宋"/>
          <w:sz w:val="20"/>
          <w:szCs w:val="20"/>
          <w:lang w:eastAsia="zh-CN"/>
        </w:rPr>
        <w:t>：</w:t>
      </w:r>
      <w:r>
        <w:rPr>
          <w:rFonts w:hint="eastAsia" w:ascii="仿宋" w:hAnsi="仿宋" w:eastAsia="仿宋" w:cs="仿宋"/>
          <w:sz w:val="20"/>
          <w:szCs w:val="20"/>
          <w:u w:val="single"/>
          <w:lang w:val="en-US" w:eastAsia="zh-CN"/>
        </w:rPr>
        <w:t xml:space="preserve">                             </w:t>
      </w:r>
    </w:p>
    <w:p w14:paraId="22F3ABF3">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rPr>
      </w:pPr>
      <w:r>
        <w:rPr>
          <w:rFonts w:hint="eastAsia" w:ascii="仿宋" w:hAnsi="仿宋" w:eastAsia="仿宋" w:cs="仿宋"/>
          <w:b/>
          <w:sz w:val="20"/>
          <w:szCs w:val="20"/>
        </w:rPr>
        <w:t>一、交货条件：</w:t>
      </w:r>
    </w:p>
    <w:p w14:paraId="6D8BAF3D">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rPr>
        <w:t>（一）交货</w:t>
      </w:r>
      <w:r>
        <w:rPr>
          <w:rFonts w:hint="eastAsia" w:ascii="仿宋" w:hAnsi="仿宋" w:eastAsia="仿宋" w:cs="仿宋"/>
          <w:sz w:val="20"/>
          <w:szCs w:val="20"/>
          <w:highlight w:val="none"/>
        </w:rPr>
        <w:t>地点：</w:t>
      </w:r>
      <w:r>
        <w:rPr>
          <w:rFonts w:hint="eastAsia" w:ascii="仿宋" w:hAnsi="仿宋" w:eastAsia="仿宋" w:cs="仿宋"/>
          <w:sz w:val="20"/>
          <w:szCs w:val="20"/>
          <w:highlight w:val="none"/>
          <w:lang w:val="en-US" w:eastAsia="zh-CN"/>
        </w:rPr>
        <w:t>甲方</w:t>
      </w:r>
      <w:r>
        <w:rPr>
          <w:rFonts w:hint="eastAsia" w:ascii="仿宋" w:hAnsi="仿宋" w:eastAsia="仿宋" w:cs="仿宋"/>
          <w:sz w:val="20"/>
          <w:szCs w:val="20"/>
          <w:highlight w:val="none"/>
        </w:rPr>
        <w:t>指定地点。</w:t>
      </w:r>
    </w:p>
    <w:p w14:paraId="37C27449">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color w:val="000000"/>
          <w:sz w:val="20"/>
          <w:szCs w:val="20"/>
          <w:highlight w:val="none"/>
        </w:rPr>
      </w:pPr>
      <w:r>
        <w:rPr>
          <w:rFonts w:hint="eastAsia" w:ascii="仿宋" w:hAnsi="仿宋" w:eastAsia="仿宋" w:cs="仿宋"/>
          <w:sz w:val="20"/>
          <w:szCs w:val="20"/>
          <w:highlight w:val="none"/>
        </w:rPr>
        <w:t>（二）</w:t>
      </w:r>
      <w:r>
        <w:rPr>
          <w:rFonts w:hint="eastAsia" w:ascii="仿宋" w:hAnsi="仿宋" w:eastAsia="仿宋" w:cs="仿宋"/>
          <w:color w:val="000000"/>
          <w:sz w:val="20"/>
          <w:szCs w:val="20"/>
          <w:highlight w:val="none"/>
        </w:rPr>
        <w:t>全部设备须在</w:t>
      </w:r>
      <w:r>
        <w:rPr>
          <w:rFonts w:hint="eastAsia" w:ascii="仿宋" w:hAnsi="仿宋" w:eastAsia="仿宋" w:cs="仿宋"/>
          <w:color w:val="000000"/>
          <w:sz w:val="20"/>
          <w:szCs w:val="20"/>
          <w:highlight w:val="none"/>
          <w:lang w:val="en-US" w:eastAsia="zh-CN"/>
        </w:rPr>
        <w:t>乙方</w:t>
      </w:r>
      <w:r>
        <w:rPr>
          <w:rFonts w:hint="eastAsia" w:ascii="仿宋" w:hAnsi="仿宋" w:eastAsia="仿宋" w:cs="仿宋"/>
          <w:color w:val="000000"/>
          <w:sz w:val="20"/>
          <w:szCs w:val="20"/>
          <w:highlight w:val="none"/>
        </w:rPr>
        <w:t>接到</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通知</w:t>
      </w:r>
      <w:r>
        <w:rPr>
          <w:rFonts w:hint="eastAsia" w:ascii="仿宋" w:hAnsi="仿宋" w:eastAsia="仿宋" w:cs="仿宋"/>
          <w:color w:val="000000"/>
          <w:sz w:val="20"/>
          <w:szCs w:val="20"/>
          <w:highlight w:val="none"/>
        </w:rPr>
        <w:t>后</w:t>
      </w:r>
      <w:r>
        <w:rPr>
          <w:rFonts w:hint="eastAsia" w:ascii="仿宋" w:hAnsi="仿宋" w:eastAsia="仿宋" w:cs="仿宋"/>
          <w:color w:val="000000"/>
          <w:sz w:val="20"/>
          <w:szCs w:val="20"/>
          <w:highlight w:val="none"/>
          <w:u w:val="single"/>
          <w:lang w:val="en-US" w:eastAsia="zh-CN"/>
        </w:rPr>
        <w:t xml:space="preserve">    </w:t>
      </w:r>
      <w:r>
        <w:rPr>
          <w:rFonts w:hint="eastAsia" w:ascii="仿宋" w:hAnsi="仿宋" w:eastAsia="仿宋" w:cs="仿宋"/>
          <w:color w:val="000000"/>
          <w:sz w:val="20"/>
          <w:szCs w:val="20"/>
          <w:highlight w:val="none"/>
        </w:rPr>
        <w:t>天内到货。</w:t>
      </w:r>
    </w:p>
    <w:p w14:paraId="172ABBBE">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color w:val="000000"/>
          <w:sz w:val="20"/>
          <w:szCs w:val="20"/>
          <w:highlight w:val="none"/>
        </w:rPr>
      </w:pPr>
      <w:r>
        <w:rPr>
          <w:rFonts w:hint="eastAsia" w:ascii="仿宋" w:hAnsi="仿宋" w:eastAsia="仿宋" w:cs="仿宋"/>
          <w:sz w:val="20"/>
          <w:szCs w:val="20"/>
          <w:highlight w:val="none"/>
        </w:rPr>
        <w:t>（三）工期：</w:t>
      </w:r>
      <w:r>
        <w:rPr>
          <w:rFonts w:hint="eastAsia" w:ascii="仿宋" w:hAnsi="仿宋" w:eastAsia="仿宋" w:cs="仿宋"/>
          <w:color w:val="000000"/>
          <w:sz w:val="20"/>
          <w:szCs w:val="20"/>
          <w:highlight w:val="none"/>
        </w:rPr>
        <w:t>本合同须在签订后</w:t>
      </w:r>
      <w:r>
        <w:rPr>
          <w:rFonts w:hint="eastAsia" w:ascii="仿宋" w:hAnsi="仿宋" w:eastAsia="仿宋" w:cs="仿宋"/>
          <w:color w:val="000000"/>
          <w:sz w:val="20"/>
          <w:szCs w:val="20"/>
          <w:highlight w:val="none"/>
          <w:u w:val="single"/>
          <w:lang w:val="en-US" w:eastAsia="zh-CN"/>
        </w:rPr>
        <w:t xml:space="preserve">    </w:t>
      </w:r>
      <w:r>
        <w:rPr>
          <w:rFonts w:hint="eastAsia" w:ascii="仿宋" w:hAnsi="仿宋" w:eastAsia="仿宋" w:cs="仿宋"/>
          <w:color w:val="000000"/>
          <w:sz w:val="20"/>
          <w:szCs w:val="20"/>
          <w:highlight w:val="none"/>
        </w:rPr>
        <w:t>日内完成底坑、井道改造及新梯安装调试并负责配合国家相关机构验收合格，办理使用登记证等相关手续。</w:t>
      </w:r>
    </w:p>
    <w:p w14:paraId="303127B4">
      <w:pPr>
        <w:keepNext w:val="0"/>
        <w:keepLines w:val="0"/>
        <w:pageBreakBefore w:val="0"/>
        <w:widowControl/>
        <w:kinsoku/>
        <w:wordWrap w:val="0"/>
        <w:overflowPunct/>
        <w:topLinePunct w:val="0"/>
        <w:autoSpaceDE/>
        <w:autoSpaceDN/>
        <w:bidi w:val="0"/>
        <w:adjustRightInd/>
        <w:snapToGrid w:val="0"/>
        <w:spacing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二、合同价款</w:t>
      </w:r>
    </w:p>
    <w:p w14:paraId="1F28F8F8">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（一）合同总价包括：</w:t>
      </w:r>
      <w:r>
        <w:rPr>
          <w:rFonts w:hint="eastAsia" w:ascii="仿宋" w:hAnsi="仿宋" w:eastAsia="仿宋" w:cs="仿宋"/>
          <w:sz w:val="20"/>
          <w:szCs w:val="20"/>
          <w:highlight w:val="none"/>
          <w:lang w:val="en-US" w:eastAsia="zh-CN"/>
        </w:rPr>
        <w:t>旧电梯拆除、</w:t>
      </w:r>
      <w:r>
        <w:rPr>
          <w:rFonts w:hint="eastAsia" w:ascii="仿宋" w:hAnsi="仿宋" w:eastAsia="仿宋" w:cs="仿宋"/>
          <w:sz w:val="20"/>
          <w:szCs w:val="20"/>
          <w:highlight w:val="none"/>
        </w:rPr>
        <w:t>底坑防水、井道改造、电路改造、产品供应费、安装调试费、</w:t>
      </w:r>
      <w:r>
        <w:rPr>
          <w:rFonts w:hint="eastAsia" w:ascii="仿宋" w:hAnsi="仿宋" w:eastAsia="仿宋" w:cs="仿宋"/>
          <w:sz w:val="20"/>
          <w:szCs w:val="20"/>
          <w:highlight w:val="none"/>
          <w:lang w:val="en-US" w:eastAsia="zh-CN"/>
        </w:rPr>
        <w:t>监督检验费</w:t>
      </w:r>
      <w:r>
        <w:rPr>
          <w:rFonts w:hint="eastAsia" w:ascii="仿宋" w:hAnsi="仿宋" w:eastAsia="仿宋" w:cs="仿宋"/>
          <w:sz w:val="20"/>
          <w:szCs w:val="20"/>
          <w:highlight w:val="none"/>
        </w:rPr>
        <w:t>及达到正常使用所需的其它所有费用。</w:t>
      </w:r>
    </w:p>
    <w:p w14:paraId="05AB7727">
      <w:pPr>
        <w:keepNext w:val="0"/>
        <w:keepLines w:val="0"/>
        <w:pageBreakBefore w:val="0"/>
        <w:widowControl/>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（二）合同总价一次性包死，不受市场价格变化因素的影响。</w:t>
      </w:r>
    </w:p>
    <w:p w14:paraId="415EB41B">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三、款项结算：</w:t>
      </w:r>
    </w:p>
    <w:p w14:paraId="5DF66CFC">
      <w:pPr>
        <w:pStyle w:val="6"/>
        <w:spacing w:line="360" w:lineRule="auto"/>
        <w:ind w:firstLine="40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（一）全部设备到货后30个日历日内支付合同总价款的30%。</w:t>
      </w:r>
    </w:p>
    <w:p w14:paraId="2FEDA931">
      <w:pPr>
        <w:pStyle w:val="6"/>
        <w:spacing w:line="360" w:lineRule="auto"/>
        <w:ind w:firstLine="40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（二）设备安装调试完成，</w:t>
      </w:r>
      <w:r>
        <w:rPr>
          <w:rFonts w:hint="eastAsia" w:ascii="仿宋" w:hAnsi="仿宋" w:eastAsia="仿宋" w:cs="仿宋"/>
          <w:b w:val="0"/>
          <w:bCs w:val="0"/>
          <w:strike w:val="0"/>
          <w:dstrike w:val="0"/>
          <w:color w:val="auto"/>
          <w:highlight w:val="none"/>
          <w:lang w:val="en-US" w:eastAsia="zh-CN"/>
        </w:rPr>
        <w:t>通过特检部门监督检验合格，</w:t>
      </w:r>
      <w:r>
        <w:rPr>
          <w:rFonts w:hint="eastAsia" w:ascii="仿宋" w:hAnsi="仿宋" w:eastAsia="仿宋" w:cs="仿宋"/>
          <w:b w:val="0"/>
          <w:bCs w:val="0"/>
          <w:color w:val="auto"/>
          <w:highlight w:val="none"/>
          <w:lang w:val="en-US" w:eastAsia="zh-CN"/>
        </w:rPr>
        <w:t>由采购人组织履约验收合格后，30个日历日内一次性支付合同总价款的70%。</w:t>
      </w:r>
      <w:r>
        <w:rPr>
          <w:rFonts w:ascii="仿宋_GB2312" w:hAnsi="仿宋_GB2312" w:eastAsia="仿宋_GB2312" w:cs="仿宋_GB2312"/>
          <w:highlight w:val="none"/>
        </w:rPr>
        <w:t>付款前供应商向采购人提供中标金额3%的保函。自</w:t>
      </w:r>
      <w:r>
        <w:rPr>
          <w:rFonts w:hint="eastAsia" w:ascii="仿宋_GB2312" w:hAnsi="仿宋_GB2312" w:eastAsia="仿宋_GB2312" w:cs="仿宋_GB2312"/>
          <w:highlight w:val="none"/>
          <w:lang w:val="en-US" w:eastAsia="zh-CN"/>
        </w:rPr>
        <w:t>本项目</w:t>
      </w:r>
      <w:r>
        <w:rPr>
          <w:rFonts w:ascii="仿宋_GB2312" w:hAnsi="仿宋_GB2312" w:eastAsia="仿宋_GB2312" w:cs="仿宋_GB2312"/>
          <w:highlight w:val="none"/>
        </w:rPr>
        <w:t>最终验收合格之日起满</w:t>
      </w:r>
      <w:r>
        <w:rPr>
          <w:rFonts w:hint="eastAsia" w:ascii="仿宋_GB2312" w:hAnsi="仿宋_GB2312" w:eastAsia="仿宋_GB2312" w:cs="仿宋_GB2312"/>
          <w:highlight w:val="none"/>
          <w:lang w:val="en-US" w:eastAsia="zh-CN"/>
        </w:rPr>
        <w:t>5</w:t>
      </w:r>
      <w:r>
        <w:rPr>
          <w:rFonts w:ascii="仿宋_GB2312" w:hAnsi="仿宋_GB2312" w:eastAsia="仿宋_GB2312" w:cs="仿宋_GB2312"/>
          <w:highlight w:val="none"/>
        </w:rPr>
        <w:t>年若无质量问题，采购人应于15个工作日内退还保函。</w:t>
      </w:r>
    </w:p>
    <w:p w14:paraId="6C9110F9">
      <w:pPr>
        <w:pStyle w:val="6"/>
        <w:spacing w:line="360" w:lineRule="auto"/>
        <w:ind w:firstLine="40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lang w:val="en-US" w:eastAsia="zh-CN"/>
        </w:rPr>
        <w:t>（三）支付</w:t>
      </w:r>
      <w:r>
        <w:rPr>
          <w:rFonts w:hint="eastAsia" w:ascii="仿宋" w:hAnsi="仿宋" w:eastAsia="仿宋" w:cs="仿宋"/>
          <w:b w:val="0"/>
          <w:bCs w:val="0"/>
          <w:color w:val="auto"/>
          <w:highlight w:val="none"/>
          <w:lang w:val="en-US" w:eastAsia="zh-CN"/>
        </w:rPr>
        <w:t>方式：银行转账。</w:t>
      </w:r>
    </w:p>
    <w:p w14:paraId="71803F3E">
      <w:pPr>
        <w:pStyle w:val="6"/>
        <w:spacing w:line="360" w:lineRule="auto"/>
        <w:ind w:firstLine="400" w:firstLineChars="200"/>
        <w:jc w:val="both"/>
        <w:rPr>
          <w:rFonts w:hint="eastAsia" w:ascii="仿宋" w:hAnsi="仿宋" w:eastAsia="仿宋" w:cs="仿宋"/>
          <w:sz w:val="20"/>
          <w:szCs w:val="20"/>
          <w:highlight w:val="none"/>
        </w:rPr>
      </w:pPr>
      <w:r>
        <w:rPr>
          <w:rFonts w:hint="eastAsia" w:ascii="仿宋" w:hAnsi="仿宋" w:eastAsia="仿宋" w:cs="仿宋"/>
          <w:b w:val="0"/>
          <w:bCs w:val="0"/>
          <w:color w:val="auto"/>
          <w:highlight w:val="none"/>
          <w:lang w:val="en-US" w:eastAsia="zh-CN"/>
        </w:rPr>
        <w:t>（四）结算方式：验收合格后填写采购项目验收单，发票（按实际价格 直开甲方），成交供应商持成交通知书、供货合同、发票、采购项目验收单，与采购人结算。</w:t>
      </w:r>
    </w:p>
    <w:p w14:paraId="48E4DF5A">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甲方银行账户信息：</w:t>
      </w:r>
    </w:p>
    <w:p w14:paraId="6FC8E371">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hint="default" w:ascii="仿宋_GB2312" w:hAnsi="仿宋_GB2312" w:eastAsia="仿宋_GB2312" w:cs="仿宋_GB2312"/>
          <w:highlight w:val="none"/>
          <w:u w:val="single"/>
          <w:lang w:val="en-US" w:eastAsia="zh-CN"/>
        </w:rPr>
      </w:pPr>
      <w:r>
        <w:rPr>
          <w:rFonts w:ascii="仿宋_GB2312" w:hAnsi="仿宋_GB2312" w:eastAsia="仿宋_GB2312" w:cs="仿宋_GB2312"/>
          <w:highlight w:val="none"/>
        </w:rPr>
        <w:t>银行户名：</w:t>
      </w:r>
      <w:r>
        <w:rPr>
          <w:rFonts w:hint="eastAsia" w:ascii="仿宋_GB2312" w:hAnsi="仿宋_GB2312" w:eastAsia="仿宋_GB2312" w:cs="仿宋_GB2312"/>
          <w:highlight w:val="none"/>
          <w:u w:val="single"/>
          <w:lang w:val="en-US" w:eastAsia="zh-CN"/>
        </w:rPr>
        <w:t xml:space="preserve">             </w:t>
      </w:r>
    </w:p>
    <w:p w14:paraId="61940A26">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开户银行：</w:t>
      </w:r>
      <w:r>
        <w:rPr>
          <w:rFonts w:hint="eastAsia" w:ascii="仿宋_GB2312" w:hAnsi="仿宋_GB2312" w:eastAsia="仿宋_GB2312" w:cs="仿宋_GB2312"/>
          <w:highlight w:val="none"/>
          <w:u w:val="single"/>
          <w:lang w:val="en-US" w:eastAsia="zh-CN"/>
        </w:rPr>
        <w:t xml:space="preserve">             </w:t>
      </w:r>
    </w:p>
    <w:p w14:paraId="590EFC7E">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 xml:space="preserve">账 </w:t>
      </w:r>
      <w:r>
        <w:rPr>
          <w:rFonts w:hint="eastAsia" w:ascii="仿宋_GB2312" w:hAnsi="仿宋_GB2312" w:eastAsia="仿宋_GB2312" w:cs="仿宋_GB2312"/>
          <w:highlight w:val="none"/>
          <w:lang w:val="en-US" w:eastAsia="zh-CN"/>
        </w:rPr>
        <w:t xml:space="preserve">   </w:t>
      </w:r>
      <w:r>
        <w:rPr>
          <w:rFonts w:ascii="仿宋_GB2312" w:hAnsi="仿宋_GB2312" w:eastAsia="仿宋_GB2312" w:cs="仿宋_GB2312"/>
          <w:highlight w:val="none"/>
        </w:rPr>
        <w:t>号：</w:t>
      </w:r>
      <w:r>
        <w:rPr>
          <w:rFonts w:hint="eastAsia" w:ascii="仿宋_GB2312" w:hAnsi="仿宋_GB2312" w:eastAsia="仿宋_GB2312" w:cs="仿宋_GB2312"/>
          <w:highlight w:val="none"/>
          <w:u w:val="single"/>
          <w:lang w:val="en-US" w:eastAsia="zh-CN"/>
        </w:rPr>
        <w:t xml:space="preserve">             </w:t>
      </w:r>
    </w:p>
    <w:p w14:paraId="0184DCBE">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 xml:space="preserve">行 </w:t>
      </w:r>
      <w:r>
        <w:rPr>
          <w:rFonts w:hint="eastAsia" w:ascii="仿宋_GB2312" w:hAnsi="仿宋_GB2312" w:eastAsia="仿宋_GB2312" w:cs="仿宋_GB2312"/>
          <w:highlight w:val="none"/>
          <w:lang w:val="en-US" w:eastAsia="zh-CN"/>
        </w:rPr>
        <w:t xml:space="preserve">   </w:t>
      </w:r>
      <w:r>
        <w:rPr>
          <w:rFonts w:ascii="仿宋_GB2312" w:hAnsi="仿宋_GB2312" w:eastAsia="仿宋_GB2312" w:cs="仿宋_GB2312"/>
          <w:highlight w:val="none"/>
        </w:rPr>
        <w:t>号：</w:t>
      </w:r>
      <w:r>
        <w:rPr>
          <w:rFonts w:hint="eastAsia" w:ascii="仿宋_GB2312" w:hAnsi="仿宋_GB2312" w:eastAsia="仿宋_GB2312" w:cs="仿宋_GB2312"/>
          <w:highlight w:val="none"/>
          <w:u w:val="single"/>
          <w:lang w:val="en-US" w:eastAsia="zh-CN"/>
        </w:rPr>
        <w:t xml:space="preserve">             </w:t>
      </w:r>
    </w:p>
    <w:p w14:paraId="0AB43DB3">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乙方银行账户信息：</w:t>
      </w:r>
    </w:p>
    <w:p w14:paraId="07E02550">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hint="default" w:ascii="仿宋_GB2312" w:hAnsi="仿宋_GB2312" w:eastAsia="仿宋_GB2312" w:cs="仿宋_GB2312"/>
          <w:highlight w:val="none"/>
          <w:u w:val="single"/>
          <w:lang w:val="en-US" w:eastAsia="zh-CN"/>
        </w:rPr>
      </w:pPr>
      <w:r>
        <w:rPr>
          <w:rFonts w:ascii="仿宋_GB2312" w:hAnsi="仿宋_GB2312" w:eastAsia="仿宋_GB2312" w:cs="仿宋_GB2312"/>
          <w:highlight w:val="none"/>
        </w:rPr>
        <w:t>银行户名：</w:t>
      </w:r>
      <w:r>
        <w:rPr>
          <w:rFonts w:hint="eastAsia" w:ascii="仿宋_GB2312" w:hAnsi="仿宋_GB2312" w:eastAsia="仿宋_GB2312" w:cs="仿宋_GB2312"/>
          <w:highlight w:val="none"/>
          <w:u w:val="single"/>
          <w:lang w:val="en-US" w:eastAsia="zh-CN"/>
        </w:rPr>
        <w:t xml:space="preserve">             </w:t>
      </w:r>
    </w:p>
    <w:p w14:paraId="71DA90B4">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开户银行：</w:t>
      </w:r>
      <w:r>
        <w:rPr>
          <w:rFonts w:hint="eastAsia" w:ascii="仿宋_GB2312" w:hAnsi="仿宋_GB2312" w:eastAsia="仿宋_GB2312" w:cs="仿宋_GB2312"/>
          <w:highlight w:val="none"/>
          <w:u w:val="single"/>
          <w:lang w:val="en-US" w:eastAsia="zh-CN"/>
        </w:rPr>
        <w:t xml:space="preserve">             </w:t>
      </w:r>
    </w:p>
    <w:p w14:paraId="635A6A34">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 xml:space="preserve">账 </w:t>
      </w:r>
      <w:r>
        <w:rPr>
          <w:rFonts w:hint="eastAsia" w:ascii="仿宋_GB2312" w:hAnsi="仿宋_GB2312" w:eastAsia="仿宋_GB2312" w:cs="仿宋_GB2312"/>
          <w:highlight w:val="none"/>
          <w:lang w:val="en-US" w:eastAsia="zh-CN"/>
        </w:rPr>
        <w:t xml:space="preserve">   </w:t>
      </w:r>
      <w:r>
        <w:rPr>
          <w:rFonts w:ascii="仿宋_GB2312" w:hAnsi="仿宋_GB2312" w:eastAsia="仿宋_GB2312" w:cs="仿宋_GB2312"/>
          <w:highlight w:val="none"/>
        </w:rPr>
        <w:t>号：</w:t>
      </w:r>
      <w:r>
        <w:rPr>
          <w:rFonts w:hint="eastAsia" w:ascii="仿宋_GB2312" w:hAnsi="仿宋_GB2312" w:eastAsia="仿宋_GB2312" w:cs="仿宋_GB2312"/>
          <w:highlight w:val="none"/>
          <w:u w:val="single"/>
          <w:lang w:val="en-US" w:eastAsia="zh-CN"/>
        </w:rPr>
        <w:t xml:space="preserve">             </w:t>
      </w:r>
    </w:p>
    <w:p w14:paraId="31F0AA3B">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 xml:space="preserve">行 </w:t>
      </w:r>
      <w:r>
        <w:rPr>
          <w:rFonts w:hint="eastAsia" w:ascii="仿宋_GB2312" w:hAnsi="仿宋_GB2312" w:eastAsia="仿宋_GB2312" w:cs="仿宋_GB2312"/>
          <w:highlight w:val="none"/>
          <w:lang w:val="en-US" w:eastAsia="zh-CN"/>
        </w:rPr>
        <w:t xml:space="preserve">   </w:t>
      </w:r>
      <w:r>
        <w:rPr>
          <w:rFonts w:ascii="仿宋_GB2312" w:hAnsi="仿宋_GB2312" w:eastAsia="仿宋_GB2312" w:cs="仿宋_GB2312"/>
          <w:highlight w:val="none"/>
        </w:rPr>
        <w:t>号：</w:t>
      </w:r>
      <w:r>
        <w:rPr>
          <w:rFonts w:hint="eastAsia" w:ascii="仿宋_GB2312" w:hAnsi="仿宋_GB2312" w:eastAsia="仿宋_GB2312" w:cs="仿宋_GB2312"/>
          <w:highlight w:val="none"/>
          <w:u w:val="single"/>
          <w:lang w:val="en-US" w:eastAsia="zh-CN"/>
        </w:rPr>
        <w:t xml:space="preserve">             </w:t>
      </w:r>
    </w:p>
    <w:p w14:paraId="63BB2080">
      <w:pPr>
        <w:keepNext w:val="0"/>
        <w:keepLines w:val="0"/>
        <w:pageBreakBefore w:val="0"/>
        <w:widowControl/>
        <w:kinsoku/>
        <w:wordWrap w:val="0"/>
        <w:overflowPunct/>
        <w:topLinePunct w:val="0"/>
        <w:autoSpaceDE/>
        <w:autoSpaceDN/>
        <w:bidi w:val="0"/>
        <w:adjustRightInd/>
        <w:snapToGrid w:val="0"/>
        <w:spacing w:line="360" w:lineRule="auto"/>
        <w:textAlignment w:val="auto"/>
        <w:rPr>
          <w:rFonts w:hint="eastAsia" w:ascii="仿宋" w:hAnsi="仿宋" w:eastAsia="仿宋" w:cs="仿宋"/>
          <w:b/>
          <w:sz w:val="20"/>
          <w:szCs w:val="20"/>
        </w:rPr>
      </w:pPr>
      <w:r>
        <w:rPr>
          <w:rFonts w:hint="eastAsia" w:ascii="仿宋" w:hAnsi="仿宋" w:eastAsia="仿宋" w:cs="仿宋"/>
          <w:b/>
          <w:sz w:val="20"/>
          <w:szCs w:val="20"/>
        </w:rPr>
        <w:t>四、质量保证：</w:t>
      </w:r>
    </w:p>
    <w:p w14:paraId="4B38D51B">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所供产品/设备必须执行下列条款：</w:t>
      </w:r>
    </w:p>
    <w:p w14:paraId="03467BFF">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（一）保证所供产品的设计、制造、产品性能、材料的选择和材料的检验及产品的测试等，均应按国内外通行的现行标</w:t>
      </w:r>
      <w:r>
        <w:rPr>
          <w:rFonts w:hint="eastAsia" w:ascii="仿宋" w:hAnsi="仿宋" w:eastAsia="仿宋" w:cs="仿宋"/>
          <w:sz w:val="20"/>
          <w:szCs w:val="20"/>
          <w:lang w:eastAsia="zh-CN"/>
        </w:rPr>
        <w:t>准和</w:t>
      </w:r>
      <w:r>
        <w:rPr>
          <w:rFonts w:hint="eastAsia" w:ascii="仿宋" w:hAnsi="仿宋" w:eastAsia="仿宋" w:cs="仿宋"/>
          <w:sz w:val="20"/>
          <w:szCs w:val="20"/>
        </w:rPr>
        <w:t>相应的技术规范，以及质量、安全、环保标准和要求执行，这些标准和技术规范应为合同签订日为止最新公布发行的标准和技术规范。包括但不限于：</w:t>
      </w:r>
    </w:p>
    <w:p w14:paraId="153F93F4">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《电梯主要参数及轿厢、井道、机房的型式与尺寸》GB/T 7025</w:t>
      </w:r>
    </w:p>
    <w:p w14:paraId="2696587E">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《低压成套开关设备和控制设备》GB/T 7251</w:t>
      </w:r>
    </w:p>
    <w:p w14:paraId="6114BECD">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《电梯制造与安装安全规范》GB/T 7588</w:t>
      </w:r>
    </w:p>
    <w:p w14:paraId="0DDE9CD8">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《电梯安装验收规范》GB/T 10060</w:t>
      </w:r>
    </w:p>
    <w:p w14:paraId="234209F3">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《电梯技术条件》GB/T 10058</w:t>
      </w:r>
    </w:p>
    <w:p w14:paraId="5454F3C8">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《电梯试验方法》GB/T 10059</w:t>
      </w:r>
    </w:p>
    <w:p w14:paraId="6016993E">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《电梯工程施工质量验收规范》GB/T 50310</w:t>
      </w:r>
    </w:p>
    <w:p w14:paraId="71E1ABD5">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《电梯用钢丝绳》GB/T 8903</w:t>
      </w:r>
    </w:p>
    <w:p w14:paraId="122F0DFE">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《电梯监督检验和定期检验规则》TSGT 7001</w:t>
      </w:r>
    </w:p>
    <w:p w14:paraId="40AC7CA6">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《西安市电梯安全管理办法》</w:t>
      </w:r>
    </w:p>
    <w:p w14:paraId="6B71279F">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（二）保证所供产品技术指标先进、质量性能可靠、配置合理、进货渠道正规，全面满足招标文件要求，无假货、水货或翻新货，并能按期交付。</w:t>
      </w:r>
    </w:p>
    <w:p w14:paraId="224C2F87">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（三）保证所供产品在装卸、运输和仓储过程中有足够的包装保护，防止产品受潮、锈蚀、遭受冲撞及其他不可预见的损坏。</w:t>
      </w:r>
    </w:p>
    <w:p w14:paraId="1DD361D3">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rPr>
        <w:t>（四）保证</w:t>
      </w:r>
      <w:r>
        <w:rPr>
          <w:rFonts w:hint="eastAsia" w:ascii="仿宋" w:hAnsi="仿宋" w:eastAsia="仿宋" w:cs="仿宋"/>
          <w:sz w:val="20"/>
          <w:szCs w:val="20"/>
          <w:highlight w:val="none"/>
        </w:rPr>
        <w:t>所供产品具有良好的外观，</w:t>
      </w:r>
      <w:r>
        <w:rPr>
          <w:rFonts w:hint="eastAsia" w:ascii="仿宋" w:hAnsi="仿宋" w:eastAsia="仿宋" w:cs="仿宋"/>
          <w:sz w:val="20"/>
          <w:szCs w:val="20"/>
          <w:highlight w:val="none"/>
          <w:lang w:eastAsia="zh-CN"/>
        </w:rPr>
        <w:t>符合</w:t>
      </w:r>
      <w:r>
        <w:rPr>
          <w:rFonts w:hint="eastAsia" w:ascii="仿宋" w:hAnsi="仿宋" w:eastAsia="仿宋" w:cs="仿宋"/>
          <w:sz w:val="20"/>
          <w:szCs w:val="20"/>
          <w:highlight w:val="none"/>
        </w:rPr>
        <w:t>各种安装场所的使用要求，确保达到最佳运行状态。</w:t>
      </w:r>
    </w:p>
    <w:p w14:paraId="5664E31A">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（五）</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所供产品因侵权而产生的一切后果由</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负责，</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保留索赔权力。</w:t>
      </w:r>
    </w:p>
    <w:p w14:paraId="0F0430D0">
      <w:pPr>
        <w:keepNext w:val="0"/>
        <w:keepLines w:val="0"/>
        <w:pageBreakBefore w:val="0"/>
        <w:widowControl/>
        <w:kinsoku/>
        <w:wordWrap w:val="0"/>
        <w:overflowPunct/>
        <w:topLinePunct w:val="0"/>
        <w:autoSpaceDE/>
        <w:autoSpaceDN/>
        <w:bidi w:val="0"/>
        <w:adjustRightInd/>
        <w:snapToGrid w:val="0"/>
        <w:spacing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五、包装和储运</w:t>
      </w:r>
    </w:p>
    <w:p w14:paraId="55996F00">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（一）产品及其备附件的包装应为出厂时的原包装，包装内应附有详细的装箱清单、出厂合格证明及其他相关资料。</w:t>
      </w:r>
    </w:p>
    <w:p w14:paraId="0B4C4DF8">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（二）运输由</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负责，运杂费已包含在合同总价内，包括从产品供应地点运送至交付地点所含的运输费、装卸费、仓储费、保险费等。</w:t>
      </w:r>
    </w:p>
    <w:p w14:paraId="395810F9">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color w:val="000000"/>
          <w:sz w:val="20"/>
          <w:szCs w:val="20"/>
        </w:rPr>
      </w:pPr>
      <w:r>
        <w:rPr>
          <w:rFonts w:hint="eastAsia" w:ascii="仿宋" w:hAnsi="仿宋" w:eastAsia="仿宋" w:cs="仿宋"/>
          <w:sz w:val="20"/>
          <w:szCs w:val="20"/>
          <w:highlight w:val="none"/>
        </w:rPr>
        <w:t>（三）</w:t>
      </w:r>
      <w:r>
        <w:rPr>
          <w:rFonts w:hint="eastAsia" w:ascii="仿宋" w:hAnsi="仿宋" w:eastAsia="仿宋" w:cs="仿宋"/>
          <w:color w:val="000000"/>
          <w:sz w:val="20"/>
          <w:szCs w:val="20"/>
          <w:highlight w:val="none"/>
        </w:rPr>
        <w:t>到货后</w:t>
      </w:r>
      <w:r>
        <w:rPr>
          <w:rFonts w:hint="eastAsia" w:ascii="仿宋" w:hAnsi="仿宋" w:eastAsia="仿宋" w:cs="仿宋"/>
          <w:sz w:val="20"/>
          <w:szCs w:val="20"/>
          <w:highlight w:val="none"/>
          <w:lang w:val="en-US" w:eastAsia="zh-CN"/>
        </w:rPr>
        <w:t>乙方</w:t>
      </w:r>
      <w:r>
        <w:rPr>
          <w:rFonts w:hint="eastAsia" w:ascii="仿宋" w:hAnsi="仿宋" w:eastAsia="仿宋" w:cs="仿宋"/>
          <w:color w:val="000000"/>
          <w:sz w:val="20"/>
          <w:szCs w:val="20"/>
          <w:highlight w:val="none"/>
        </w:rPr>
        <w:t>负责将电梯设备运送到</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color w:val="000000"/>
          <w:sz w:val="20"/>
          <w:szCs w:val="20"/>
          <w:highlight w:val="none"/>
        </w:rPr>
        <w:t>指定的</w:t>
      </w:r>
      <w:r>
        <w:rPr>
          <w:rFonts w:hint="eastAsia" w:ascii="仿宋" w:hAnsi="仿宋" w:eastAsia="仿宋" w:cs="仿宋"/>
          <w:color w:val="000000"/>
          <w:sz w:val="20"/>
          <w:szCs w:val="20"/>
        </w:rPr>
        <w:t>地点，查点验收并妥善保管。</w:t>
      </w:r>
    </w:p>
    <w:p w14:paraId="1F7FAABC">
      <w:pPr>
        <w:keepNext w:val="0"/>
        <w:keepLines w:val="0"/>
        <w:pageBreakBefore w:val="0"/>
        <w:widowControl/>
        <w:kinsoku/>
        <w:overflowPunct/>
        <w:topLinePunct w:val="0"/>
        <w:autoSpaceDE/>
        <w:autoSpaceDN/>
        <w:bidi w:val="0"/>
        <w:adjustRightInd/>
        <w:snapToGrid w:val="0"/>
        <w:spacing w:line="360" w:lineRule="auto"/>
        <w:textAlignment w:val="auto"/>
        <w:rPr>
          <w:rFonts w:hint="eastAsia" w:ascii="仿宋" w:hAnsi="仿宋" w:eastAsia="仿宋" w:cs="仿宋"/>
          <w:b/>
          <w:sz w:val="20"/>
          <w:szCs w:val="20"/>
        </w:rPr>
      </w:pPr>
      <w:r>
        <w:rPr>
          <w:rFonts w:hint="eastAsia" w:ascii="仿宋" w:hAnsi="仿宋" w:eastAsia="仿宋" w:cs="仿宋"/>
          <w:b/>
          <w:sz w:val="20"/>
          <w:szCs w:val="20"/>
        </w:rPr>
        <w:t>六、验收</w:t>
      </w:r>
    </w:p>
    <w:p w14:paraId="2E93F988">
      <w:pPr>
        <w:pStyle w:val="6"/>
        <w:spacing w:line="360" w:lineRule="auto"/>
        <w:ind w:firstLine="400" w:firstLineChars="200"/>
        <w:jc w:val="both"/>
        <w:rPr>
          <w:rFonts w:hint="eastAsia" w:ascii="仿宋" w:hAnsi="仿宋" w:eastAsia="仿宋" w:cs="仿宋"/>
          <w:b w:val="0"/>
          <w:bCs w:val="0"/>
          <w:highlight w:val="none"/>
          <w:lang w:eastAsia="zh-CN"/>
        </w:rPr>
      </w:pPr>
      <w:r>
        <w:rPr>
          <w:rFonts w:hint="eastAsia" w:ascii="仿宋" w:hAnsi="仿宋" w:eastAsia="仿宋" w:cs="仿宋"/>
          <w:b w:val="0"/>
          <w:bCs w:val="0"/>
        </w:rPr>
        <w:t>（1）现场</w:t>
      </w:r>
      <w:r>
        <w:rPr>
          <w:rFonts w:hint="eastAsia" w:ascii="仿宋" w:hAnsi="仿宋" w:eastAsia="仿宋" w:cs="仿宋"/>
          <w:b w:val="0"/>
          <w:bCs w:val="0"/>
          <w:highlight w:val="none"/>
        </w:rPr>
        <w:t>验收：产品及其备附件到达采购人指定地点后，采购人根据合同要求，在</w:t>
      </w:r>
      <w:r>
        <w:rPr>
          <w:rFonts w:hint="eastAsia" w:ascii="仿宋" w:hAnsi="仿宋" w:eastAsia="仿宋" w:cs="仿宋"/>
          <w:b w:val="0"/>
          <w:bCs w:val="0"/>
          <w:highlight w:val="none"/>
          <w:lang w:val="en-US" w:eastAsia="zh-CN"/>
        </w:rPr>
        <w:t>成交</w:t>
      </w:r>
      <w:r>
        <w:rPr>
          <w:rFonts w:hint="eastAsia" w:ascii="仿宋" w:hAnsi="仿宋" w:eastAsia="仿宋" w:cs="仿宋"/>
          <w:b w:val="0"/>
          <w:bCs w:val="0"/>
          <w:highlight w:val="none"/>
        </w:rPr>
        <w:t>供应商和采购人相关负责人双方同时在场的情况下，进行外观验收，确认产地、规格、型号和数量</w:t>
      </w:r>
      <w:r>
        <w:rPr>
          <w:rFonts w:hint="eastAsia" w:ascii="仿宋" w:hAnsi="仿宋" w:eastAsia="仿宋" w:cs="仿宋"/>
          <w:b w:val="0"/>
          <w:bCs w:val="0"/>
          <w:highlight w:val="none"/>
          <w:lang w:eastAsia="zh-CN"/>
        </w:rPr>
        <w:t>；</w:t>
      </w:r>
    </w:p>
    <w:p w14:paraId="06756ECE">
      <w:pPr>
        <w:pStyle w:val="6"/>
        <w:spacing w:line="360" w:lineRule="auto"/>
        <w:ind w:firstLine="400" w:firstLineChars="200"/>
        <w:jc w:val="both"/>
        <w:rPr>
          <w:rFonts w:hint="eastAsia" w:ascii="仿宋" w:hAnsi="仿宋" w:eastAsia="仿宋" w:cs="仿宋"/>
          <w:b w:val="0"/>
          <w:bCs w:val="0"/>
          <w:highlight w:val="none"/>
          <w:lang w:eastAsia="zh-CN"/>
        </w:rPr>
      </w:pPr>
      <w:r>
        <w:rPr>
          <w:rFonts w:hint="eastAsia" w:ascii="仿宋" w:hAnsi="仿宋" w:eastAsia="仿宋" w:cs="仿宋"/>
          <w:b w:val="0"/>
          <w:bCs w:val="0"/>
          <w:highlight w:val="none"/>
        </w:rPr>
        <w:t>（2）安装调试：</w:t>
      </w:r>
      <w:r>
        <w:rPr>
          <w:rFonts w:hint="eastAsia" w:ascii="仿宋" w:hAnsi="仿宋" w:eastAsia="仿宋" w:cs="仿宋"/>
          <w:b w:val="0"/>
          <w:bCs w:val="0"/>
          <w:highlight w:val="none"/>
          <w:lang w:val="en-US" w:eastAsia="zh-CN"/>
        </w:rPr>
        <w:t>成交</w:t>
      </w:r>
      <w:r>
        <w:rPr>
          <w:rFonts w:hint="eastAsia" w:ascii="仿宋" w:hAnsi="仿宋" w:eastAsia="仿宋" w:cs="仿宋"/>
          <w:b w:val="0"/>
          <w:bCs w:val="0"/>
          <w:highlight w:val="none"/>
        </w:rPr>
        <w:t>供应商应配合采购人的时限要求，负责在现场对产品进行安装、调试和试运行，直至验收合格。</w:t>
      </w:r>
      <w:r>
        <w:rPr>
          <w:rFonts w:hint="eastAsia" w:ascii="仿宋" w:hAnsi="仿宋" w:eastAsia="仿宋" w:cs="仿宋"/>
          <w:b w:val="0"/>
          <w:bCs w:val="0"/>
          <w:highlight w:val="none"/>
          <w:lang w:val="en-US" w:eastAsia="zh-CN"/>
        </w:rPr>
        <w:t>成交</w:t>
      </w:r>
      <w:r>
        <w:rPr>
          <w:rFonts w:hint="eastAsia" w:ascii="仿宋" w:hAnsi="仿宋" w:eastAsia="仿宋" w:cs="仿宋"/>
          <w:b w:val="0"/>
          <w:bCs w:val="0"/>
          <w:highlight w:val="none"/>
        </w:rPr>
        <w:t>供应商应提供全部安装、调试过程中所需的材料、设施设备、人工等。试运行应当在采购人的监督下进行</w:t>
      </w:r>
      <w:r>
        <w:rPr>
          <w:rFonts w:hint="eastAsia" w:ascii="仿宋" w:hAnsi="仿宋" w:eastAsia="仿宋" w:cs="仿宋"/>
          <w:b w:val="0"/>
          <w:bCs w:val="0"/>
          <w:highlight w:val="none"/>
          <w:lang w:eastAsia="zh-CN"/>
        </w:rPr>
        <w:t>；</w:t>
      </w:r>
    </w:p>
    <w:p w14:paraId="24C61990">
      <w:pPr>
        <w:keepNext w:val="0"/>
        <w:keepLines w:val="0"/>
        <w:pageBreakBefore w:val="0"/>
        <w:widowControl/>
        <w:kinsoku/>
        <w:wordWrap w:val="0"/>
        <w:overflowPunct/>
        <w:topLinePunct w:val="0"/>
        <w:autoSpaceDE/>
        <w:autoSpaceDN/>
        <w:bidi w:val="0"/>
        <w:adjustRightInd/>
        <w:snapToGrid w:val="0"/>
        <w:spacing w:line="360" w:lineRule="auto"/>
        <w:ind w:firstLine="420" w:firstLineChars="200"/>
        <w:textAlignment w:val="auto"/>
        <w:rPr>
          <w:rFonts w:hint="eastAsia" w:ascii="仿宋" w:hAnsi="仿宋" w:eastAsia="仿宋" w:cs="仿宋"/>
          <w:sz w:val="20"/>
          <w:szCs w:val="20"/>
          <w:highlight w:val="none"/>
        </w:rPr>
      </w:pPr>
      <w:r>
        <w:rPr>
          <w:rFonts w:hint="eastAsia" w:ascii="仿宋" w:hAnsi="仿宋" w:eastAsia="仿宋" w:cs="仿宋"/>
          <w:b w:val="0"/>
          <w:bCs w:val="0"/>
          <w:highlight w:val="none"/>
        </w:rPr>
        <w:t>（3）最终验收：产品安装调试和运行后，由</w:t>
      </w:r>
      <w:r>
        <w:rPr>
          <w:rFonts w:hint="eastAsia" w:ascii="仿宋" w:hAnsi="仿宋" w:eastAsia="仿宋" w:cs="仿宋"/>
          <w:b w:val="0"/>
          <w:bCs w:val="0"/>
          <w:highlight w:val="none"/>
          <w:lang w:val="en-US" w:eastAsia="zh-CN"/>
        </w:rPr>
        <w:t>成交</w:t>
      </w:r>
      <w:r>
        <w:rPr>
          <w:rFonts w:hint="eastAsia" w:ascii="仿宋" w:hAnsi="仿宋" w:eastAsia="仿宋" w:cs="仿宋"/>
          <w:b w:val="0"/>
          <w:bCs w:val="0"/>
          <w:highlight w:val="none"/>
        </w:rPr>
        <w:t>供应商向采购人递交</w:t>
      </w:r>
      <w:r>
        <w:rPr>
          <w:rFonts w:hint="eastAsia" w:ascii="仿宋" w:hAnsi="仿宋" w:eastAsia="仿宋" w:cs="仿宋"/>
          <w:b w:val="0"/>
          <w:bCs w:val="0"/>
          <w:highlight w:val="none"/>
          <w:lang w:val="en-US" w:eastAsia="zh-CN"/>
        </w:rPr>
        <w:t>监督检验报告</w:t>
      </w:r>
      <w:r>
        <w:rPr>
          <w:rFonts w:hint="eastAsia" w:ascii="仿宋" w:hAnsi="仿宋" w:eastAsia="仿宋" w:cs="仿宋"/>
          <w:b w:val="0"/>
          <w:bCs w:val="0"/>
          <w:highlight w:val="none"/>
        </w:rPr>
        <w:t>和</w:t>
      </w:r>
      <w:r>
        <w:rPr>
          <w:rFonts w:hint="eastAsia" w:ascii="仿宋" w:hAnsi="仿宋" w:eastAsia="仿宋" w:cs="仿宋"/>
          <w:b w:val="0"/>
          <w:bCs w:val="0"/>
          <w:highlight w:val="none"/>
          <w:lang w:val="en-US" w:eastAsia="zh-CN"/>
        </w:rPr>
        <w:t>移交单</w:t>
      </w:r>
      <w:r>
        <w:rPr>
          <w:rFonts w:hint="eastAsia" w:ascii="仿宋" w:hAnsi="仿宋" w:eastAsia="仿宋" w:cs="仿宋"/>
          <w:b w:val="0"/>
          <w:bCs w:val="0"/>
          <w:highlight w:val="none"/>
        </w:rPr>
        <w:t>，经采购人确认后，组织</w:t>
      </w:r>
      <w:r>
        <w:rPr>
          <w:rFonts w:hint="eastAsia" w:ascii="仿宋" w:hAnsi="仿宋" w:eastAsia="仿宋" w:cs="仿宋"/>
          <w:b w:val="0"/>
          <w:bCs w:val="0"/>
          <w:highlight w:val="none"/>
          <w:lang w:val="en-US" w:eastAsia="zh-CN"/>
        </w:rPr>
        <w:t>成交</w:t>
      </w:r>
      <w:r>
        <w:rPr>
          <w:rFonts w:hint="eastAsia" w:ascii="仿宋" w:hAnsi="仿宋" w:eastAsia="仿宋" w:cs="仿宋"/>
          <w:b w:val="0"/>
          <w:bCs w:val="0"/>
          <w:highlight w:val="none"/>
        </w:rPr>
        <w:t>供应商进行系统验收。验收合格后，填写采购项目验收单作为对产品的最终认可</w:t>
      </w:r>
      <w:r>
        <w:rPr>
          <w:rFonts w:hint="eastAsia" w:ascii="仿宋" w:hAnsi="仿宋" w:eastAsia="仿宋" w:cs="仿宋"/>
          <w:sz w:val="20"/>
          <w:szCs w:val="20"/>
          <w:highlight w:val="none"/>
        </w:rPr>
        <w:t>。</w:t>
      </w:r>
    </w:p>
    <w:p w14:paraId="0D16D6BC">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（四）验收依据</w:t>
      </w:r>
    </w:p>
    <w:p w14:paraId="7943FB17">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采购</w:t>
      </w:r>
      <w:r>
        <w:rPr>
          <w:rFonts w:hint="eastAsia" w:ascii="仿宋" w:hAnsi="仿宋" w:eastAsia="仿宋" w:cs="仿宋"/>
          <w:sz w:val="20"/>
          <w:szCs w:val="20"/>
          <w:highlight w:val="none"/>
        </w:rPr>
        <w:t>文件、</w:t>
      </w:r>
      <w:r>
        <w:rPr>
          <w:rFonts w:hint="eastAsia" w:ascii="仿宋" w:hAnsi="仿宋" w:eastAsia="仿宋" w:cs="仿宋"/>
          <w:sz w:val="20"/>
          <w:szCs w:val="20"/>
          <w:highlight w:val="none"/>
          <w:lang w:val="en-US" w:eastAsia="zh-CN"/>
        </w:rPr>
        <w:t>响应</w:t>
      </w:r>
      <w:r>
        <w:rPr>
          <w:rFonts w:hint="eastAsia" w:ascii="仿宋" w:hAnsi="仿宋" w:eastAsia="仿宋" w:cs="仿宋"/>
          <w:sz w:val="20"/>
          <w:szCs w:val="20"/>
          <w:highlight w:val="none"/>
        </w:rPr>
        <w:t>文件、澄清表（函）；</w:t>
      </w:r>
    </w:p>
    <w:p w14:paraId="0FF68CC0">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2、本合同及附件文本；</w:t>
      </w:r>
    </w:p>
    <w:p w14:paraId="5B192B7D">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rPr>
        <w:t>3、合同签订时国家及行业现行的标准和技术规范</w:t>
      </w:r>
      <w:r>
        <w:rPr>
          <w:rFonts w:hint="eastAsia" w:ascii="仿宋" w:hAnsi="仿宋" w:eastAsia="仿宋" w:cs="仿宋"/>
          <w:sz w:val="20"/>
          <w:szCs w:val="20"/>
          <w:highlight w:val="none"/>
          <w:lang w:eastAsia="zh-CN"/>
        </w:rPr>
        <w:t>；</w:t>
      </w:r>
    </w:p>
    <w:p w14:paraId="25DB53C7">
      <w:pPr>
        <w:keepNext w:val="0"/>
        <w:keepLines w:val="0"/>
        <w:pageBreakBefore w:val="0"/>
        <w:widowControl/>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rPr>
        <w:t>（五）</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应向</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提交项目实施过程中的所有资料，以便</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日后管理和维护</w:t>
      </w:r>
      <w:r>
        <w:rPr>
          <w:rFonts w:hint="eastAsia" w:ascii="仿宋" w:hAnsi="仿宋" w:eastAsia="仿宋" w:cs="仿宋"/>
          <w:sz w:val="20"/>
          <w:szCs w:val="20"/>
          <w:highlight w:val="none"/>
          <w:lang w:eastAsia="zh-CN"/>
        </w:rPr>
        <w:t>。</w:t>
      </w:r>
    </w:p>
    <w:p w14:paraId="1F12895A">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七、权利和义务</w:t>
      </w:r>
    </w:p>
    <w:p w14:paraId="6A1F7B83">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（一）甲方的权利和义务</w:t>
      </w:r>
    </w:p>
    <w:p w14:paraId="41421D2A">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1、本项目实施监管和指导。</w:t>
      </w:r>
    </w:p>
    <w:p w14:paraId="545DB7D7">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2、</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进场人员实施前需经过</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确认，</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有权对人员提出调整要求，</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需积极配合。</w:t>
      </w:r>
    </w:p>
    <w:p w14:paraId="3454C949">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（二）乙方的权利和义务</w:t>
      </w:r>
    </w:p>
    <w:p w14:paraId="07D5052C">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1、要求</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为本合同标的的服务工作开展提供必要的资料和便利。</w:t>
      </w:r>
    </w:p>
    <w:p w14:paraId="0C974ACA">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2、要求</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按照本合同约定支付合同款项。</w:t>
      </w:r>
    </w:p>
    <w:p w14:paraId="1424E285">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3、</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不得擅自将本合同委托事项转委托/转包/分包给第三方。</w:t>
      </w:r>
    </w:p>
    <w:p w14:paraId="7E18DE8F">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八、售后服务</w:t>
      </w:r>
    </w:p>
    <w:p w14:paraId="18C7ECAD">
      <w:pPr>
        <w:keepNext w:val="0"/>
        <w:keepLines w:val="0"/>
        <w:pageBreakBefore w:val="0"/>
        <w:tabs>
          <w:tab w:val="left" w:pos="480"/>
        </w:tabs>
        <w:kinsoku/>
        <w:overflowPunct/>
        <w:topLinePunct w:val="0"/>
        <w:autoSpaceDE/>
        <w:autoSpaceDN/>
        <w:bidi w:val="0"/>
        <w:adjustRightInd/>
        <w:snapToGrid w:val="0"/>
        <w:spacing w:line="360" w:lineRule="auto"/>
        <w:ind w:firstLine="392" w:firstLineChars="196"/>
        <w:textAlignment w:val="auto"/>
        <w:rPr>
          <w:rFonts w:hint="eastAsia" w:ascii="仿宋" w:hAnsi="仿宋" w:eastAsia="仿宋" w:cs="仿宋"/>
          <w:color w:val="000000"/>
          <w:sz w:val="20"/>
          <w:szCs w:val="20"/>
          <w:highlight w:val="none"/>
        </w:rPr>
      </w:pPr>
      <w:r>
        <w:rPr>
          <w:rFonts w:hint="eastAsia" w:ascii="仿宋" w:hAnsi="仿宋" w:eastAsia="仿宋" w:cs="仿宋"/>
          <w:sz w:val="20"/>
          <w:szCs w:val="20"/>
          <w:highlight w:val="none"/>
        </w:rPr>
        <w:t>质保期：</w:t>
      </w:r>
      <w:r>
        <w:rPr>
          <w:rFonts w:hint="eastAsia" w:ascii="仿宋" w:hAnsi="仿宋" w:eastAsia="仿宋" w:cs="仿宋"/>
          <w:color w:val="000000"/>
          <w:sz w:val="20"/>
          <w:szCs w:val="20"/>
          <w:highlight w:val="none"/>
        </w:rPr>
        <w:t>本项目质保</w:t>
      </w:r>
      <w:r>
        <w:rPr>
          <w:rFonts w:hint="eastAsia" w:ascii="仿宋" w:hAnsi="仿宋" w:eastAsia="仿宋" w:cs="仿宋"/>
          <w:color w:val="000000"/>
          <w:sz w:val="20"/>
          <w:szCs w:val="20"/>
          <w:highlight w:val="none"/>
          <w:lang w:val="en-US" w:eastAsia="zh-CN"/>
        </w:rPr>
        <w:t>期为自验收合格之日起</w:t>
      </w:r>
      <w:r>
        <w:rPr>
          <w:rFonts w:hint="eastAsia" w:ascii="仿宋" w:hAnsi="仿宋" w:eastAsia="仿宋" w:cs="仿宋"/>
          <w:color w:val="000000"/>
          <w:sz w:val="20"/>
          <w:szCs w:val="20"/>
          <w:highlight w:val="none"/>
          <w:u w:val="single"/>
          <w:lang w:val="en-US" w:eastAsia="zh-CN"/>
        </w:rPr>
        <w:t xml:space="preserve">      </w:t>
      </w:r>
      <w:r>
        <w:rPr>
          <w:rFonts w:hint="eastAsia" w:ascii="仿宋" w:hAnsi="仿宋" w:eastAsia="仿宋" w:cs="仿宋"/>
          <w:color w:val="000000"/>
          <w:sz w:val="20"/>
          <w:szCs w:val="20"/>
          <w:highlight w:val="none"/>
          <w:u w:val="none"/>
          <w:lang w:val="en-US" w:eastAsia="zh-CN"/>
        </w:rPr>
        <w:t>年</w:t>
      </w:r>
      <w:r>
        <w:rPr>
          <w:rFonts w:hint="eastAsia" w:ascii="仿宋" w:hAnsi="仿宋" w:eastAsia="仿宋" w:cs="仿宋"/>
          <w:color w:val="000000"/>
          <w:sz w:val="20"/>
          <w:szCs w:val="20"/>
          <w:highlight w:val="none"/>
        </w:rPr>
        <w:t>。</w:t>
      </w:r>
      <w:r>
        <w:rPr>
          <w:rFonts w:hint="eastAsia" w:ascii="仿宋" w:hAnsi="仿宋" w:eastAsia="仿宋" w:cs="仿宋"/>
          <w:sz w:val="20"/>
          <w:szCs w:val="20"/>
          <w:highlight w:val="none"/>
        </w:rPr>
        <w:t>若该质量保证期小于国家标准，则以国家标准为准。产品终身维修。</w:t>
      </w:r>
    </w:p>
    <w:p w14:paraId="2D5AAAE4">
      <w:pPr>
        <w:keepNext w:val="0"/>
        <w:keepLines w:val="0"/>
        <w:pageBreakBefore w:val="0"/>
        <w:tabs>
          <w:tab w:val="left" w:pos="480"/>
        </w:tabs>
        <w:kinsoku/>
        <w:overflowPunct/>
        <w:topLinePunct w:val="0"/>
        <w:autoSpaceDE/>
        <w:autoSpaceDN/>
        <w:bidi w:val="0"/>
        <w:adjustRightInd/>
        <w:snapToGrid w:val="0"/>
        <w:spacing w:line="360" w:lineRule="auto"/>
        <w:ind w:firstLine="392" w:firstLineChars="196"/>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维护保养期：</w:t>
      </w:r>
      <w:r>
        <w:rPr>
          <w:rFonts w:hint="eastAsia" w:ascii="仿宋" w:hAnsi="仿宋" w:eastAsia="仿宋" w:cs="仿宋"/>
          <w:color w:val="000000"/>
          <w:sz w:val="20"/>
          <w:szCs w:val="20"/>
          <w:highlight w:val="none"/>
        </w:rPr>
        <w:t>本项目</w:t>
      </w:r>
      <w:r>
        <w:rPr>
          <w:rFonts w:hint="eastAsia" w:ascii="仿宋" w:hAnsi="仿宋" w:eastAsia="仿宋" w:cs="仿宋"/>
          <w:color w:val="000000"/>
          <w:sz w:val="20"/>
          <w:szCs w:val="20"/>
          <w:highlight w:val="none"/>
          <w:lang w:val="en-US" w:eastAsia="zh-CN"/>
        </w:rPr>
        <w:t>维护保养</w:t>
      </w:r>
      <w:r>
        <w:rPr>
          <w:rFonts w:hint="eastAsia" w:ascii="仿宋" w:hAnsi="仿宋" w:eastAsia="仿宋" w:cs="仿宋"/>
          <w:color w:val="000000"/>
          <w:sz w:val="20"/>
          <w:szCs w:val="20"/>
          <w:highlight w:val="none"/>
        </w:rPr>
        <w:t>期为</w:t>
      </w:r>
      <w:r>
        <w:rPr>
          <w:rFonts w:hint="eastAsia" w:ascii="仿宋" w:hAnsi="仿宋" w:eastAsia="仿宋" w:cs="仿宋"/>
          <w:color w:val="000000"/>
          <w:sz w:val="20"/>
          <w:szCs w:val="20"/>
          <w:highlight w:val="none"/>
          <w:lang w:val="en-US" w:eastAsia="zh-CN"/>
        </w:rPr>
        <w:t>自验收合格之日起</w:t>
      </w:r>
      <w:r>
        <w:rPr>
          <w:rFonts w:hint="eastAsia" w:ascii="仿宋" w:hAnsi="仿宋" w:eastAsia="仿宋" w:cs="仿宋"/>
          <w:color w:val="000000"/>
          <w:sz w:val="20"/>
          <w:szCs w:val="20"/>
          <w:highlight w:val="none"/>
          <w:u w:val="single"/>
          <w:lang w:val="en-US" w:eastAsia="zh-CN"/>
        </w:rPr>
        <w:t xml:space="preserve">     </w:t>
      </w:r>
      <w:r>
        <w:rPr>
          <w:rFonts w:hint="eastAsia" w:ascii="仿宋" w:hAnsi="仿宋" w:eastAsia="仿宋" w:cs="仿宋"/>
          <w:color w:val="000000"/>
          <w:sz w:val="20"/>
          <w:szCs w:val="20"/>
          <w:highlight w:val="none"/>
          <w:u w:val="none"/>
          <w:lang w:val="en-US" w:eastAsia="zh-CN"/>
        </w:rPr>
        <w:t>年</w:t>
      </w:r>
      <w:r>
        <w:rPr>
          <w:rFonts w:hint="eastAsia" w:ascii="仿宋" w:hAnsi="仿宋" w:eastAsia="仿宋" w:cs="仿宋"/>
          <w:color w:val="000000"/>
          <w:sz w:val="20"/>
          <w:szCs w:val="20"/>
          <w:highlight w:val="none"/>
        </w:rPr>
        <w:t>。</w:t>
      </w:r>
    </w:p>
    <w:p w14:paraId="67B23660">
      <w:pPr>
        <w:keepNext w:val="0"/>
        <w:keepLines w:val="0"/>
        <w:pageBreakBefore w:val="0"/>
        <w:widowControl/>
        <w:kinsoku/>
        <w:wordWrap w:val="0"/>
        <w:overflowPunct/>
        <w:topLinePunct w:val="0"/>
        <w:autoSpaceDE/>
        <w:autoSpaceDN/>
        <w:bidi w:val="0"/>
        <w:adjustRightInd/>
        <w:snapToGrid w:val="0"/>
        <w:spacing w:line="360" w:lineRule="auto"/>
        <w:ind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（一）质保期内</w:t>
      </w:r>
    </w:p>
    <w:p w14:paraId="2D299C59">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1、凡正常使用中出现的故障，均由</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负责提供免费检测维修、更换不合格的零部件直至整机（更换的零部件或整机应保证自更换之日起提供相同的质量保证期），若需返厂处理，</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应承担相关费用。同时记录检修情况，并向</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提供检修报告。</w:t>
      </w:r>
    </w:p>
    <w:p w14:paraId="7087D693">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2、凡设备发生质量问题或出现其他故障，接到</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通知后，服务响应时间不超过</w:t>
      </w:r>
      <w:r>
        <w:rPr>
          <w:rFonts w:hint="eastAsia" w:ascii="仿宋" w:hAnsi="仿宋" w:eastAsia="仿宋" w:cs="仿宋"/>
          <w:sz w:val="20"/>
          <w:szCs w:val="20"/>
          <w:highlight w:val="none"/>
          <w:lang w:val="en-US" w:eastAsia="zh-CN"/>
        </w:rPr>
        <w:t>30分钟</w:t>
      </w:r>
      <w:r>
        <w:rPr>
          <w:rFonts w:hint="eastAsia" w:ascii="仿宋" w:hAnsi="仿宋" w:eastAsia="仿宋" w:cs="仿宋"/>
          <w:sz w:val="20"/>
          <w:szCs w:val="20"/>
          <w:highlight w:val="none"/>
        </w:rPr>
        <w:t>，2 小时内派专业维修人员到达现场，4 小时内排除故障。排除故障的期限最长不得超过两个工作日，否则</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有权指定第三方维修，维修费用由</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承担。</w:t>
      </w:r>
    </w:p>
    <w:p w14:paraId="135B0EF3">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rPr>
        <w:t>3、免费提供每周 7×24 小时不间断的电话支持服务，解答用户在使用过程中遇到的问题，及时提出解决</w:t>
      </w:r>
      <w:r>
        <w:rPr>
          <w:rFonts w:hint="eastAsia" w:ascii="仿宋" w:hAnsi="仿宋" w:eastAsia="仿宋" w:cs="仿宋"/>
          <w:sz w:val="20"/>
          <w:szCs w:val="20"/>
          <w:highlight w:val="none"/>
        </w:rPr>
        <w:t>问题的建议和对策。</w:t>
      </w:r>
    </w:p>
    <w:p w14:paraId="2669C8BC">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4、定期派专业维修人员到现场走访，给予检查维护。并向</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提供巡检单（一式两份，由双方签字确认），内容包含但不限于巡检时间、巡检内容、巡检结果。</w:t>
      </w:r>
    </w:p>
    <w:p w14:paraId="107FA400">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5、款项结清前，对所供产品进行一次全面检测、保养和维护。</w:t>
      </w:r>
    </w:p>
    <w:p w14:paraId="641F3C53">
      <w:pPr>
        <w:keepNext w:val="0"/>
        <w:keepLines w:val="0"/>
        <w:pageBreakBefore w:val="0"/>
        <w:widowControl/>
        <w:kinsoku/>
        <w:wordWrap w:val="0"/>
        <w:overflowPunct/>
        <w:topLinePunct w:val="0"/>
        <w:autoSpaceDE/>
        <w:autoSpaceDN/>
        <w:bidi w:val="0"/>
        <w:adjustRightInd/>
        <w:snapToGrid w:val="0"/>
        <w:spacing w:line="360" w:lineRule="auto"/>
        <w:ind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（二）质保期满后</w:t>
      </w:r>
    </w:p>
    <w:p w14:paraId="72FB52B5">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应保证以合理的价格提供维护和保养服务，当发生故障时，</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应按质保期内相同的服务标准进行维护处理。</w:t>
      </w:r>
    </w:p>
    <w:p w14:paraId="07F75C54">
      <w:pPr>
        <w:keepNext w:val="0"/>
        <w:keepLines w:val="0"/>
        <w:pageBreakBefore w:val="0"/>
        <w:widowControl/>
        <w:kinsoku/>
        <w:wordWrap w:val="0"/>
        <w:overflowPunct/>
        <w:topLinePunct w:val="0"/>
        <w:autoSpaceDE/>
        <w:autoSpaceDN/>
        <w:bidi w:val="0"/>
        <w:adjustRightInd/>
        <w:snapToGrid w:val="0"/>
        <w:spacing w:line="360" w:lineRule="auto"/>
        <w:ind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（三）人员培训</w:t>
      </w:r>
    </w:p>
    <w:p w14:paraId="503BCC06">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提供产品的现场培训，使</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操作、维护人员掌握操作使用、维护保养及其他必备知识。</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要求派遣专业技术人员参与项目实施的，在项目整体实施及质保期内，随时向</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技术人员讲解技术和实施方案。</w:t>
      </w:r>
    </w:p>
    <w:p w14:paraId="21000C73">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培训费用已包含在合同总价内。</w:t>
      </w:r>
    </w:p>
    <w:p w14:paraId="5F2C08D5">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rPr>
      </w:pPr>
      <w:r>
        <w:rPr>
          <w:rFonts w:hint="eastAsia" w:ascii="仿宋" w:hAnsi="仿宋" w:eastAsia="仿宋" w:cs="仿宋"/>
          <w:b/>
          <w:sz w:val="20"/>
          <w:szCs w:val="20"/>
        </w:rPr>
        <w:t>九、技术与服务</w:t>
      </w:r>
    </w:p>
    <w:p w14:paraId="1583E0F1">
      <w:pPr>
        <w:keepNext w:val="0"/>
        <w:keepLines w:val="0"/>
        <w:pageBreakBefore w:val="0"/>
        <w:widowControl/>
        <w:kinsoku/>
        <w:overflowPunct/>
        <w:topLinePunct w:val="0"/>
        <w:autoSpaceDE/>
        <w:autoSpaceDN/>
        <w:bidi w:val="0"/>
        <w:adjustRightInd/>
        <w:snapToGrid w:val="0"/>
        <w:spacing w:line="360" w:lineRule="auto"/>
        <w:ind w:firstLine="402" w:firstLineChars="200"/>
        <w:textAlignment w:val="auto"/>
        <w:rPr>
          <w:rFonts w:hint="eastAsia" w:ascii="仿宋" w:hAnsi="仿宋" w:eastAsia="仿宋" w:cs="仿宋"/>
          <w:b/>
          <w:sz w:val="20"/>
          <w:szCs w:val="20"/>
        </w:rPr>
      </w:pPr>
      <w:r>
        <w:rPr>
          <w:rFonts w:hint="eastAsia" w:ascii="仿宋" w:hAnsi="仿宋" w:eastAsia="仿宋" w:cs="仿宋"/>
          <w:b/>
          <w:sz w:val="20"/>
          <w:szCs w:val="20"/>
        </w:rPr>
        <w:t>（一）技术资料</w:t>
      </w:r>
    </w:p>
    <w:p w14:paraId="0F0A8EB6">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1、产品合格证；</w:t>
      </w:r>
    </w:p>
    <w:p w14:paraId="2B5D2231">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2、产品技术参数；</w:t>
      </w:r>
    </w:p>
    <w:p w14:paraId="6B6E3C40">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3、产品使用维护说明书（中文）；</w:t>
      </w:r>
    </w:p>
    <w:p w14:paraId="3133BF97">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4、其它资料。</w:t>
      </w:r>
    </w:p>
    <w:p w14:paraId="503F3B54">
      <w:pPr>
        <w:keepNext w:val="0"/>
        <w:keepLines w:val="0"/>
        <w:pageBreakBefore w:val="0"/>
        <w:widowControl/>
        <w:kinsoku/>
        <w:overflowPunct/>
        <w:topLinePunct w:val="0"/>
        <w:autoSpaceDE/>
        <w:autoSpaceDN/>
        <w:bidi w:val="0"/>
        <w:adjustRightInd/>
        <w:snapToGrid w:val="0"/>
        <w:spacing w:line="360" w:lineRule="auto"/>
        <w:ind w:firstLine="402" w:firstLineChars="200"/>
        <w:textAlignment w:val="auto"/>
        <w:rPr>
          <w:rFonts w:hint="eastAsia" w:ascii="仿宋" w:hAnsi="仿宋" w:eastAsia="仿宋" w:cs="仿宋"/>
          <w:b/>
          <w:sz w:val="20"/>
          <w:szCs w:val="20"/>
        </w:rPr>
      </w:pPr>
      <w:r>
        <w:rPr>
          <w:rFonts w:hint="eastAsia" w:ascii="仿宋" w:hAnsi="仿宋" w:eastAsia="仿宋" w:cs="仿宋"/>
          <w:b/>
          <w:sz w:val="20"/>
          <w:szCs w:val="20"/>
        </w:rPr>
        <w:t>（二）服务承诺</w:t>
      </w:r>
    </w:p>
    <w:p w14:paraId="6C42B4F3">
      <w:pPr>
        <w:keepNext w:val="0"/>
        <w:keepLines w:val="0"/>
        <w:pageBreakBefore w:val="0"/>
        <w:widowControl/>
        <w:kinsoku/>
        <w:overflowPunct/>
        <w:topLinePunct w:val="0"/>
        <w:autoSpaceDE/>
        <w:autoSpaceDN/>
        <w:bidi w:val="0"/>
        <w:adjustRightInd/>
        <w:snapToGrid w:val="0"/>
        <w:spacing w:line="360" w:lineRule="auto"/>
        <w:ind w:firstLine="567"/>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以</w:t>
      </w:r>
      <w:r>
        <w:rPr>
          <w:rFonts w:hint="eastAsia" w:ascii="仿宋" w:hAnsi="仿宋" w:eastAsia="仿宋" w:cs="仿宋"/>
          <w:sz w:val="20"/>
          <w:szCs w:val="20"/>
          <w:highlight w:val="none"/>
          <w:lang w:val="en-US" w:eastAsia="zh-CN"/>
        </w:rPr>
        <w:t>响应</w:t>
      </w:r>
      <w:r>
        <w:rPr>
          <w:rFonts w:hint="eastAsia" w:ascii="仿宋" w:hAnsi="仿宋" w:eastAsia="仿宋" w:cs="仿宋"/>
          <w:sz w:val="20"/>
          <w:szCs w:val="20"/>
          <w:highlight w:val="none"/>
        </w:rPr>
        <w:t>文件、澄清表（函）、合同和随产品的相关文件为准。</w:t>
      </w:r>
    </w:p>
    <w:p w14:paraId="287CD926">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十、争议解决</w:t>
      </w:r>
    </w:p>
    <w:p w14:paraId="7B2CD378">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和</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在协议履行过程中发生纠纷，由其双方协商解决，协商不成的，依法向</w:t>
      </w:r>
      <w:r>
        <w:rPr>
          <w:rFonts w:hint="eastAsia" w:ascii="仿宋" w:hAnsi="仿宋" w:eastAsia="仿宋" w:cs="仿宋"/>
          <w:color w:val="000000"/>
          <w:sz w:val="20"/>
          <w:szCs w:val="20"/>
          <w:highlight w:val="none"/>
        </w:rPr>
        <w:t>甲方</w:t>
      </w:r>
      <w:r>
        <w:rPr>
          <w:rFonts w:hint="eastAsia" w:ascii="仿宋" w:hAnsi="仿宋" w:eastAsia="仿宋" w:cs="仿宋"/>
          <w:sz w:val="20"/>
          <w:szCs w:val="20"/>
          <w:highlight w:val="none"/>
        </w:rPr>
        <w:t>所在地有管辖权的人民法院提起诉讼。诉讼期间，</w:t>
      </w:r>
      <w:r>
        <w:rPr>
          <w:rFonts w:hint="eastAsia" w:ascii="仿宋" w:hAnsi="仿宋" w:eastAsia="仿宋" w:cs="仿宋"/>
          <w:color w:val="000000"/>
          <w:sz w:val="20"/>
          <w:szCs w:val="20"/>
          <w:highlight w:val="none"/>
        </w:rPr>
        <w:t>无争议条款</w:t>
      </w:r>
      <w:r>
        <w:rPr>
          <w:rFonts w:hint="eastAsia" w:ascii="仿宋" w:hAnsi="仿宋" w:eastAsia="仿宋" w:cs="仿宋"/>
          <w:sz w:val="20"/>
          <w:szCs w:val="20"/>
          <w:highlight w:val="none"/>
        </w:rPr>
        <w:t>，合同继续履行。</w:t>
      </w:r>
    </w:p>
    <w:p w14:paraId="4169707D">
      <w:pPr>
        <w:keepNext w:val="0"/>
        <w:keepLines w:val="0"/>
        <w:pageBreakBefore w:val="0"/>
        <w:tabs>
          <w:tab w:val="left" w:pos="0"/>
          <w:tab w:val="center" w:pos="4153"/>
        </w:tabs>
        <w:kinsoku/>
        <w:overflowPunct/>
        <w:topLinePunct w:val="0"/>
        <w:autoSpaceDE/>
        <w:autoSpaceDN/>
        <w:bidi w:val="0"/>
        <w:adjustRightInd/>
        <w:snapToGrid w:val="0"/>
        <w:spacing w:line="360" w:lineRule="auto"/>
        <w:textAlignment w:val="auto"/>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t>十一、违约责任</w:t>
      </w:r>
    </w:p>
    <w:p w14:paraId="1A282DCD">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（一）如</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延期交工，应按延期天数向</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支付每天逾期交付项目总价千分之一的违约金；但违约金累计不超过逾期交付项目款总额的 30%。</w:t>
      </w:r>
    </w:p>
    <w:p w14:paraId="64EE4C18">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所供产品在正常使用中，由于产品本身质量问题给</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或</w:t>
      </w:r>
      <w:r>
        <w:rPr>
          <w:rFonts w:hint="eastAsia" w:ascii="仿宋" w:hAnsi="仿宋" w:eastAsia="仿宋" w:cs="仿宋"/>
          <w:color w:val="000000"/>
          <w:sz w:val="20"/>
          <w:szCs w:val="20"/>
          <w:highlight w:val="none"/>
        </w:rPr>
        <w:t>第三人</w:t>
      </w:r>
      <w:r>
        <w:rPr>
          <w:rFonts w:hint="eastAsia" w:ascii="仿宋" w:hAnsi="仿宋" w:eastAsia="仿宋" w:cs="仿宋"/>
          <w:sz w:val="20"/>
          <w:szCs w:val="20"/>
          <w:highlight w:val="none"/>
        </w:rPr>
        <w:t>造成损失的，</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应负责赔偿</w:t>
      </w:r>
      <w:r>
        <w:rPr>
          <w:rFonts w:hint="eastAsia" w:ascii="仿宋" w:hAnsi="仿宋" w:eastAsia="仿宋" w:cs="仿宋"/>
          <w:color w:val="000000"/>
          <w:sz w:val="20"/>
          <w:szCs w:val="20"/>
          <w:highlight w:val="none"/>
        </w:rPr>
        <w:t>与甲方无关</w:t>
      </w:r>
      <w:r>
        <w:rPr>
          <w:rFonts w:hint="eastAsia" w:ascii="仿宋" w:hAnsi="仿宋" w:eastAsia="仿宋" w:cs="仿宋"/>
          <w:sz w:val="20"/>
          <w:szCs w:val="20"/>
          <w:highlight w:val="none"/>
        </w:rPr>
        <w:t>。</w:t>
      </w:r>
    </w:p>
    <w:p w14:paraId="559BE175">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（三）</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提供的电梯土建图有误或是</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在对电梯井道、底坑等土建部分进行验收时不认真而导致电梯无法安装所发生的费用及损失由</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承担，由此引起的安装工期延误按本条第（一）款处理。</w:t>
      </w:r>
    </w:p>
    <w:p w14:paraId="2B49669D">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（四）不可抗力事件应根据《民法典》的要求进行处理。</w:t>
      </w:r>
    </w:p>
    <w:p w14:paraId="31BF5A25">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（五）未按合同要求提供产品或产品质量不能满足合同要求，</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应当将供应商违约的情况以及拟采取的措施以书面形式报政府采购监管部门，根据政府采购监管部门的处理意见，</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rPr>
        <w:t>有</w:t>
      </w:r>
      <w:r>
        <w:rPr>
          <w:rFonts w:hint="eastAsia" w:ascii="仿宋" w:hAnsi="仿宋" w:eastAsia="仿宋" w:cs="仿宋"/>
          <w:sz w:val="20"/>
          <w:szCs w:val="20"/>
        </w:rPr>
        <w:t>权依据《民法典》</w:t>
      </w:r>
      <w:r>
        <w:rPr>
          <w:rFonts w:hint="eastAsia" w:ascii="仿宋" w:hAnsi="仿宋" w:eastAsia="仿宋" w:cs="仿宋"/>
          <w:sz w:val="20"/>
          <w:szCs w:val="20"/>
          <w:highlight w:val="none"/>
        </w:rPr>
        <w:t>有关条款及合同约定终止合同，并要求</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承担违约责任。</w:t>
      </w:r>
      <w:r>
        <w:rPr>
          <w:rFonts w:hint="eastAsia" w:ascii="仿宋" w:hAnsi="仿宋" w:eastAsia="仿宋" w:cs="仿宋"/>
          <w:color w:val="000000"/>
          <w:sz w:val="20"/>
          <w:szCs w:val="20"/>
          <w:highlight w:val="none"/>
        </w:rPr>
        <w:t>但违约金累计不超过交付项目款总额的30%。</w:t>
      </w:r>
      <w:r>
        <w:rPr>
          <w:rFonts w:hint="eastAsia" w:ascii="仿宋" w:hAnsi="仿宋" w:eastAsia="仿宋" w:cs="仿宋"/>
          <w:sz w:val="20"/>
          <w:szCs w:val="20"/>
          <w:highlight w:val="none"/>
        </w:rPr>
        <w:t>同时，政府采购监管部门有权依据《中华人民共和国</w:t>
      </w:r>
      <w:r>
        <w:rPr>
          <w:rFonts w:hint="eastAsia" w:ascii="仿宋" w:hAnsi="仿宋" w:eastAsia="仿宋" w:cs="仿宋"/>
          <w:sz w:val="20"/>
          <w:szCs w:val="20"/>
          <w:highlight w:val="none"/>
          <w:lang w:val="en-US" w:eastAsia="zh-CN"/>
        </w:rPr>
        <w:t>政府采购法</w:t>
      </w:r>
      <w:r>
        <w:rPr>
          <w:rFonts w:hint="eastAsia" w:ascii="仿宋" w:hAnsi="仿宋" w:eastAsia="仿宋" w:cs="仿宋"/>
          <w:sz w:val="20"/>
          <w:szCs w:val="20"/>
          <w:highlight w:val="none"/>
        </w:rPr>
        <w:t>》及相关法律法规对</w:t>
      </w:r>
      <w:r>
        <w:rPr>
          <w:rFonts w:hint="eastAsia" w:ascii="仿宋" w:hAnsi="仿宋" w:eastAsia="仿宋" w:cs="仿宋"/>
          <w:sz w:val="20"/>
          <w:szCs w:val="20"/>
          <w:highlight w:val="none"/>
          <w:lang w:val="en-US" w:eastAsia="zh-CN"/>
        </w:rPr>
        <w:t>乙方</w:t>
      </w:r>
      <w:r>
        <w:rPr>
          <w:rFonts w:hint="eastAsia" w:ascii="仿宋" w:hAnsi="仿宋" w:eastAsia="仿宋" w:cs="仿宋"/>
          <w:sz w:val="20"/>
          <w:szCs w:val="20"/>
          <w:highlight w:val="none"/>
        </w:rPr>
        <w:t>的违法行为进行相应的处罚。</w:t>
      </w:r>
    </w:p>
    <w:p w14:paraId="5485660C">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十二、安全责任</w:t>
      </w:r>
    </w:p>
    <w:p w14:paraId="23829FBB">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施工期间发生的人员、货物等一切安全事故给甲乙双方及第三方造成损失的，均由乙方承担。</w:t>
      </w:r>
    </w:p>
    <w:p w14:paraId="3299DBC4">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十三、合同解除</w:t>
      </w:r>
    </w:p>
    <w:p w14:paraId="0B91DD8C">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项目如因相关审批未手续未能取得，导致项目无法进行，则本合同自动作废。</w:t>
      </w:r>
    </w:p>
    <w:p w14:paraId="08B5EAE9">
      <w:pPr>
        <w:keepNext w:val="0"/>
        <w:keepLines w:val="0"/>
        <w:pageBreakBefore w:val="0"/>
        <w:widowControl/>
        <w:kinsoku/>
        <w:overflowPunct/>
        <w:topLinePunct w:val="0"/>
        <w:autoSpaceDE/>
        <w:autoSpaceDN/>
        <w:bidi w:val="0"/>
        <w:adjustRightInd/>
        <w:snapToGrid w:val="0"/>
        <w:spacing w:before="120" w:beforeLines="50" w:line="360" w:lineRule="auto"/>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十四、合同生效</w:t>
      </w:r>
    </w:p>
    <w:p w14:paraId="1820FC4D">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（一）本合同自签订之日起生效。</w:t>
      </w:r>
    </w:p>
    <w:p w14:paraId="2EF2B56B">
      <w:pPr>
        <w:keepNext w:val="0"/>
        <w:keepLines w:val="0"/>
        <w:pageBreakBefore w:val="0"/>
        <w:widowControl/>
        <w:kinsoku/>
        <w:wordWrap w:val="0"/>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（二）合同一式</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份，</w:t>
      </w:r>
      <w:r>
        <w:rPr>
          <w:rFonts w:hint="eastAsia" w:ascii="仿宋" w:hAnsi="仿宋" w:eastAsia="仿宋" w:cs="仿宋"/>
          <w:color w:val="000000"/>
          <w:sz w:val="20"/>
          <w:szCs w:val="20"/>
          <w:highlight w:val="none"/>
          <w:lang w:val="en-US" w:eastAsia="zh-CN"/>
        </w:rPr>
        <w:t>甲方</w:t>
      </w:r>
      <w:r>
        <w:rPr>
          <w:rFonts w:hint="eastAsia" w:ascii="仿宋" w:hAnsi="仿宋" w:eastAsia="仿宋" w:cs="仿宋"/>
          <w:sz w:val="20"/>
          <w:szCs w:val="20"/>
          <w:highlight w:val="none"/>
          <w:lang w:val="en-US" w:eastAsia="zh-CN"/>
        </w:rPr>
        <w:t>6份</w:t>
      </w: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乙方1</w:t>
      </w:r>
      <w:r>
        <w:rPr>
          <w:rFonts w:hint="eastAsia" w:ascii="仿宋" w:hAnsi="仿宋" w:eastAsia="仿宋" w:cs="仿宋"/>
          <w:sz w:val="20"/>
          <w:szCs w:val="20"/>
          <w:highlight w:val="none"/>
        </w:rPr>
        <w:t>份。</w:t>
      </w:r>
    </w:p>
    <w:p w14:paraId="1EDFEE33">
      <w:pPr>
        <w:keepNext w:val="0"/>
        <w:keepLines w:val="0"/>
        <w:pageBreakBefore w:val="0"/>
        <w:widowControl/>
        <w:kinsoku/>
        <w:overflowPunct/>
        <w:topLinePunct w:val="0"/>
        <w:autoSpaceDE/>
        <w:autoSpaceDN/>
        <w:bidi w:val="0"/>
        <w:adjustRightInd/>
        <w:snapToGrid w:val="0"/>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highlight w:val="none"/>
        </w:rPr>
        <w:t>（三）如本合同有未尽事宜，以</w:t>
      </w:r>
      <w:r>
        <w:rPr>
          <w:rFonts w:hint="eastAsia" w:ascii="仿宋" w:hAnsi="仿宋" w:eastAsia="仿宋" w:cs="仿宋"/>
          <w:sz w:val="20"/>
          <w:szCs w:val="20"/>
          <w:highlight w:val="none"/>
          <w:lang w:val="en-US" w:eastAsia="zh-CN"/>
        </w:rPr>
        <w:t>采购</w:t>
      </w:r>
      <w:r>
        <w:rPr>
          <w:rFonts w:hint="eastAsia" w:ascii="仿宋" w:hAnsi="仿宋" w:eastAsia="仿宋" w:cs="仿宋"/>
          <w:sz w:val="20"/>
          <w:szCs w:val="20"/>
          <w:highlight w:val="none"/>
        </w:rPr>
        <w:t>文件为准，</w:t>
      </w:r>
      <w:r>
        <w:rPr>
          <w:rFonts w:hint="eastAsia" w:ascii="仿宋" w:hAnsi="仿宋" w:eastAsia="仿宋" w:cs="仿宋"/>
          <w:sz w:val="20"/>
          <w:szCs w:val="20"/>
          <w:highlight w:val="none"/>
          <w:lang w:val="en-US" w:eastAsia="zh-CN"/>
        </w:rPr>
        <w:t>采购</w:t>
      </w:r>
      <w:r>
        <w:rPr>
          <w:rFonts w:hint="eastAsia" w:ascii="仿宋" w:hAnsi="仿宋" w:eastAsia="仿宋" w:cs="仿宋"/>
          <w:sz w:val="20"/>
          <w:szCs w:val="20"/>
          <w:highlight w:val="none"/>
        </w:rPr>
        <w:t>文件未做</w:t>
      </w:r>
      <w:r>
        <w:rPr>
          <w:rFonts w:hint="eastAsia" w:ascii="仿宋" w:hAnsi="仿宋" w:eastAsia="仿宋" w:cs="仿宋"/>
          <w:sz w:val="20"/>
          <w:szCs w:val="20"/>
        </w:rPr>
        <w:t>要求的，由双方依法订立补充合同。</w:t>
      </w:r>
    </w:p>
    <w:p w14:paraId="537C5C32">
      <w:pPr>
        <w:pStyle w:val="7"/>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0"/>
          <w:szCs w:val="20"/>
        </w:rPr>
      </w:pPr>
      <w:r>
        <w:rPr>
          <w:rFonts w:hint="eastAsia" w:ascii="仿宋" w:hAnsi="仿宋" w:eastAsia="仿宋" w:cs="仿宋"/>
          <w:sz w:val="20"/>
          <w:szCs w:val="20"/>
        </w:rPr>
        <w:t>（以下无正文）</w:t>
      </w:r>
    </w:p>
    <w:p w14:paraId="07126259">
      <w:pPr>
        <w:pStyle w:val="7"/>
        <w:keepNext w:val="0"/>
        <w:keepLines w:val="0"/>
        <w:pageBreakBefore w:val="0"/>
        <w:numPr>
          <w:ilvl w:val="0"/>
          <w:numId w:val="0"/>
        </w:numPr>
        <w:kinsoku/>
        <w:wordWrap/>
        <w:overflowPunct/>
        <w:topLinePunct w:val="0"/>
        <w:autoSpaceDE/>
        <w:autoSpaceDN/>
        <w:bidi w:val="0"/>
        <w:adjustRightInd/>
        <w:snapToGrid w:val="0"/>
        <w:spacing w:line="360" w:lineRule="auto"/>
        <w:ind w:leftChars="0"/>
        <w:textAlignment w:val="auto"/>
        <w:rPr>
          <w:rFonts w:hint="eastAsia" w:ascii="仿宋" w:hAnsi="仿宋" w:eastAsia="仿宋" w:cs="仿宋"/>
          <w:sz w:val="20"/>
          <w:szCs w:val="20"/>
        </w:rPr>
      </w:pPr>
    </w:p>
    <w:p w14:paraId="2C312D40">
      <w:pPr>
        <w:pStyle w:val="7"/>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 xml:space="preserve">甲方：（盖公章）                 </w:t>
      </w:r>
      <w:r>
        <w:rPr>
          <w:rFonts w:hint="eastAsia" w:ascii="仿宋" w:hAnsi="仿宋" w:eastAsia="仿宋" w:cs="仿宋"/>
          <w:sz w:val="20"/>
          <w:szCs w:val="20"/>
          <w:lang w:val="en-US" w:eastAsia="zh-CN"/>
        </w:rPr>
        <w:tab/>
      </w:r>
      <w:r>
        <w:rPr>
          <w:rFonts w:hint="eastAsia" w:ascii="仿宋" w:hAnsi="仿宋" w:eastAsia="仿宋" w:cs="仿宋"/>
          <w:sz w:val="20"/>
          <w:szCs w:val="20"/>
          <w:lang w:val="en-US" w:eastAsia="zh-CN"/>
        </w:rPr>
        <w:tab/>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乙方：（盖公章）</w:t>
      </w:r>
    </w:p>
    <w:p w14:paraId="32F86E31">
      <w:pPr>
        <w:pStyle w:val="7"/>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 xml:space="preserve">法定代表人（授权人）:            </w:t>
      </w:r>
      <w:r>
        <w:rPr>
          <w:rFonts w:hint="eastAsia" w:ascii="仿宋" w:hAnsi="仿宋" w:eastAsia="仿宋" w:cs="仿宋"/>
          <w:sz w:val="20"/>
          <w:szCs w:val="20"/>
          <w:lang w:val="en-US" w:eastAsia="zh-CN"/>
        </w:rPr>
        <w:tab/>
      </w:r>
      <w:r>
        <w:rPr>
          <w:rFonts w:hint="eastAsia" w:ascii="仿宋" w:hAnsi="仿宋" w:eastAsia="仿宋" w:cs="仿宋"/>
          <w:sz w:val="20"/>
          <w:szCs w:val="20"/>
          <w:lang w:val="en-US" w:eastAsia="zh-CN"/>
        </w:rPr>
        <w:tab/>
      </w:r>
      <w:r>
        <w:rPr>
          <w:rFonts w:hint="eastAsia" w:ascii="仿宋" w:hAnsi="仿宋" w:eastAsia="仿宋" w:cs="仿宋"/>
          <w:sz w:val="20"/>
          <w:szCs w:val="20"/>
        </w:rPr>
        <w:t xml:space="preserve">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法定代表人（授权人）:</w:t>
      </w:r>
    </w:p>
    <w:p w14:paraId="03680077">
      <w:pPr>
        <w:ind w:firstLine="400" w:firstLineChars="200"/>
      </w:pPr>
      <w:r>
        <w:rPr>
          <w:rFonts w:hint="eastAsia" w:ascii="仿宋" w:hAnsi="仿宋" w:eastAsia="仿宋" w:cs="仿宋"/>
          <w:sz w:val="20"/>
          <w:szCs w:val="20"/>
        </w:rPr>
        <w:t xml:space="preserve">年    月    日             </w:t>
      </w:r>
      <w:r>
        <w:rPr>
          <w:rFonts w:hint="eastAsia" w:ascii="仿宋" w:hAnsi="仿宋" w:eastAsia="仿宋" w:cs="仿宋"/>
          <w:sz w:val="20"/>
          <w:szCs w:val="20"/>
          <w:lang w:val="en-US" w:eastAsia="zh-CN"/>
        </w:rPr>
        <w:tab/>
      </w:r>
      <w:r>
        <w:rPr>
          <w:rFonts w:hint="eastAsia" w:ascii="仿宋" w:hAnsi="仿宋" w:eastAsia="仿宋" w:cs="仿宋"/>
          <w:sz w:val="20"/>
          <w:szCs w:val="20"/>
          <w:lang w:val="en-US" w:eastAsia="zh-CN"/>
        </w:rPr>
        <w:tab/>
      </w:r>
      <w:r>
        <w:rPr>
          <w:rFonts w:hint="eastAsia" w:ascii="仿宋" w:hAnsi="仿宋" w:eastAsia="仿宋" w:cs="仿宋"/>
          <w:sz w:val="20"/>
          <w:szCs w:val="20"/>
          <w:lang w:val="en-US" w:eastAsia="zh-CN"/>
        </w:rPr>
        <w:tab/>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年    月    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ED92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D76B477">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D76B477">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4706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500"/>
    <w:rsid w:val="00945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2026-05-25T08:14:00Z</dcterms:created>
  <dc:creator>刘海召</dc:creator>
  <cp:lastModifiedBy>刘海召</cp:lastModifiedBy>
  <dcterms:modified xsi:type="dcterms:W3CDTF">2026-05-25T08:15:29Z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F1DB17A58CFE4FD392BF1F816CE5E245_11</vt:lpwstr>
  </property>
  <property fmtid="{D5CDD505-2E9C-101B-9397-08002B2CF9AE}" pid="4" name="KSOTemplateDocerSaveRecord">
    <vt:lpwstr>eyJoZGlkIjoiODA0MjMyMzAyMzNkOWQ5NDMxMzg5ZDc2ZmE4YTJmMTUiLCJ1c2VySWQiOiIyOTIyMzgzNTEifQ==</vt:lpwstr>
  </property>
</Properties>
</file>