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87B6F3">
      <w:pPr>
        <w:numPr>
          <w:ilvl w:val="0"/>
          <w:numId w:val="0"/>
        </w:numPr>
        <w:spacing w:line="36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一、招标文件评分标准中：</w:t>
      </w:r>
    </w:p>
    <w:p w14:paraId="6BDB5562">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拟派项目经理评审因素修改为：具有与本项目相关的机械类或电子类高级工程师计3分，中级计1分。（提供投标文件截止时间前一年内任意一个月在投标人单位缴纳社会保障资金的缴纳证明及相应证书）（拟派项目经理与技术负责人不能为同一人）</w:t>
      </w:r>
    </w:p>
    <w:p w14:paraId="0A102EA9">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拟派技术负责人评审因素修改为：具有与本项目相关的机械类或电子类或工程管理类高级工程师计2分，中级计1分。（提供投标文件截止时间前一年内任意一个月在投标人单位缴纳社会保障资金的缴纳证明及相应证书）（拟派项目经理与技术负责人不能为同一人）</w:t>
      </w:r>
    </w:p>
    <w:p w14:paraId="205A4676">
      <w:pPr>
        <w:numPr>
          <w:ilvl w:val="0"/>
          <w:numId w:val="0"/>
        </w:numPr>
        <w:spacing w:line="36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二、招标文件技术参数修改：</w:t>
      </w:r>
    </w:p>
    <w:p w14:paraId="005C78ED">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（1）B-3次低音箱功放第5条参数修改为：去掉“（提供CNAS或CMA认可的第三方机构出具的测试报告证明）”</w:t>
      </w:r>
    </w:p>
    <w:p w14:paraId="42F013F9">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（2）B-4超低音箱功放第5参数修改为：去掉“（提供CNAS或CMA认可的第三方机构出具的测试报告证明）”</w:t>
      </w:r>
    </w:p>
    <w:p w14:paraId="61613073">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（3）B-5拉声像音箱功放第5参数修改为：去掉“（提供CNAS或CMA认可的第三方机构出具的测试报告证明）”</w:t>
      </w:r>
    </w:p>
    <w:p w14:paraId="25A1CC11">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（4）B-6辅助音箱功放第5参数修改为：去掉“（提供CNAS或CMA认可的第三方机构出具的测试报告证明）”</w:t>
      </w:r>
    </w:p>
    <w:p w14:paraId="1DB4B2B2">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（5）C-1数字音频矩阵处理器第6.7.8条参数修改为：去掉“（提供CNAS或CMA认可的第三方机构出具的测试报告证明）”</w:t>
      </w:r>
    </w:p>
    <w:p w14:paraId="3BD0C004">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（6）C-2 32路数字调音台第3.5条参数修改为：去掉“（提供CNAS或CMA认可的第三方机构出具的测试报告证明）”</w:t>
      </w:r>
    </w:p>
    <w:p w14:paraId="7AC1F099">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（7）C-10无线数字会议主机第1.6.13条参数修改为：去掉“（提供CNAS或CMA认可的第三方机构出具的测试报告证明）”</w:t>
      </w:r>
    </w:p>
    <w:p w14:paraId="6A7EAD8A">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（8）C-16 8路时序(净化)电源第1.3条参数修改为：去掉“（提供CNAS或CMA认可的第三方机构出具的测试报告证明）”</w:t>
      </w:r>
    </w:p>
    <w:p w14:paraId="799D92B9">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（9）A-1 LED显示屏修改为：删除第15条参数</w:t>
      </w:r>
    </w:p>
    <w:p w14:paraId="1A73431C">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（10）A-2控制器修改为：删除第11条参数</w:t>
      </w:r>
      <w:r>
        <w:rPr>
          <w:rFonts w:hint="eastAsia" w:ascii="仿宋" w:hAnsi="仿宋" w:eastAsia="仿宋" w:cs="仿宋"/>
          <w:b w:val="0"/>
          <w:bCs w:val="0"/>
          <w:kern w:val="2"/>
          <w:sz w:val="24"/>
          <w:szCs w:val="24"/>
          <w:lang w:val="en-US" w:eastAsia="zh-CN" w:bidi="ar-SA"/>
        </w:rPr>
        <w:br w:type="textWrapping"/>
      </w:r>
      <w:r>
        <w:rPr>
          <w:rFonts w:hint="eastAsia" w:ascii="仿宋" w:hAnsi="仿宋" w:eastAsia="仿宋" w:cs="仿宋"/>
          <w:b w:val="0"/>
          <w:bCs w:val="0"/>
          <w:kern w:val="2"/>
          <w:sz w:val="24"/>
          <w:szCs w:val="24"/>
          <w:lang w:val="en-US" w:eastAsia="zh-CN" w:bidi="ar-SA"/>
        </w:rPr>
        <w:t>（11）A-1前檐幕吊杆、A-2电动吊杆、A-4灯光吊杆、A-5横侧条幕吊杆、A-8对开幕吊杆、A-9侧灯光吊架第4条修改为：“★4.吊点数：≥6个（提供承诺函，承诺内容包含（1）吊点数；（2）建成后提供由采购人认可的具有资质的第三方检测机构出具的符合GB/T·36727-2018-《舞台机械验收检测规范》及W1/T28-2007《舞台机械台上设备安全》的检测报告，供应商负责检测费用）”</w:t>
      </w:r>
    </w:p>
    <w:p w14:paraId="7DEDA948">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12）B-1前沿幕、B-2前沿幕衬里、B-3大幕、B-4大幕衬里、B-5横条幕、B-6竖条幕、B-7二幕、B-8二幕衬里、B-9对开底幕、B-10底幕衬里第4条修改为：“★4.燃烧性能（装饰用织物）：续燃时间≤5s，阴燃时间≤15s，损毁长度≤150mm，燃烧滴落物：未引起脱脂棉燃烧或阴燃（提供承诺函，承诺内容包含建成后提供满足GB8624-2012规定的B1级难燃标准的第三方检测报告，供应商负责检测费用）”</w:t>
      </w:r>
    </w:p>
    <w:p w14:paraId="182475CE">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（13）A-1分布式网络控制单元主机第2.8条修改为：去掉“（提供CNAS或CMA认可的第三方机构出具的测试报告证明）”；第13条修改为：去掉“▲及（提供CNAS或CMA认可的第三方机构出具的测试报告证明）”</w:t>
      </w:r>
    </w:p>
    <w:p w14:paraId="21DA27E4">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（14）A-6监视器第8.9条修改为：去掉“▲”</w:t>
      </w:r>
    </w:p>
    <w:p w14:paraId="70D375F2">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（15）A-1平台控制器第11条修改为：去掉“▲”</w:t>
      </w:r>
    </w:p>
    <w:p w14:paraId="38551160">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（16）A-11监视器第8.9条修改为：去掉“▲”</w:t>
      </w:r>
    </w:p>
    <w:p w14:paraId="320A4792">
      <w:pPr>
        <w:numPr>
          <w:ilvl w:val="0"/>
          <w:numId w:val="0"/>
        </w:numPr>
        <w:spacing w:line="36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三、增加参数</w:t>
      </w:r>
    </w:p>
    <w:p w14:paraId="12111473">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（1）POE交换机,1台</w:t>
      </w:r>
    </w:p>
    <w:p w14:paraId="2B3F879C">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1.交换容量≥670Gbps，包转发率≥200Mpps；</w:t>
      </w:r>
    </w:p>
    <w:p w14:paraId="3C941800">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2.≥24个2.5G端口，≥4个SFP+光口；</w:t>
      </w:r>
    </w:p>
    <w:p w14:paraId="3567C4E2">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▲3.支持POE/POE+，2个≥360W的PoE交流电源模块；</w:t>
      </w:r>
    </w:p>
    <w:p w14:paraId="3EF620EE">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4.支持静态/动态/跨设备链路聚合；</w:t>
      </w:r>
    </w:p>
    <w:p w14:paraId="65DB0F4F">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5.支持基于端口、协议、MAC的VLAN，最大VLAN数为4K；</w:t>
      </w:r>
    </w:p>
    <w:p w14:paraId="4194F24D">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6.支持 Ipv4/Ipv6协议，支持以太网运行、维护和管理标准；</w:t>
      </w:r>
    </w:p>
    <w:p w14:paraId="3C542B62">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7.支持snmp或telemetry技术；</w:t>
      </w:r>
    </w:p>
    <w:p w14:paraId="4ED639B3">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8.支持IPv4/IPv6静态路由、RIP V1/V2、OSPF、OSPFv3协议。</w:t>
      </w:r>
    </w:p>
    <w:p w14:paraId="3BF7915E">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9.支持端口防雷技术。</w:t>
      </w:r>
    </w:p>
    <w:p w14:paraId="75C0FA6F">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（2）高密AP，2个</w:t>
      </w:r>
    </w:p>
    <w:p w14:paraId="1B9A4EF1">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▲1.≥3射频，≥6条空间流，支持802.11ax技术及以上，整机接入速率≥3.8Gbps（提供CNAS或CMA认可的第三方机构出具的测试报告证明）；</w:t>
      </w:r>
    </w:p>
    <w:p w14:paraId="5DAFE3FE">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2.支持POE+供电；≥2个2.5G以太网接口；</w:t>
      </w:r>
    </w:p>
    <w:p w14:paraId="23C371E8">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3.内置智能天线，内置蓝牙和Zigbee射频；</w:t>
      </w:r>
    </w:p>
    <w:p w14:paraId="407D0C15">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4.支持Ipv4/Ipv6 协议，支持snmp或telemetry技术。</w:t>
      </w:r>
    </w:p>
    <w:p w14:paraId="7CF21C2C">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5.支持包含且不限于2.4Ghz+5Ghz+5Ghz、2.4Ghz+5Ghz+6Ghz工作模式。</w:t>
      </w:r>
    </w:p>
    <w:p w14:paraId="3FD2D46B">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要求：</w:t>
      </w:r>
    </w:p>
    <w:p w14:paraId="11784391">
      <w:pPr>
        <w:numPr>
          <w:ilvl w:val="0"/>
          <w:numId w:val="0"/>
        </w:numPr>
        <w:spacing w:line="360" w:lineRule="auto"/>
        <w:ind w:firstLine="480" w:firstLineChars="200"/>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1.提供连接校园网必须的光模块，跳线、CAT 6A网线等。</w:t>
      </w:r>
    </w:p>
    <w:p w14:paraId="39C433DE">
      <w:pPr>
        <w:spacing w:line="360" w:lineRule="auto"/>
        <w:ind w:firstLine="480" w:firstLineChars="200"/>
      </w:pPr>
      <w:bookmarkStart w:id="0" w:name="_GoBack"/>
      <w:bookmarkEnd w:id="0"/>
      <w:r>
        <w:rPr>
          <w:rFonts w:hint="eastAsia" w:ascii="仿宋" w:hAnsi="仿宋" w:eastAsia="仿宋" w:cs="仿宋"/>
          <w:b w:val="0"/>
          <w:bCs w:val="0"/>
          <w:kern w:val="2"/>
          <w:sz w:val="24"/>
          <w:szCs w:val="24"/>
          <w:lang w:val="en-US" w:eastAsia="zh-CN" w:bidi="ar-SA"/>
        </w:rPr>
        <w:t>2.AP设备，需匹配AC控制器管理授权，并能与学校现网运行的无线控制器匹配（新华三WX5560X、安移通7240XM），如不能匹配，需提供与学校现网运行的无线控制器中任一同等性能的无线控制器，并完成与校园网的对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802629"/>
    <w:rsid w:val="23802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2026-08-01T08:33:00Z</dcterms:created>
  <dc:creator>陕西中技招标有限公司</dc:creator>
  <cp:lastModifiedBy>陕西中技招标有限公司</cp:lastModifiedBy>
  <dcterms:modified xsi:type="dcterms:W3CDTF">2026-08-01T08:33:58Z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E09EC6E222A845439565D398EF3287A5_11</vt:lpwstr>
  </property>
  <property fmtid="{D5CDD505-2E9C-101B-9397-08002B2CF9AE}" pid="4" name="KSOTemplateDocerSaveRecord">
    <vt:lpwstr>eyJoZGlkIjoiZmE1MGVhMzNhOGJlY2JhYTlmNTJiOTEwZjc2ZWExZGUiLCJ1c2VySWQiOiI0ODM0NjExNDgifQ==</vt:lpwstr>
  </property>
</Properties>
</file>