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F2D2C">
      <w:pPr>
        <w:pStyle w:val="11"/>
        <w:spacing w:before="224"/>
        <w:ind w:left="0" w:right="2556"/>
        <w:rPr>
          <w:rFonts w:ascii="宋体" w:eastAsia="宋体"/>
        </w:rPr>
      </w:pPr>
      <w:r>
        <w:rPr>
          <w:rFonts w:ascii="宋体" w:eastAsia="宋体"/>
        </w:rPr>
        <w:t>合同编号：</w:t>
      </w:r>
    </w:p>
    <w:p w14:paraId="21FD3018">
      <w:pPr>
        <w:pStyle w:val="11"/>
        <w:ind w:left="0"/>
        <w:rPr>
          <w:rFonts w:ascii="宋体"/>
        </w:rPr>
      </w:pPr>
    </w:p>
    <w:p w14:paraId="1393D409">
      <w:pPr>
        <w:pStyle w:val="11"/>
        <w:ind w:left="0"/>
        <w:rPr>
          <w:rFonts w:ascii="宋体"/>
        </w:rPr>
      </w:pPr>
    </w:p>
    <w:p w14:paraId="187EF6B4">
      <w:pPr>
        <w:pStyle w:val="11"/>
        <w:ind w:left="0"/>
        <w:rPr>
          <w:rFonts w:ascii="宋体"/>
        </w:rPr>
      </w:pPr>
    </w:p>
    <w:p w14:paraId="6CE047F1">
      <w:pPr>
        <w:pStyle w:val="11"/>
        <w:ind w:left="0"/>
        <w:rPr>
          <w:rFonts w:ascii="宋体"/>
        </w:rPr>
      </w:pPr>
    </w:p>
    <w:p w14:paraId="731B8B97">
      <w:pPr>
        <w:pStyle w:val="11"/>
        <w:spacing w:before="54"/>
        <w:ind w:left="0"/>
        <w:rPr>
          <w:rFonts w:ascii="宋体"/>
        </w:rPr>
      </w:pPr>
    </w:p>
    <w:p w14:paraId="48E2F717">
      <w:pPr>
        <w:pStyle w:val="2"/>
        <w:keepNext w:val="0"/>
        <w:keepLines w:val="0"/>
        <w:spacing w:before="1" w:after="0" w:line="252" w:lineRule="auto"/>
        <w:ind w:left="599" w:right="745"/>
        <w:jc w:val="center"/>
        <w:rPr>
          <w:rFonts w:hint="eastAsia" w:ascii="华文仿宋" w:hAnsi="华文仿宋" w:eastAsia="华文仿宋" w:cs="华文仿宋"/>
          <w:color w:val="auto"/>
          <w:sz w:val="36"/>
          <w:szCs w:val="36"/>
          <w:lang w:val="en-US" w:eastAsia="zh-CN"/>
        </w:rPr>
      </w:pPr>
      <w:bookmarkStart w:id="0" w:name="陕西省消防救援总队2025年消防车辆装备"/>
      <w:bookmarkEnd w:id="0"/>
      <w:r>
        <w:rPr>
          <w:rFonts w:hint="eastAsia" w:ascii="华文仿宋" w:hAnsi="华文仿宋" w:eastAsia="华文仿宋" w:cs="华文仿宋"/>
          <w:color w:val="auto"/>
          <w:sz w:val="36"/>
          <w:szCs w:val="36"/>
          <w:lang w:val="en-US" w:eastAsia="zh-CN"/>
        </w:rPr>
        <w:t xml:space="preserve"> 渭南市消防救援支队</w:t>
      </w:r>
    </w:p>
    <w:p w14:paraId="4460A8C8">
      <w:pPr>
        <w:pStyle w:val="11"/>
        <w:ind w:left="0" w:firstLine="1440" w:firstLineChars="400"/>
        <w:rPr>
          <w:rFonts w:hint="eastAsia" w:ascii="华文仿宋" w:hAnsi="华文仿宋" w:eastAsia="华文仿宋" w:cs="华文仿宋"/>
          <w:color w:val="auto"/>
          <w:sz w:val="36"/>
          <w:szCs w:val="36"/>
          <w:lang w:eastAsia="zh-CN"/>
        </w:rPr>
      </w:pPr>
      <w:r>
        <w:rPr>
          <w:rFonts w:hint="eastAsia" w:ascii="华文仿宋" w:hAnsi="华文仿宋" w:eastAsia="华文仿宋" w:cs="华文仿宋"/>
          <w:color w:val="auto"/>
          <w:sz w:val="36"/>
          <w:szCs w:val="36"/>
          <w:lang w:val="en-US" w:eastAsia="zh-CN"/>
        </w:rPr>
        <w:t>重型地震灾害救援专业队装备建设</w:t>
      </w:r>
      <w:r>
        <w:rPr>
          <w:rFonts w:ascii="华文仿宋" w:hAnsi="华文仿宋" w:eastAsia="华文仿宋" w:cs="华文仿宋"/>
          <w:color w:val="auto"/>
          <w:sz w:val="36"/>
          <w:szCs w:val="36"/>
        </w:rPr>
        <w:t>采购项目</w:t>
      </w:r>
    </w:p>
    <w:p w14:paraId="21AAB817">
      <w:pPr>
        <w:pStyle w:val="11"/>
        <w:ind w:left="0"/>
        <w:rPr>
          <w:rFonts w:hint="default" w:eastAsia="华文仿宋"/>
          <w:color w:val="auto"/>
          <w:sz w:val="44"/>
          <w:lang w:val="en-US" w:eastAsia="zh-CN"/>
        </w:rPr>
      </w:pPr>
      <w:r>
        <w:rPr>
          <w:rFonts w:hint="eastAsia"/>
          <w:color w:val="auto"/>
          <w:sz w:val="44"/>
          <w:lang w:val="en-US" w:eastAsia="zh-CN"/>
        </w:rPr>
        <w:t xml:space="preserve">               合同主要条款</w:t>
      </w:r>
    </w:p>
    <w:p w14:paraId="47C58869">
      <w:pPr>
        <w:pStyle w:val="11"/>
        <w:ind w:left="0"/>
        <w:rPr>
          <w:sz w:val="44"/>
        </w:rPr>
      </w:pPr>
    </w:p>
    <w:p w14:paraId="2BB93BE5">
      <w:pPr>
        <w:pStyle w:val="11"/>
        <w:ind w:left="0"/>
        <w:rPr>
          <w:sz w:val="44"/>
        </w:rPr>
      </w:pPr>
    </w:p>
    <w:p w14:paraId="1BE5DB1C">
      <w:pPr>
        <w:pStyle w:val="11"/>
        <w:ind w:left="0"/>
        <w:rPr>
          <w:rFonts w:ascii="宋体"/>
        </w:rPr>
      </w:pPr>
    </w:p>
    <w:p w14:paraId="152DFA7F">
      <w:pPr>
        <w:pStyle w:val="11"/>
        <w:ind w:left="0"/>
        <w:rPr>
          <w:rFonts w:ascii="宋体"/>
        </w:rPr>
      </w:pPr>
    </w:p>
    <w:p w14:paraId="5B9AABE8">
      <w:pPr>
        <w:pStyle w:val="11"/>
        <w:spacing w:before="62"/>
        <w:ind w:left="0"/>
        <w:rPr>
          <w:rFonts w:ascii="宋体"/>
        </w:rPr>
      </w:pPr>
    </w:p>
    <w:p w14:paraId="4A6DAC87">
      <w:pPr>
        <w:pStyle w:val="11"/>
        <w:ind w:left="0"/>
        <w:rPr>
          <w:rFonts w:ascii="宋体"/>
          <w:sz w:val="44"/>
        </w:rPr>
      </w:pPr>
    </w:p>
    <w:p w14:paraId="5F7BC660">
      <w:pPr>
        <w:pStyle w:val="11"/>
        <w:ind w:left="0"/>
        <w:rPr>
          <w:rFonts w:ascii="宋体"/>
          <w:sz w:val="44"/>
        </w:rPr>
      </w:pPr>
    </w:p>
    <w:p w14:paraId="7E0C41AC">
      <w:pPr>
        <w:pStyle w:val="11"/>
        <w:ind w:left="0"/>
        <w:rPr>
          <w:rFonts w:ascii="宋体"/>
          <w:sz w:val="44"/>
        </w:rPr>
      </w:pPr>
    </w:p>
    <w:p w14:paraId="3196120B">
      <w:pPr>
        <w:pStyle w:val="11"/>
        <w:ind w:left="0"/>
        <w:rPr>
          <w:rFonts w:ascii="宋体"/>
          <w:sz w:val="44"/>
        </w:rPr>
      </w:pPr>
    </w:p>
    <w:p w14:paraId="5F774A06">
      <w:pPr>
        <w:pStyle w:val="11"/>
        <w:spacing w:before="90"/>
        <w:ind w:left="0"/>
        <w:rPr>
          <w:rFonts w:ascii="宋体"/>
          <w:sz w:val="44"/>
        </w:rPr>
      </w:pPr>
    </w:p>
    <w:p w14:paraId="5E4C550D">
      <w:pPr>
        <w:pStyle w:val="11"/>
        <w:ind w:left="0" w:right="149"/>
        <w:jc w:val="center"/>
        <w:rPr>
          <w:rFonts w:ascii="宋体" w:eastAsia="宋体"/>
        </w:rPr>
      </w:pPr>
      <w:r>
        <w:rPr>
          <w:rFonts w:ascii="宋体" w:eastAsia="宋体"/>
        </w:rPr>
        <w:t>甲  方：</w:t>
      </w:r>
      <w:r>
        <w:rPr>
          <w:rFonts w:hint="eastAsia" w:ascii="宋体" w:eastAsia="宋体"/>
        </w:rPr>
        <w:t>渭南市消防救援支队</w:t>
      </w:r>
      <w:r>
        <w:rPr>
          <w:rFonts w:ascii="宋体" w:eastAsia="宋体"/>
        </w:rPr>
        <w:t>（全称</w:t>
      </w:r>
      <w:r>
        <w:rPr>
          <w:rFonts w:ascii="宋体" w:eastAsia="宋体"/>
          <w:spacing w:val="-10"/>
        </w:rPr>
        <w:t>）</w:t>
      </w:r>
    </w:p>
    <w:p w14:paraId="1F8CB63D">
      <w:pPr>
        <w:pStyle w:val="11"/>
        <w:ind w:left="0"/>
        <w:rPr>
          <w:rFonts w:ascii="宋体"/>
        </w:rPr>
      </w:pPr>
    </w:p>
    <w:p w14:paraId="4668BB20">
      <w:pPr>
        <w:pStyle w:val="11"/>
        <w:spacing w:before="29"/>
        <w:ind w:left="0"/>
        <w:rPr>
          <w:rFonts w:ascii="宋体"/>
        </w:rPr>
      </w:pPr>
    </w:p>
    <w:p w14:paraId="7854F5D8">
      <w:pPr>
        <w:pStyle w:val="11"/>
        <w:tabs>
          <w:tab w:val="left" w:pos="1706"/>
          <w:tab w:val="left" w:pos="3341"/>
        </w:tabs>
        <w:ind w:left="0" w:right="2202" w:firstLine="2240" w:firstLineChars="800"/>
        <w:jc w:val="left"/>
        <w:rPr>
          <w:rFonts w:hint="default" w:ascii="Times New Roman" w:eastAsia="宋体"/>
          <w:b/>
          <w:lang w:val="en-US" w:eastAsia="zh-CN"/>
        </w:rPr>
      </w:pPr>
      <w:r>
        <w:rPr>
          <w:rFonts w:ascii="宋体" w:eastAsia="宋体"/>
        </w:rPr>
        <w:t>乙</w:t>
      </w:r>
      <w:r>
        <w:rPr>
          <w:rFonts w:ascii="宋体" w:eastAsia="宋体"/>
          <w:spacing w:val="5"/>
        </w:rPr>
        <w:t xml:space="preserve">  </w:t>
      </w:r>
      <w:r>
        <w:rPr>
          <w:rFonts w:ascii="宋体" w:eastAsia="宋体"/>
        </w:rPr>
        <w:t>方</w:t>
      </w:r>
      <w:r>
        <w:rPr>
          <w:rFonts w:ascii="宋体" w:eastAsia="宋体"/>
          <w:spacing w:val="-10"/>
        </w:rPr>
        <w:t>：</w:t>
      </w:r>
      <w:r>
        <w:rPr>
          <w:rFonts w:hint="eastAsia" w:ascii="宋体" w:eastAsia="宋体"/>
          <w:spacing w:val="-10"/>
          <w:lang w:eastAsia="zh-CN"/>
        </w:rPr>
        <w:t>（</w:t>
      </w:r>
      <w:r>
        <w:rPr>
          <w:rFonts w:hint="eastAsia" w:ascii="宋体" w:eastAsia="宋体"/>
          <w:spacing w:val="-10"/>
          <w:lang w:val="en-US" w:eastAsia="zh-CN"/>
        </w:rPr>
        <w:t>供应商）</w:t>
      </w:r>
    </w:p>
    <w:p w14:paraId="3EE38A25">
      <w:pPr>
        <w:pStyle w:val="11"/>
        <w:spacing w:before="305"/>
        <w:ind w:left="0"/>
        <w:rPr>
          <w:rFonts w:ascii="Times New Roman"/>
          <w:b/>
        </w:rPr>
      </w:pPr>
    </w:p>
    <w:p w14:paraId="7D1B9008">
      <w:pPr>
        <w:pStyle w:val="11"/>
        <w:ind w:left="0" w:right="146"/>
        <w:jc w:val="center"/>
        <w:rPr>
          <w:rFonts w:ascii="宋体" w:eastAsia="宋体"/>
        </w:rPr>
      </w:pPr>
      <w:bookmarkStart w:id="1" w:name="二〇二五年__月"/>
      <w:bookmarkEnd w:id="1"/>
      <w:r>
        <w:rPr>
          <w:rFonts w:ascii="宋体" w:eastAsia="宋体"/>
        </w:rPr>
        <w:t>二〇二</w:t>
      </w:r>
      <w:r>
        <w:rPr>
          <w:rFonts w:hint="eastAsia" w:ascii="宋体" w:eastAsia="宋体"/>
          <w:lang w:val="en-US" w:eastAsia="zh-CN"/>
        </w:rPr>
        <w:t>六</w:t>
      </w:r>
      <w:r>
        <w:rPr>
          <w:rFonts w:ascii="宋体" w:eastAsia="宋体"/>
        </w:rPr>
        <w:t>年</w:t>
      </w:r>
      <w:r>
        <w:rPr>
          <w:rFonts w:hint="eastAsia" w:ascii="宋体" w:eastAsia="宋体"/>
          <w:lang w:val="en-US" w:eastAsia="zh-CN"/>
        </w:rPr>
        <w:t xml:space="preserve">    </w:t>
      </w:r>
      <w:r>
        <w:rPr>
          <w:rFonts w:ascii="宋体" w:eastAsia="宋体"/>
        </w:rPr>
        <w:t>月</w:t>
      </w:r>
    </w:p>
    <w:p w14:paraId="66AADA3A">
      <w:pPr>
        <w:pStyle w:val="11"/>
        <w:rPr>
          <w:rFonts w:ascii="宋体" w:eastAsia="宋体"/>
        </w:rPr>
        <w:sectPr>
          <w:pgSz w:w="11910" w:h="16840"/>
          <w:pgMar w:top="1380" w:right="1133" w:bottom="1220" w:left="1275" w:header="882" w:footer="1031" w:gutter="0"/>
          <w:cols w:space="720" w:num="1"/>
        </w:sectPr>
      </w:pPr>
    </w:p>
    <w:p w14:paraId="2DCB3E4A">
      <w:pPr>
        <w:pStyle w:val="11"/>
        <w:ind w:left="0" w:firstLine="1120" w:firstLineChars="400"/>
        <w:rPr>
          <w:rFonts w:hint="eastAsia"/>
          <w:lang w:val="en-US" w:eastAsia="zh-CN"/>
        </w:rPr>
      </w:pPr>
      <w:bookmarkStart w:id="18" w:name="_GoBack"/>
      <w:bookmarkEnd w:id="18"/>
    </w:p>
    <w:p w14:paraId="39BB665A">
      <w:pPr>
        <w:pStyle w:val="11"/>
        <w:ind w:firstLine="560" w:firstLineChars="200"/>
      </w:pPr>
      <w:r>
        <w:rPr>
          <w:rFonts w:hint="eastAsia"/>
          <w:lang w:val="en-US" w:eastAsia="zh-CN"/>
        </w:rPr>
        <w:t>渭南市消防救援支队重型地震灾害救援专业队装备建设采购项目</w:t>
      </w:r>
      <w:r>
        <w:rPr>
          <w:spacing w:val="-2"/>
        </w:rPr>
        <w:t>在财政部</w:t>
      </w:r>
      <w:r>
        <w:rPr>
          <w:rFonts w:hint="eastAsia"/>
          <w:spacing w:val="-2"/>
          <w:lang w:val="en-US" w:eastAsia="zh-CN"/>
        </w:rPr>
        <w:t>门的</w:t>
      </w:r>
      <w:r>
        <w:rPr>
          <w:spacing w:val="-2"/>
        </w:rPr>
        <w:t>监督下，由</w:t>
      </w:r>
      <w:r>
        <w:rPr>
          <w:rFonts w:hint="eastAsia"/>
          <w:spacing w:val="-2"/>
          <w:u w:val="single"/>
          <w:lang w:val="en-US" w:eastAsia="zh-CN"/>
        </w:rPr>
        <w:t xml:space="preserve">                         </w:t>
      </w:r>
      <w:r>
        <w:rPr>
          <w:spacing w:val="-2"/>
        </w:rPr>
        <w:t>组织公开招标，经甲、乙双方共同协商，达成如下合同条款。</w:t>
      </w:r>
    </w:p>
    <w:p w14:paraId="48F5CBD6">
      <w:pPr>
        <w:pStyle w:val="11"/>
        <w:spacing w:before="4"/>
        <w:ind w:left="709"/>
      </w:pPr>
      <w:bookmarkStart w:id="2" w:name="一、合同内容"/>
      <w:bookmarkEnd w:id="2"/>
      <w:r>
        <w:rPr>
          <w:spacing w:val="-2"/>
        </w:rPr>
        <w:t>一、合同内容</w:t>
      </w:r>
    </w:p>
    <w:p w14:paraId="22545056">
      <w:pPr>
        <w:pStyle w:val="11"/>
        <w:spacing w:before="138"/>
        <w:ind w:right="143" w:firstLine="568"/>
      </w:pPr>
      <w:r>
        <w:t>l</w:t>
      </w:r>
      <w:r>
        <w:rPr>
          <w:spacing w:val="-13"/>
        </w:rPr>
        <w:t>、乙方负责按合同中确定的设备名称、设备品牌、制造商、规格型号、</w:t>
      </w:r>
      <w:r>
        <w:rPr>
          <w:spacing w:val="1"/>
        </w:rPr>
        <w:t>数量及配套内容进行供货；按时运到甲方指定的交货地点，负责产品到货后安装调试工作，达到正常使用；负责做好售后服务工作。</w:t>
      </w:r>
    </w:p>
    <w:p w14:paraId="492C79AC">
      <w:pPr>
        <w:pStyle w:val="11"/>
        <w:spacing w:before="4"/>
        <w:ind w:right="285" w:firstLine="568"/>
      </w:pPr>
      <w:r>
        <w:rPr>
          <w:spacing w:val="-2"/>
        </w:rPr>
        <w:t>2、招标文件、乙方的投标文件及评标过程中的澄清、承诺内容均作为本合同的组成部分，具有同等法律效力。</w:t>
      </w:r>
    </w:p>
    <w:p w14:paraId="491A434A">
      <w:pPr>
        <w:pStyle w:val="11"/>
        <w:spacing w:before="1"/>
        <w:ind w:left="709"/>
      </w:pPr>
      <w:bookmarkStart w:id="3" w:name="二、合同价款及质保期"/>
      <w:bookmarkEnd w:id="3"/>
      <w:r>
        <w:rPr>
          <w:spacing w:val="-1"/>
        </w:rPr>
        <w:t>二、合同价款及质保期</w:t>
      </w:r>
    </w:p>
    <w:p w14:paraId="19803B8D">
      <w:pPr>
        <w:pStyle w:val="11"/>
        <w:tabs>
          <w:tab w:val="left" w:pos="3817"/>
        </w:tabs>
        <w:spacing w:before="138" w:after="18"/>
        <w:ind w:left="709"/>
      </w:pPr>
      <w:r>
        <w:t>1、</w:t>
      </w:r>
      <w:r>
        <w:rPr>
          <w:rFonts w:hint="eastAsia"/>
        </w:rPr>
        <w:t>合同总价（包号:    ）:</w:t>
      </w:r>
      <w:r>
        <w:rPr>
          <w:rFonts w:hint="eastAsia"/>
          <w:spacing w:val="-10"/>
          <w:lang w:val="en-US" w:eastAsia="zh-CN"/>
        </w:rPr>
        <w:t xml:space="preserve">               </w:t>
      </w:r>
      <w:r>
        <w:t>单位：</w:t>
      </w:r>
      <w:r>
        <w:rPr>
          <w:spacing w:val="-10"/>
        </w:rPr>
        <w:t>元</w:t>
      </w:r>
    </w:p>
    <w:p w14:paraId="6E1A55FE">
      <w:pPr>
        <w:pStyle w:val="11"/>
        <w:numPr>
          <w:ilvl w:val="0"/>
          <w:numId w:val="0"/>
        </w:numPr>
        <w:spacing w:before="144"/>
        <w:ind w:left="140" w:leftChars="0" w:right="287" w:rightChars="0" w:firstLine="568" w:firstLineChars="0"/>
        <w:rPr>
          <w:spacing w:val="1"/>
        </w:rPr>
      </w:pPr>
      <w:r>
        <w:rPr>
          <w:rFonts w:ascii="华文仿宋" w:hAnsi="华文仿宋" w:eastAsia="华文仿宋" w:cs="华文仿宋"/>
          <w:spacing w:val="1"/>
          <w:kern w:val="0"/>
          <w:sz w:val="28"/>
          <w:szCs w:val="28"/>
          <w:lang w:val="en-US" w:eastAsia="zh-CN" w:bidi="ar-SA"/>
          <w14:ligatures w14:val="none"/>
        </w:rPr>
        <w:t>2、</w:t>
      </w:r>
      <w:r>
        <w:rPr>
          <w:spacing w:val="2"/>
        </w:rPr>
        <w:t>合同总价包括:货物的设计、制造、运输、装卸、安装、维护、验</w:t>
      </w:r>
      <w:r>
        <w:rPr>
          <w:spacing w:val="1"/>
        </w:rPr>
        <w:t>收、税费、人员培训及质保等可能出现的一切费用。关于所采购货物本身</w:t>
      </w:r>
      <w:r>
        <w:rPr>
          <w:spacing w:val="-4"/>
        </w:rPr>
        <w:t>随同配备的备品备件及器材的价格已包含于合同总价，不再额外收取费用。</w:t>
      </w:r>
      <w:r>
        <w:rPr>
          <w:spacing w:val="1"/>
        </w:rPr>
        <w:t>乙方需保证所能够提供使用的备品备件来源渠道合法合规，确保备品备件产权归乙方所有。</w:t>
      </w:r>
    </w:p>
    <w:p w14:paraId="7563B186">
      <w:pPr>
        <w:pStyle w:val="11"/>
        <w:numPr>
          <w:ilvl w:val="0"/>
          <w:numId w:val="0"/>
        </w:numPr>
        <w:spacing w:before="144"/>
        <w:ind w:left="140" w:leftChars="0" w:right="287" w:rightChars="0" w:firstLine="568" w:firstLineChars="0"/>
      </w:pPr>
      <w:r>
        <w:rPr>
          <w:spacing w:val="-2"/>
        </w:rPr>
        <w:t>3、合同总价一次性包死，不受市场价格变化因素的影响。在项目实施中产生的其它费用，均由乙方免费提供，甲方不再支付任何费用。</w:t>
      </w:r>
    </w:p>
    <w:p w14:paraId="395FA7EF">
      <w:pPr>
        <w:pStyle w:val="11"/>
        <w:spacing w:before="1"/>
        <w:ind w:left="709" w:right="6234"/>
      </w:pPr>
      <w:bookmarkStart w:id="4" w:name="三、款项支付及结算"/>
      <w:bookmarkEnd w:id="4"/>
      <w:r>
        <w:rPr>
          <w:spacing w:val="-2"/>
        </w:rPr>
        <w:t>三、款项支付及结算 1、结算方式</w:t>
      </w:r>
    </w:p>
    <w:p w14:paraId="51A25388">
      <w:pPr>
        <w:pStyle w:val="30"/>
        <w:numPr>
          <w:ilvl w:val="0"/>
          <w:numId w:val="1"/>
        </w:numPr>
        <w:tabs>
          <w:tab w:val="left" w:pos="1260"/>
          <w:tab w:val="left" w:pos="1407"/>
          <w:tab w:val="left" w:pos="7230"/>
        </w:tabs>
        <w:spacing w:before="63"/>
        <w:ind w:left="140" w:right="285" w:firstLine="568"/>
        <w:contextualSpacing w:val="0"/>
        <w:jc w:val="both"/>
        <w:rPr>
          <w:sz w:val="28"/>
        </w:rPr>
      </w:pPr>
      <w:r>
        <w:rPr>
          <w:sz w:val="28"/>
        </w:rPr>
        <w:t>甲方在收到乙方履约保证金后 10 个工作日内，向乙方支付合同总价的</w:t>
      </w:r>
      <w:r>
        <w:rPr>
          <w:rFonts w:hint="eastAsia"/>
          <w:sz w:val="28"/>
          <w:u w:val="single"/>
          <w:lang w:val="en-US" w:eastAsia="zh-CN"/>
        </w:rPr>
        <w:t xml:space="preserve">    %</w:t>
      </w:r>
      <w:r>
        <w:rPr>
          <w:sz w:val="28"/>
        </w:rPr>
        <w:t>，即人民币</w:t>
      </w:r>
      <w:r>
        <w:rPr>
          <w:rFonts w:hint="eastAsia" w:ascii="Times New Roman" w:eastAsia="宋体"/>
          <w:sz w:val="28"/>
          <w:u w:val="single"/>
          <w:lang w:val="en-US" w:eastAsia="zh-CN"/>
        </w:rPr>
        <w:t xml:space="preserve">        </w:t>
      </w:r>
      <w:r>
        <w:rPr>
          <w:spacing w:val="-4"/>
          <w:sz w:val="28"/>
        </w:rPr>
        <w:t>元，大写：</w:t>
      </w:r>
      <w:r>
        <w:rPr>
          <w:rFonts w:hint="eastAsia"/>
          <w:spacing w:val="-4"/>
          <w:sz w:val="28"/>
          <w:u w:val="single"/>
          <w:lang w:val="en-US" w:eastAsia="zh-CN"/>
        </w:rPr>
        <w:t xml:space="preserve">                     </w:t>
      </w:r>
      <w:r>
        <w:rPr>
          <w:spacing w:val="-10"/>
          <w:sz w:val="28"/>
        </w:rPr>
        <w:t>。</w:t>
      </w:r>
    </w:p>
    <w:p w14:paraId="5FF384C5">
      <w:pPr>
        <w:pStyle w:val="30"/>
        <w:numPr>
          <w:ilvl w:val="0"/>
          <w:numId w:val="1"/>
        </w:numPr>
        <w:tabs>
          <w:tab w:val="left" w:pos="1405"/>
          <w:tab w:val="left" w:pos="3332"/>
          <w:tab w:val="left" w:pos="6733"/>
        </w:tabs>
        <w:ind w:left="140" w:right="311" w:firstLine="568"/>
        <w:contextualSpacing w:val="0"/>
        <w:jc w:val="both"/>
        <w:rPr>
          <w:sz w:val="28"/>
        </w:rPr>
      </w:pPr>
      <w:r>
        <w:rPr>
          <w:sz w:val="28"/>
        </w:rPr>
        <w:t xml:space="preserve">货到甲方指定地点后，甲方 20 个工作日内向乙方支付合同总价 </w:t>
      </w:r>
      <w:r>
        <w:rPr>
          <w:rFonts w:hint="eastAsia"/>
          <w:spacing w:val="-2"/>
          <w:sz w:val="28"/>
          <w:u w:val="single"/>
          <w:lang w:val="en-US" w:eastAsia="zh-CN"/>
        </w:rPr>
        <w:t xml:space="preserve">    </w:t>
      </w:r>
      <w:r>
        <w:rPr>
          <w:spacing w:val="-2"/>
          <w:sz w:val="28"/>
          <w:u w:val="single"/>
        </w:rPr>
        <w:t>%</w:t>
      </w:r>
      <w:r>
        <w:rPr>
          <w:spacing w:val="-2"/>
          <w:sz w:val="28"/>
        </w:rPr>
        <w:t>，即人民币</w:t>
      </w:r>
      <w:r>
        <w:rPr>
          <w:rFonts w:hint="eastAsia" w:ascii="Times New Roman" w:eastAsia="宋体"/>
          <w:sz w:val="28"/>
          <w:u w:val="single"/>
          <w:lang w:val="en-US" w:eastAsia="zh-CN"/>
        </w:rPr>
        <w:t xml:space="preserve">         </w:t>
      </w:r>
      <w:r>
        <w:rPr>
          <w:spacing w:val="-4"/>
          <w:sz w:val="28"/>
        </w:rPr>
        <w:t>元，大写：</w:t>
      </w:r>
      <w:r>
        <w:rPr>
          <w:rFonts w:hint="eastAsia"/>
          <w:spacing w:val="-4"/>
          <w:sz w:val="28"/>
          <w:u w:val="single"/>
          <w:lang w:val="en-US" w:eastAsia="zh-CN"/>
        </w:rPr>
        <w:t xml:space="preserve">                        </w:t>
      </w:r>
      <w:r>
        <w:rPr>
          <w:rFonts w:hint="eastAsia"/>
          <w:spacing w:val="-10"/>
          <w:sz w:val="28"/>
        </w:rPr>
        <w:t>。</w:t>
      </w:r>
    </w:p>
    <w:p w14:paraId="0B1F45E9">
      <w:pPr>
        <w:pStyle w:val="30"/>
        <w:numPr>
          <w:ilvl w:val="0"/>
          <w:numId w:val="1"/>
        </w:numPr>
        <w:tabs>
          <w:tab w:val="left" w:pos="1409"/>
          <w:tab w:val="left" w:pos="4820"/>
          <w:tab w:val="left" w:pos="8221"/>
        </w:tabs>
        <w:ind w:left="140" w:right="285" w:firstLine="568"/>
        <w:contextualSpacing w:val="0"/>
        <w:jc w:val="both"/>
        <w:rPr>
          <w:sz w:val="28"/>
        </w:rPr>
      </w:pPr>
      <w:r>
        <w:rPr>
          <w:sz w:val="28"/>
        </w:rPr>
        <w:t xml:space="preserve">货物经甲方验收（安装）合格后，甲方 20 个工作日内向乙方支付合同总价 </w:t>
      </w:r>
      <w:r>
        <w:rPr>
          <w:rFonts w:hint="eastAsia"/>
          <w:sz w:val="28"/>
          <w:u w:val="single"/>
          <w:lang w:val="en-US" w:eastAsia="zh-CN"/>
        </w:rPr>
        <w:t xml:space="preserve">      </w:t>
      </w:r>
      <w:r>
        <w:rPr>
          <w:sz w:val="28"/>
          <w:u w:val="single"/>
        </w:rPr>
        <w:t>%</w:t>
      </w:r>
      <w:r>
        <w:rPr>
          <w:sz w:val="28"/>
        </w:rPr>
        <w:t>，即人民币</w:t>
      </w:r>
      <w:r>
        <w:rPr>
          <w:rFonts w:hint="eastAsia" w:ascii="Times New Roman" w:eastAsia="宋体"/>
          <w:sz w:val="28"/>
          <w:u w:val="single"/>
          <w:lang w:val="en-US" w:eastAsia="zh-CN"/>
        </w:rPr>
        <w:t xml:space="preserve">        </w:t>
      </w:r>
      <w:r>
        <w:rPr>
          <w:spacing w:val="-2"/>
          <w:sz w:val="28"/>
        </w:rPr>
        <w:t>元，大写：</w:t>
      </w:r>
      <w:r>
        <w:rPr>
          <w:rFonts w:hint="eastAsia"/>
          <w:spacing w:val="-4"/>
          <w:sz w:val="28"/>
          <w:u w:val="single"/>
          <w:lang w:val="en-US" w:eastAsia="zh-CN"/>
        </w:rPr>
        <w:t xml:space="preserve">                </w:t>
      </w:r>
      <w:r>
        <w:rPr>
          <w:spacing w:val="-10"/>
          <w:sz w:val="28"/>
        </w:rPr>
        <w:t>。</w:t>
      </w:r>
    </w:p>
    <w:p w14:paraId="3E6E8FF5">
      <w:pPr>
        <w:pStyle w:val="30"/>
        <w:numPr>
          <w:ilvl w:val="0"/>
          <w:numId w:val="1"/>
        </w:numPr>
        <w:tabs>
          <w:tab w:val="left" w:pos="1362"/>
        </w:tabs>
        <w:ind w:left="140" w:right="285" w:firstLine="568"/>
        <w:contextualSpacing w:val="0"/>
        <w:jc w:val="both"/>
        <w:rPr>
          <w:sz w:val="28"/>
        </w:rPr>
      </w:pPr>
      <w:r>
        <w:rPr>
          <w:spacing w:val="-2"/>
          <w:sz w:val="28"/>
        </w:rPr>
        <w:t>在甲方第三次付款前，乙方必须开具全额增值税发票给甲方，未按照甲方要求开具发票，甲方可顺延付款时间不承担违约责任，由此造成的损失由乙方承担。</w:t>
      </w:r>
    </w:p>
    <w:p w14:paraId="7C285CE1">
      <w:pPr>
        <w:pStyle w:val="11"/>
        <w:spacing w:before="4"/>
        <w:ind w:left="709"/>
      </w:pPr>
      <w:r>
        <w:t>2</w:t>
      </w:r>
      <w:r>
        <w:rPr>
          <w:spacing w:val="-2"/>
        </w:rPr>
        <w:t>、履约保证金</w:t>
      </w:r>
    </w:p>
    <w:p w14:paraId="28DBADFA">
      <w:pPr>
        <w:pStyle w:val="30"/>
        <w:numPr>
          <w:ilvl w:val="0"/>
          <w:numId w:val="2"/>
        </w:numPr>
        <w:tabs>
          <w:tab w:val="left" w:pos="1416"/>
        </w:tabs>
        <w:spacing w:before="138"/>
        <w:ind w:left="1416" w:hanging="707"/>
        <w:contextualSpacing w:val="0"/>
        <w:rPr>
          <w:rFonts w:ascii="仿宋" w:eastAsia="仿宋"/>
          <w:sz w:val="26"/>
        </w:rPr>
      </w:pPr>
      <w:r>
        <w:rPr>
          <w:rFonts w:ascii="仿宋" w:eastAsia="仿宋"/>
          <w:spacing w:val="-2"/>
          <w:sz w:val="28"/>
        </w:rPr>
        <w:t>履约保证金的收取</w:t>
      </w:r>
    </w:p>
    <w:p w14:paraId="7ADDB375">
      <w:pPr>
        <w:pStyle w:val="11"/>
        <w:tabs>
          <w:tab w:val="left" w:pos="2267"/>
          <w:tab w:val="left" w:pos="5526"/>
        </w:tabs>
        <w:spacing w:before="135"/>
        <w:ind w:right="143" w:firstLine="568"/>
        <w:rPr>
          <w:rFonts w:ascii="仿宋" w:eastAsia="仿宋"/>
        </w:rPr>
      </w:pPr>
      <w:r>
        <w:rPr>
          <w:rFonts w:ascii="仿宋" w:eastAsia="仿宋"/>
        </w:rPr>
        <w:t>签订合同后</w:t>
      </w:r>
      <w:r>
        <w:rPr>
          <w:rFonts w:ascii="仿宋" w:eastAsia="仿宋"/>
          <w:spacing w:val="-6"/>
        </w:rPr>
        <w:t xml:space="preserve"> </w:t>
      </w:r>
      <w:r>
        <w:rPr>
          <w:rFonts w:ascii="仿宋" w:eastAsia="仿宋"/>
        </w:rPr>
        <w:t>10</w:t>
      </w:r>
      <w:r>
        <w:rPr>
          <w:rFonts w:ascii="仿宋" w:eastAsia="仿宋"/>
          <w:spacing w:val="-4"/>
        </w:rPr>
        <w:t xml:space="preserve"> </w:t>
      </w:r>
      <w:r>
        <w:rPr>
          <w:rFonts w:ascii="仿宋" w:eastAsia="仿宋"/>
        </w:rPr>
        <w:t>个工作日内，乙方须向甲方交纳合同金额的</w:t>
      </w:r>
      <w:r>
        <w:rPr>
          <w:rFonts w:ascii="仿宋" w:eastAsia="仿宋"/>
          <w:spacing w:val="-6"/>
        </w:rPr>
        <w:t xml:space="preserve"> </w:t>
      </w:r>
      <w:r>
        <w:rPr>
          <w:rFonts w:ascii="仿宋" w:eastAsia="仿宋"/>
        </w:rPr>
        <w:t>5%作为履</w:t>
      </w:r>
      <w:r>
        <w:rPr>
          <w:rFonts w:ascii="仿宋" w:eastAsia="仿宋"/>
          <w:spacing w:val="-2"/>
        </w:rPr>
        <w:t>约保证</w:t>
      </w:r>
      <w:r>
        <w:rPr>
          <w:rFonts w:ascii="仿宋" w:eastAsia="仿宋"/>
          <w:spacing w:val="-68"/>
        </w:rPr>
        <w:t>金</w:t>
      </w:r>
      <w:r>
        <w:rPr>
          <w:rFonts w:ascii="仿宋" w:eastAsia="仿宋"/>
          <w:spacing w:val="-2"/>
        </w:rPr>
        <w:t>（履约保证金应采取支票</w:t>
      </w:r>
      <w:r>
        <w:rPr>
          <w:rFonts w:ascii="仿宋" w:eastAsia="仿宋"/>
          <w:spacing w:val="-68"/>
        </w:rPr>
        <w:t>、</w:t>
      </w:r>
      <w:r>
        <w:rPr>
          <w:rFonts w:ascii="仿宋" w:eastAsia="仿宋"/>
          <w:spacing w:val="-2"/>
        </w:rPr>
        <w:t>本票</w:t>
      </w:r>
      <w:r>
        <w:rPr>
          <w:rFonts w:ascii="仿宋" w:eastAsia="仿宋"/>
          <w:spacing w:val="-68"/>
        </w:rPr>
        <w:t>、</w:t>
      </w:r>
      <w:r>
        <w:rPr>
          <w:rFonts w:ascii="仿宋" w:eastAsia="仿宋"/>
          <w:spacing w:val="-2"/>
        </w:rPr>
        <w:t>汇票</w:t>
      </w:r>
      <w:r>
        <w:rPr>
          <w:rFonts w:ascii="仿宋" w:eastAsia="仿宋"/>
          <w:spacing w:val="-68"/>
        </w:rPr>
        <w:t>、</w:t>
      </w:r>
      <w:r>
        <w:rPr>
          <w:rFonts w:ascii="仿宋" w:eastAsia="仿宋"/>
          <w:spacing w:val="-2"/>
        </w:rPr>
        <w:t>保函等非现金形式提交</w:t>
      </w:r>
      <w:r>
        <w:rPr>
          <w:rFonts w:ascii="仿宋" w:eastAsia="仿宋"/>
          <w:spacing w:val="-140"/>
        </w:rPr>
        <w:t>）</w:t>
      </w:r>
      <w:r>
        <w:rPr>
          <w:rFonts w:ascii="仿宋" w:eastAsia="仿宋"/>
        </w:rPr>
        <w:t>，</w:t>
      </w:r>
      <w:r>
        <w:rPr>
          <w:spacing w:val="-4"/>
        </w:rPr>
        <w:t>即人民币</w:t>
      </w:r>
      <w:r>
        <w:rPr>
          <w:rFonts w:hint="eastAsia" w:ascii="Times New Roman" w:eastAsia="宋体"/>
          <w:u w:val="single"/>
          <w:lang w:val="en-US" w:eastAsia="zh-CN"/>
        </w:rPr>
        <w:t xml:space="preserve">          </w:t>
      </w:r>
      <w:r>
        <w:rPr>
          <w:spacing w:val="-4"/>
        </w:rPr>
        <w:t>元，大写：</w:t>
      </w:r>
      <w:r>
        <w:rPr>
          <w:rFonts w:hint="eastAsia"/>
          <w:spacing w:val="-4"/>
          <w:u w:val="single"/>
          <w:lang w:val="en-US" w:eastAsia="zh-CN"/>
        </w:rPr>
        <w:t xml:space="preserve">                   </w:t>
      </w:r>
      <w:r>
        <w:rPr>
          <w:rFonts w:ascii="仿宋" w:eastAsia="仿宋"/>
          <w:spacing w:val="-10"/>
        </w:rPr>
        <w:t>。</w:t>
      </w:r>
    </w:p>
    <w:p w14:paraId="10CB5223">
      <w:pPr>
        <w:pStyle w:val="30"/>
        <w:numPr>
          <w:ilvl w:val="0"/>
          <w:numId w:val="2"/>
        </w:numPr>
        <w:tabs>
          <w:tab w:val="left" w:pos="1416"/>
        </w:tabs>
        <w:spacing w:before="4"/>
        <w:ind w:left="1416" w:hanging="707"/>
        <w:contextualSpacing w:val="0"/>
        <w:rPr>
          <w:rFonts w:ascii="仿宋" w:eastAsia="仿宋"/>
          <w:sz w:val="26"/>
        </w:rPr>
      </w:pPr>
      <w:r>
        <w:rPr>
          <w:rFonts w:ascii="仿宋" w:eastAsia="仿宋"/>
          <w:spacing w:val="-2"/>
          <w:sz w:val="28"/>
        </w:rPr>
        <w:t>退还的时间及方式</w:t>
      </w:r>
    </w:p>
    <w:p w14:paraId="32D49D5D">
      <w:pPr>
        <w:pStyle w:val="11"/>
        <w:spacing w:before="138"/>
        <w:ind w:right="287" w:firstLine="568"/>
        <w:rPr>
          <w:rFonts w:ascii="仿宋" w:eastAsia="仿宋"/>
        </w:rPr>
      </w:pPr>
      <w:r>
        <w:rPr>
          <w:rFonts w:ascii="仿宋" w:eastAsia="仿宋"/>
          <w:spacing w:val="-7"/>
        </w:rPr>
        <w:t xml:space="preserve">乙方在合同履约完成经验收合格后，甲方在 </w:t>
      </w:r>
      <w:r>
        <w:rPr>
          <w:rFonts w:ascii="仿宋" w:eastAsia="仿宋"/>
        </w:rPr>
        <w:t>10</w:t>
      </w:r>
      <w:r>
        <w:rPr>
          <w:rFonts w:ascii="仿宋" w:eastAsia="仿宋"/>
          <w:spacing w:val="-12"/>
        </w:rPr>
        <w:t xml:space="preserve"> 个工作日内，全额无息</w:t>
      </w:r>
      <w:r>
        <w:rPr>
          <w:rFonts w:ascii="仿宋" w:eastAsia="仿宋"/>
          <w:spacing w:val="-2"/>
        </w:rPr>
        <w:t>退还履约保证金。</w:t>
      </w:r>
    </w:p>
    <w:p w14:paraId="5DCA8B03">
      <w:pPr>
        <w:pStyle w:val="11"/>
        <w:spacing w:before="1"/>
        <w:ind w:left="709"/>
        <w:rPr>
          <w:rFonts w:ascii="仿宋" w:eastAsia="仿宋"/>
        </w:rPr>
      </w:pPr>
      <w:r>
        <w:rPr>
          <w:rFonts w:ascii="仿宋" w:eastAsia="仿宋"/>
          <w:spacing w:val="-1"/>
        </w:rPr>
        <w:t>退还方式：根据中标人的支付方式进行退还。</w:t>
      </w:r>
    </w:p>
    <w:p w14:paraId="71B1A27D">
      <w:pPr>
        <w:pStyle w:val="30"/>
        <w:numPr>
          <w:ilvl w:val="0"/>
          <w:numId w:val="2"/>
        </w:numPr>
        <w:tabs>
          <w:tab w:val="left" w:pos="1416"/>
        </w:tabs>
        <w:spacing w:before="137"/>
        <w:ind w:left="1416" w:hanging="707"/>
        <w:contextualSpacing w:val="0"/>
        <w:rPr>
          <w:rFonts w:ascii="仿宋" w:eastAsia="仿宋"/>
          <w:sz w:val="26"/>
        </w:rPr>
      </w:pPr>
      <w:r>
        <w:rPr>
          <w:rFonts w:ascii="仿宋" w:eastAsia="仿宋"/>
          <w:spacing w:val="-2"/>
          <w:sz w:val="28"/>
        </w:rPr>
        <w:t>不予退还的情形</w:t>
      </w:r>
    </w:p>
    <w:p w14:paraId="48E19E13">
      <w:pPr>
        <w:pStyle w:val="11"/>
        <w:spacing w:before="136"/>
        <w:ind w:right="285" w:firstLine="568"/>
        <w:rPr>
          <w:rFonts w:ascii="仿宋" w:eastAsia="仿宋"/>
        </w:rPr>
      </w:pPr>
      <w:r>
        <w:rPr>
          <w:rFonts w:ascii="仿宋" w:eastAsia="仿宋"/>
          <w:spacing w:val="-2"/>
        </w:rPr>
        <w:t>出现下列情形之一的，甲方有权不予退还乙方交纳的履约保证金，且乙方无权要求甲方支付任何利息或补偿：</w:t>
      </w:r>
    </w:p>
    <w:p w14:paraId="4F1D7736">
      <w:pPr>
        <w:pStyle w:val="11"/>
        <w:numPr>
          <w:ilvl w:val="0"/>
          <w:numId w:val="0"/>
        </w:numPr>
        <w:spacing w:before="144"/>
        <w:ind w:left="709" w:leftChars="0"/>
        <w:rPr>
          <w:rFonts w:ascii="仿宋" w:hAnsi="仿宋" w:eastAsia="仿宋"/>
          <w:spacing w:val="-2"/>
        </w:rPr>
      </w:pPr>
      <w:r>
        <w:rPr>
          <w:rFonts w:hint="eastAsia" w:ascii="仿宋" w:hAnsi="仿宋" w:eastAsia="仿宋" w:cs="华文仿宋"/>
          <w:spacing w:val="-2"/>
          <w:kern w:val="0"/>
          <w:sz w:val="28"/>
          <w:szCs w:val="28"/>
          <w:lang w:val="en-US" w:eastAsia="zh-CN" w:bidi="ar-SA"/>
          <w14:ligatures w14:val="none"/>
        </w:rPr>
        <w:t>①</w:t>
      </w:r>
      <w:r>
        <w:rPr>
          <w:rFonts w:ascii="仿宋" w:hAnsi="仿宋" w:eastAsia="仿宋"/>
        </w:rPr>
        <w:t>乙方在履行合同过程中存在违约行为，包括但不限于所提供的装</w:t>
      </w:r>
      <w:r>
        <w:rPr>
          <w:rFonts w:ascii="仿宋" w:hAnsi="仿宋" w:eastAsia="仿宋"/>
          <w:spacing w:val="-2"/>
        </w:rPr>
        <w:t>备或服务不符合合同约定的质量标准、技术规范、功能要求或数量要求，经甲方指出后未在合理期限内改正的；</w:t>
      </w:r>
    </w:p>
    <w:p w14:paraId="34555A88">
      <w:pPr>
        <w:pStyle w:val="11"/>
        <w:numPr>
          <w:ilvl w:val="0"/>
          <w:numId w:val="0"/>
        </w:numPr>
        <w:spacing w:before="144"/>
        <w:ind w:left="709" w:leftChars="0"/>
        <w:rPr>
          <w:rFonts w:ascii="仿宋" w:hAnsi="仿宋" w:eastAsia="仿宋"/>
        </w:rPr>
      </w:pPr>
      <w:r>
        <w:rPr>
          <w:rFonts w:ascii="仿宋" w:hAnsi="仿宋" w:eastAsia="仿宋"/>
          <w:spacing w:val="-1"/>
        </w:rPr>
        <w:t>②乙方未按合同约定的时间、地点或方式履行交货等合同义务；</w:t>
      </w:r>
    </w:p>
    <w:p w14:paraId="29694E7A">
      <w:pPr>
        <w:pStyle w:val="11"/>
        <w:spacing w:before="135"/>
        <w:ind w:left="709"/>
        <w:rPr>
          <w:rFonts w:ascii="仿宋" w:hAnsi="仿宋" w:eastAsia="仿宋"/>
        </w:rPr>
      </w:pPr>
      <w:r>
        <w:rPr>
          <w:rFonts w:ascii="仿宋" w:hAnsi="仿宋" w:eastAsia="仿宋"/>
          <w:spacing w:val="-1"/>
        </w:rPr>
        <w:t>③因乙方原因导致合同被解除或终止的；</w:t>
      </w:r>
    </w:p>
    <w:p w14:paraId="40AD9447">
      <w:pPr>
        <w:pStyle w:val="11"/>
        <w:spacing w:before="138"/>
        <w:ind w:left="709"/>
        <w:rPr>
          <w:rFonts w:ascii="仿宋" w:hAnsi="仿宋" w:eastAsia="仿宋"/>
        </w:rPr>
      </w:pPr>
      <w:r>
        <w:rPr>
          <w:rFonts w:ascii="仿宋" w:hAnsi="仿宋" w:eastAsia="仿宋"/>
          <w:spacing w:val="-1"/>
        </w:rPr>
        <w:t>④法律法规或本合同约定的其他不予退还履约保证金的情形。</w:t>
      </w:r>
    </w:p>
    <w:p w14:paraId="640EF8AD">
      <w:pPr>
        <w:pStyle w:val="11"/>
        <w:spacing w:before="135"/>
        <w:ind w:left="709"/>
        <w:rPr>
          <w:rFonts w:ascii="仿宋" w:eastAsia="仿宋"/>
        </w:rPr>
      </w:pPr>
      <w:r>
        <w:rPr>
          <w:rFonts w:ascii="仿宋" w:eastAsia="仿宋"/>
          <w:spacing w:val="-1"/>
        </w:rPr>
        <w:t>甲方不予退还履约保证金的，并不免除乙方应承担的其他违约责任。</w:t>
      </w:r>
    </w:p>
    <w:p w14:paraId="67A7DEBD">
      <w:pPr>
        <w:pStyle w:val="30"/>
        <w:numPr>
          <w:ilvl w:val="0"/>
          <w:numId w:val="2"/>
        </w:numPr>
        <w:tabs>
          <w:tab w:val="left" w:pos="1418"/>
        </w:tabs>
        <w:spacing w:before="135"/>
        <w:ind w:left="1418" w:hanging="709"/>
        <w:contextualSpacing w:val="0"/>
        <w:rPr>
          <w:sz w:val="26"/>
        </w:rPr>
      </w:pPr>
      <w:r>
        <w:rPr>
          <w:rFonts w:ascii="仿宋" w:eastAsia="仿宋"/>
          <w:spacing w:val="-2"/>
          <w:sz w:val="28"/>
        </w:rPr>
        <w:t>逾期退还的违约责任</w:t>
      </w:r>
    </w:p>
    <w:p w14:paraId="6943576C">
      <w:pPr>
        <w:pStyle w:val="11"/>
        <w:spacing w:before="135"/>
        <w:ind w:right="285" w:firstLine="568"/>
        <w:jc w:val="both"/>
      </w:pPr>
      <w:r>
        <w:rPr>
          <w:spacing w:val="-2"/>
        </w:rPr>
        <w:t>①采购人逾期退还履约保证金的，应当承担赔偿责任。除按合同约定无息退还履约保证金本金外，还应自应退还之日的次日起，按中国人民银行公布的同期贷款市场报价利率（LPR）向中标人支付资金占用期间的利</w:t>
      </w:r>
      <w:r>
        <w:rPr>
          <w:spacing w:val="-6"/>
        </w:rPr>
        <w:t>息。</w:t>
      </w:r>
    </w:p>
    <w:p w14:paraId="379D60A2">
      <w:pPr>
        <w:pStyle w:val="11"/>
        <w:spacing w:before="7"/>
        <w:ind w:left="709"/>
      </w:pPr>
      <w:r>
        <w:rPr>
          <w:spacing w:val="-1"/>
        </w:rPr>
        <w:t>②接受财政部门将逾期退还履约保证金的行为进行监管。</w:t>
      </w:r>
    </w:p>
    <w:p w14:paraId="12F310CF">
      <w:pPr>
        <w:spacing w:before="206"/>
        <w:ind w:left="140" w:right="287" w:firstLine="429"/>
        <w:rPr>
          <w:rFonts w:ascii="仿宋" w:eastAsia="仿宋"/>
          <w:sz w:val="28"/>
          <w:szCs w:val="36"/>
        </w:rPr>
      </w:pPr>
      <w:r>
        <w:rPr>
          <w:rFonts w:ascii="仿宋" w:eastAsia="仿宋"/>
          <w:spacing w:val="6"/>
          <w:w w:val="99"/>
          <w:sz w:val="28"/>
          <w:szCs w:val="36"/>
        </w:rPr>
        <w:t>备注：履约保证金的相关事宜，参考《陕西省财政厅关于进一步加大政府采购支持中小企业</w:t>
      </w:r>
      <w:r>
        <w:rPr>
          <w:rFonts w:ascii="仿宋" w:eastAsia="仿宋"/>
          <w:spacing w:val="4"/>
          <w:w w:val="99"/>
          <w:sz w:val="28"/>
          <w:szCs w:val="36"/>
        </w:rPr>
        <w:t>力度的通知》（</w:t>
      </w:r>
      <w:r>
        <w:rPr>
          <w:rFonts w:ascii="仿宋" w:eastAsia="仿宋"/>
          <w:spacing w:val="3"/>
          <w:w w:val="99"/>
          <w:sz w:val="28"/>
          <w:szCs w:val="36"/>
        </w:rPr>
        <w:t>陕财办采〔</w:t>
      </w:r>
      <w:r>
        <w:rPr>
          <w:rFonts w:ascii="仿宋" w:eastAsia="仿宋"/>
          <w:spacing w:val="1"/>
          <w:w w:val="99"/>
          <w:sz w:val="28"/>
          <w:szCs w:val="36"/>
        </w:rPr>
        <w:t>20</w:t>
      </w:r>
      <w:r>
        <w:rPr>
          <w:rFonts w:ascii="仿宋" w:eastAsia="仿宋"/>
          <w:spacing w:val="3"/>
          <w:w w:val="99"/>
          <w:sz w:val="28"/>
          <w:szCs w:val="36"/>
        </w:rPr>
        <w:t>22</w:t>
      </w:r>
      <w:r>
        <w:rPr>
          <w:rFonts w:ascii="仿宋" w:eastAsia="仿宋"/>
          <w:spacing w:val="4"/>
          <w:w w:val="99"/>
          <w:sz w:val="28"/>
          <w:szCs w:val="36"/>
        </w:rPr>
        <w:t>〕</w:t>
      </w:r>
      <w:r>
        <w:rPr>
          <w:rFonts w:ascii="仿宋" w:eastAsia="仿宋"/>
          <w:w w:val="99"/>
          <w:sz w:val="28"/>
          <w:szCs w:val="36"/>
        </w:rPr>
        <w:t>5</w:t>
      </w:r>
      <w:r>
        <w:rPr>
          <w:rFonts w:ascii="仿宋" w:eastAsia="仿宋"/>
          <w:spacing w:val="-49"/>
          <w:sz w:val="28"/>
          <w:szCs w:val="36"/>
        </w:rPr>
        <w:t xml:space="preserve"> </w:t>
      </w:r>
      <w:r>
        <w:rPr>
          <w:rFonts w:ascii="仿宋" w:eastAsia="仿宋"/>
          <w:spacing w:val="4"/>
          <w:w w:val="99"/>
          <w:sz w:val="28"/>
          <w:szCs w:val="36"/>
        </w:rPr>
        <w:t>号）</w:t>
      </w:r>
      <w:r>
        <w:rPr>
          <w:rFonts w:ascii="仿宋" w:eastAsia="仿宋"/>
          <w:spacing w:val="2"/>
          <w:w w:val="99"/>
          <w:sz w:val="28"/>
          <w:szCs w:val="36"/>
        </w:rPr>
        <w:t>的有关规定执行。</w:t>
      </w:r>
    </w:p>
    <w:p w14:paraId="7EACABC3">
      <w:pPr>
        <w:pStyle w:val="11"/>
        <w:ind w:left="709"/>
      </w:pPr>
      <w:r>
        <w:rPr>
          <w:spacing w:val="-1"/>
        </w:rPr>
        <w:t>四、双方的权利和义务</w:t>
      </w:r>
    </w:p>
    <w:p w14:paraId="2B74E2F6">
      <w:pPr>
        <w:pStyle w:val="11"/>
        <w:spacing w:before="135"/>
        <w:ind w:left="709"/>
      </w:pPr>
      <w:r>
        <w:t>1</w:t>
      </w:r>
      <w:r>
        <w:rPr>
          <w:spacing w:val="-2"/>
        </w:rPr>
        <w:t>、甲方责任</w:t>
      </w:r>
    </w:p>
    <w:p w14:paraId="0B206660">
      <w:pPr>
        <w:pStyle w:val="11"/>
        <w:spacing w:before="135"/>
        <w:ind w:right="285" w:firstLine="568"/>
        <w:jc w:val="both"/>
      </w:pPr>
      <w:r>
        <w:rPr>
          <w:spacing w:val="-2"/>
        </w:rPr>
        <w:t>负责核准、认定本项目相关技术资料文档；监督、参与项目执行的整个过程（包括实施方案的设计、安装调试、项目验收、人员培训、售后服务等）；为乙方提供必要的工作条件，并提供该产品所必需的运行环境；按照合同约定支付各阶段合同款项。</w:t>
      </w:r>
    </w:p>
    <w:p w14:paraId="0A01A35C">
      <w:pPr>
        <w:pStyle w:val="11"/>
        <w:spacing w:before="7"/>
        <w:ind w:left="709"/>
      </w:pPr>
      <w:r>
        <w:t>2</w:t>
      </w:r>
      <w:r>
        <w:rPr>
          <w:spacing w:val="-2"/>
        </w:rPr>
        <w:t>、乙方责任</w:t>
      </w:r>
    </w:p>
    <w:p w14:paraId="0E74B6A1">
      <w:pPr>
        <w:pStyle w:val="11"/>
        <w:spacing w:before="136"/>
        <w:ind w:right="143" w:firstLine="568"/>
      </w:pPr>
      <w:r>
        <w:rPr>
          <w:spacing w:val="1"/>
        </w:rPr>
        <w:t>按时完成产品运行环境的检查；产品的交接；按时完成本合同所涉及产品的安装调试、验收工作；协助配合甲方完成应用系统的整合工作；为</w:t>
      </w:r>
      <w:r>
        <w:rPr>
          <w:spacing w:val="-11"/>
        </w:rPr>
        <w:t>甲方提供《产品测试验收报告》；做好整个项目的售后服务技术支持工作。</w:t>
      </w:r>
      <w:r>
        <w:rPr>
          <w:spacing w:val="1"/>
        </w:rPr>
        <w:t>附件同时提供产品详细的中文技术规格书和外观照片。提供零配件供应周期、工时费等服务标准。</w:t>
      </w:r>
    </w:p>
    <w:p w14:paraId="17246028">
      <w:pPr>
        <w:pStyle w:val="11"/>
        <w:spacing w:before="7"/>
        <w:ind w:left="709"/>
      </w:pPr>
      <w:bookmarkStart w:id="5" w:name="五、交货条件"/>
      <w:bookmarkEnd w:id="5"/>
      <w:r>
        <w:rPr>
          <w:spacing w:val="-2"/>
        </w:rPr>
        <w:t>五、交货条件</w:t>
      </w:r>
    </w:p>
    <w:p w14:paraId="7B9DB22F">
      <w:pPr>
        <w:pStyle w:val="11"/>
        <w:spacing w:before="136"/>
        <w:ind w:right="143" w:firstLine="568"/>
        <w:rPr>
          <w:sz w:val="28"/>
        </w:rPr>
      </w:pPr>
      <w:r>
        <w:rPr>
          <w:spacing w:val="-2"/>
        </w:rPr>
        <w:t>1、交货</w:t>
      </w:r>
      <w:r>
        <w:rPr>
          <w:rFonts w:hint="eastAsia"/>
          <w:spacing w:val="-2"/>
          <w:lang w:val="en-US" w:eastAsia="zh-CN"/>
        </w:rPr>
        <w:t>和验收</w:t>
      </w:r>
      <w:r>
        <w:rPr>
          <w:spacing w:val="-2"/>
        </w:rPr>
        <w:t>地点:</w:t>
      </w:r>
      <w:r>
        <w:t xml:space="preserve"> </w:t>
      </w:r>
      <w:r>
        <w:rPr>
          <w:spacing w:val="-2"/>
        </w:rPr>
        <w:t>渭南市临渭区</w:t>
      </w:r>
      <w:r>
        <w:rPr>
          <w:rFonts w:hint="eastAsia"/>
          <w:spacing w:val="-2"/>
          <w:lang w:val="en-US" w:eastAsia="zh-CN"/>
        </w:rPr>
        <w:t>锦华大道消防救援站</w:t>
      </w:r>
      <w:r>
        <w:rPr>
          <w:rFonts w:hint="eastAsia"/>
          <w:spacing w:val="-2"/>
          <w:lang w:eastAsia="zh-CN"/>
        </w:rPr>
        <w:t>。</w:t>
      </w:r>
    </w:p>
    <w:p w14:paraId="68BD556D">
      <w:pPr>
        <w:pStyle w:val="30"/>
        <w:numPr>
          <w:ilvl w:val="0"/>
          <w:numId w:val="3"/>
        </w:numPr>
        <w:tabs>
          <w:tab w:val="left" w:pos="1378"/>
        </w:tabs>
        <w:spacing w:before="144"/>
        <w:ind w:left="140" w:right="287" w:firstLine="568"/>
        <w:contextualSpacing w:val="0"/>
        <w:rPr>
          <w:sz w:val="28"/>
        </w:rPr>
      </w:pPr>
      <w:r>
        <w:rPr>
          <w:spacing w:val="-2"/>
          <w:sz w:val="28"/>
        </w:rPr>
        <w:t>乙方必须派人送货清点、移交、培训。不受理任何物流、邮寄供</w:t>
      </w:r>
      <w:r>
        <w:rPr>
          <w:spacing w:val="-4"/>
          <w:sz w:val="28"/>
        </w:rPr>
        <w:t>货业务。</w:t>
      </w:r>
    </w:p>
    <w:p w14:paraId="49AB59FA">
      <w:pPr>
        <w:pStyle w:val="30"/>
        <w:numPr>
          <w:ilvl w:val="0"/>
          <w:numId w:val="3"/>
        </w:numPr>
        <w:tabs>
          <w:tab w:val="left" w:pos="1374"/>
        </w:tabs>
        <w:spacing w:before="1"/>
        <w:ind w:left="140" w:right="287" w:firstLine="568"/>
        <w:contextualSpacing w:val="0"/>
        <w:rPr>
          <w:sz w:val="28"/>
        </w:rPr>
      </w:pPr>
      <w:r>
        <w:rPr>
          <w:spacing w:val="-2"/>
          <w:sz w:val="28"/>
        </w:rPr>
        <w:t>本合同所有产品单件必须标明厂商、商标、型号、生产时间并附有效期内的检测报告并盖章。</w:t>
      </w:r>
    </w:p>
    <w:p w14:paraId="3D77EC2E">
      <w:pPr>
        <w:pStyle w:val="11"/>
        <w:ind w:left="709"/>
      </w:pPr>
      <w:r>
        <w:t>2、交货期：合同签订后，</w:t>
      </w:r>
      <w:r>
        <w:rPr>
          <w:rFonts w:ascii="Times New Roman" w:eastAsia="Times New Roman"/>
          <w:spacing w:val="63"/>
          <w:w w:val="150"/>
          <w:u w:val="single"/>
        </w:rPr>
        <w:t xml:space="preserve"> </w:t>
      </w:r>
      <w:r>
        <w:rPr>
          <w:rFonts w:hint="eastAsia" w:eastAsia="宋体"/>
          <w:u w:val="single"/>
          <w:lang w:val="en-US" w:eastAsia="zh-CN"/>
        </w:rPr>
        <w:t xml:space="preserve">    </w:t>
      </w:r>
      <w:r>
        <w:rPr>
          <w:spacing w:val="67"/>
          <w:w w:val="150"/>
          <w:u w:val="single"/>
        </w:rPr>
        <w:t xml:space="preserve"> </w:t>
      </w:r>
      <w:r>
        <w:rPr>
          <w:spacing w:val="-1"/>
        </w:rPr>
        <w:t>日历日内送至甲方指定地点交货。</w:t>
      </w:r>
    </w:p>
    <w:p w14:paraId="149728B4">
      <w:pPr>
        <w:pStyle w:val="11"/>
        <w:spacing w:before="135"/>
        <w:ind w:right="285" w:firstLine="568"/>
        <w:jc w:val="both"/>
      </w:pPr>
      <w:r>
        <w:rPr>
          <w:spacing w:val="-2"/>
        </w:rPr>
        <w:t>3</w:t>
      </w:r>
      <w:r>
        <w:rPr>
          <w:spacing w:val="-14"/>
        </w:rPr>
        <w:t>、根据《国家消防救援局办公室关于推广应用新版消防装备管理系统</w:t>
      </w:r>
      <w:r>
        <w:rPr>
          <w:spacing w:val="-2"/>
        </w:rPr>
        <w:t>的通知》要求，所交付装备须附着由“消防装备物资信息采集系统”生成</w:t>
      </w:r>
      <w:r>
        <w:t>数据制作的二维码和 RFID，芯片内容根据甲方要求填写。</w:t>
      </w:r>
    </w:p>
    <w:p w14:paraId="728BA70B">
      <w:pPr>
        <w:pStyle w:val="11"/>
        <w:spacing w:before="4"/>
        <w:ind w:left="709"/>
      </w:pPr>
      <w:bookmarkStart w:id="6" w:name="六、包装运输"/>
      <w:bookmarkEnd w:id="6"/>
      <w:r>
        <w:rPr>
          <w:spacing w:val="-2"/>
        </w:rPr>
        <w:t>六、包装运输</w:t>
      </w:r>
    </w:p>
    <w:p w14:paraId="76766ACA">
      <w:pPr>
        <w:pStyle w:val="11"/>
        <w:spacing w:before="138"/>
        <w:ind w:right="285" w:firstLine="568"/>
        <w:jc w:val="both"/>
        <w:rPr>
          <w:color w:val="auto"/>
        </w:rPr>
      </w:pPr>
      <w:r>
        <w:rPr>
          <w:color w:val="auto"/>
          <w:spacing w:val="-2"/>
        </w:rPr>
        <w:t>1、运输由乙方负责，运杂费已包含在合同总价内，包括从产品供应地</w:t>
      </w:r>
      <w:r>
        <w:rPr>
          <w:color w:val="auto"/>
          <w:spacing w:val="2"/>
        </w:rPr>
        <w:t>点到验收地点</w:t>
      </w:r>
      <w:r>
        <w:rPr>
          <w:color w:val="auto"/>
          <w:spacing w:val="3"/>
        </w:rPr>
        <w:t>及验收地点</w:t>
      </w:r>
      <w:r>
        <w:rPr>
          <w:rFonts w:hint="eastAsia"/>
          <w:color w:val="auto"/>
          <w:spacing w:val="3"/>
          <w:lang w:eastAsia="zh-CN"/>
        </w:rPr>
        <w:t>（</w:t>
      </w:r>
      <w:r>
        <w:rPr>
          <w:spacing w:val="-2"/>
        </w:rPr>
        <w:t>渭南市临渭区</w:t>
      </w:r>
      <w:r>
        <w:rPr>
          <w:rFonts w:hint="eastAsia"/>
          <w:spacing w:val="-2"/>
          <w:lang w:val="en-US" w:eastAsia="zh-CN"/>
        </w:rPr>
        <w:t>锦华大道消防救援站</w:t>
      </w:r>
      <w:r>
        <w:rPr>
          <w:rFonts w:hint="eastAsia"/>
          <w:color w:val="auto"/>
          <w:spacing w:val="3"/>
          <w:lang w:eastAsia="zh-CN"/>
        </w:rPr>
        <w:t>）。</w:t>
      </w:r>
      <w:r>
        <w:rPr>
          <w:color w:val="auto"/>
          <w:spacing w:val="-2"/>
        </w:rPr>
        <w:t>（采购人不接受快递投递）</w:t>
      </w:r>
    </w:p>
    <w:p w14:paraId="051FB32A">
      <w:pPr>
        <w:pStyle w:val="11"/>
        <w:spacing w:before="4"/>
        <w:ind w:right="143" w:firstLine="568"/>
        <w:rPr>
          <w:color w:val="auto"/>
        </w:rPr>
      </w:pPr>
      <w:r>
        <w:rPr>
          <w:color w:val="auto"/>
        </w:rPr>
        <w:t>2</w:t>
      </w:r>
      <w:r>
        <w:rPr>
          <w:color w:val="auto"/>
          <w:spacing w:val="-10"/>
        </w:rPr>
        <w:t>、乙方保证产品安全、按期运输到达甲方指定验收地点</w:t>
      </w:r>
      <w:r>
        <w:rPr>
          <w:rFonts w:hint="eastAsia"/>
          <w:color w:val="auto"/>
          <w:spacing w:val="2"/>
          <w:lang w:eastAsia="zh-CN"/>
        </w:rPr>
        <w:t>（</w:t>
      </w:r>
      <w:r>
        <w:rPr>
          <w:spacing w:val="-2"/>
        </w:rPr>
        <w:t>渭南市临渭区</w:t>
      </w:r>
      <w:r>
        <w:rPr>
          <w:rFonts w:hint="eastAsia"/>
          <w:spacing w:val="-2"/>
          <w:lang w:val="en-US" w:eastAsia="zh-CN"/>
        </w:rPr>
        <w:t>锦华大道消防救援站</w:t>
      </w:r>
      <w:r>
        <w:rPr>
          <w:rFonts w:hint="eastAsia"/>
          <w:color w:val="auto"/>
          <w:spacing w:val="2"/>
          <w:lang w:eastAsia="zh-CN"/>
        </w:rPr>
        <w:t>）</w:t>
      </w:r>
      <w:r>
        <w:rPr>
          <w:rFonts w:hint="eastAsia"/>
          <w:b w:val="0"/>
          <w:bCs w:val="0"/>
          <w:color w:val="auto"/>
          <w:highlight w:val="none"/>
          <w:u w:val="none"/>
          <w:lang w:val="en-US" w:eastAsia="zh-CN"/>
        </w:rPr>
        <w:t>，</w:t>
      </w:r>
      <w:r>
        <w:rPr>
          <w:color w:val="auto"/>
          <w:spacing w:val="1"/>
        </w:rPr>
        <w:t>在到达甲方指定交货地点前发生的不可预见的风险均由乙方承担。</w:t>
      </w:r>
    </w:p>
    <w:p w14:paraId="3B06F9A7">
      <w:pPr>
        <w:pStyle w:val="11"/>
        <w:spacing w:before="5"/>
        <w:ind w:right="285" w:firstLine="568"/>
        <w:jc w:val="both"/>
      </w:pPr>
      <w:r>
        <w:rPr>
          <w:spacing w:val="-2"/>
        </w:rPr>
        <w:t>3、乙方提供的全部产品及相关快递服务的包装要求，按照《商品包装政府采购需求标准（试行）》、《快递包装政府采购需求标准（试行）》执行。满足航空、铁路或公路运输以及货物装卸要求，保证采购人收到的是无任何损伤的货物，否则，因此造成的损失由乙方自行承担。同时，乙方必须保证如期交付，不得断货，否则，因断货造成的损失由乙方负责赔</w:t>
      </w:r>
      <w:r>
        <w:rPr>
          <w:spacing w:val="-6"/>
        </w:rPr>
        <w:t>偿。</w:t>
      </w:r>
    </w:p>
    <w:p w14:paraId="2C66AD71">
      <w:pPr>
        <w:pStyle w:val="11"/>
        <w:spacing w:before="144"/>
        <w:ind w:firstLine="552" w:firstLineChars="200"/>
        <w:rPr>
          <w:spacing w:val="-2"/>
        </w:rPr>
      </w:pPr>
      <w:r>
        <w:rPr>
          <w:spacing w:val="-2"/>
        </w:rPr>
        <w:t>4、乙方保证产品安全、按期运输到达甲方指定交货地点，在甲方验收前发生的不可预见的风险均由乙方承担。</w:t>
      </w:r>
      <w:bookmarkStart w:id="7" w:name="七、乙方质量保证"/>
      <w:bookmarkEnd w:id="7"/>
    </w:p>
    <w:p w14:paraId="1D474AC8">
      <w:pPr>
        <w:pStyle w:val="11"/>
        <w:spacing w:before="144"/>
        <w:ind w:left="709"/>
      </w:pPr>
      <w:r>
        <w:rPr>
          <w:spacing w:val="-2"/>
        </w:rPr>
        <w:t>七、乙方质量保证</w:t>
      </w:r>
    </w:p>
    <w:p w14:paraId="3675C553">
      <w:pPr>
        <w:pStyle w:val="11"/>
        <w:tabs>
          <w:tab w:val="left" w:pos="4420"/>
        </w:tabs>
        <w:spacing w:before="75"/>
        <w:ind w:right="287" w:firstLine="568"/>
        <w:jc w:val="both"/>
      </w:pPr>
      <w:r>
        <w:rPr>
          <w:spacing w:val="-2"/>
        </w:rPr>
        <w:t>1、保修期（质保期）：</w:t>
      </w:r>
      <w:r>
        <w:rPr>
          <w:rFonts w:hint="eastAsia"/>
          <w:spacing w:val="-2"/>
          <w:u w:val="single"/>
        </w:rPr>
        <w:t>三</w:t>
      </w:r>
      <w:r>
        <w:rPr>
          <w:spacing w:val="-2"/>
        </w:rPr>
        <w:t>年，乙方按照招标文件中各标段技术参数中的要求执行（与本合同第二款中质保期相符），自产品经甲方验收合格后之次日算起，确因质量问题不能使用的，应当免费换新。</w:t>
      </w:r>
    </w:p>
    <w:p w14:paraId="6FEF68B6">
      <w:pPr>
        <w:pStyle w:val="11"/>
        <w:spacing w:before="4"/>
        <w:ind w:right="287" w:firstLine="568"/>
        <w:jc w:val="both"/>
        <w:rPr>
          <w:spacing w:val="-2"/>
        </w:rPr>
      </w:pPr>
      <w:r>
        <w:t>2、提供每周 7*24 小时的技术咨询服务。乙方接到甲方维修要求后，应保证</w:t>
      </w:r>
      <w:r>
        <w:rPr>
          <w:rFonts w:hint="eastAsia"/>
          <w:u w:val="single"/>
        </w:rPr>
        <w:t>0.5</w:t>
      </w:r>
      <w:r>
        <w:t>小时（与投标文件一致）内给予明确答复，并在</w:t>
      </w:r>
      <w:r>
        <w:rPr>
          <w:rFonts w:hint="eastAsia"/>
          <w:u w:val="single"/>
        </w:rPr>
        <w:t>2</w:t>
      </w:r>
      <w:r>
        <w:t>小时（与</w:t>
      </w:r>
      <w:r>
        <w:rPr>
          <w:spacing w:val="-2"/>
        </w:rPr>
        <w:t>投标文件一致）内到达甲方项目所在地。</w:t>
      </w:r>
    </w:p>
    <w:p w14:paraId="16F68881">
      <w:pPr>
        <w:pStyle w:val="11"/>
        <w:spacing w:before="4"/>
        <w:ind w:right="287" w:firstLine="568"/>
        <w:jc w:val="both"/>
        <w:rPr>
          <w:spacing w:val="-2"/>
        </w:rPr>
      </w:pPr>
      <w:r>
        <w:rPr>
          <w:spacing w:val="-2"/>
        </w:rPr>
        <w:t>3、</w:t>
      </w:r>
      <w:r>
        <w:rPr>
          <w:rFonts w:hint="eastAsia"/>
          <w:spacing w:val="-2"/>
        </w:rPr>
        <w:t>保修期（质保期），免费维修。保修期（质保期）外优惠供应配件，只收配件费</w:t>
      </w:r>
      <w:r>
        <w:rPr>
          <w:rFonts w:hint="eastAsia"/>
          <w:spacing w:val="-2"/>
          <w:lang w:val="en-US" w:eastAsia="zh-CN"/>
        </w:rPr>
        <w:t>且价格不高于同期市场价格</w:t>
      </w:r>
      <w:r>
        <w:rPr>
          <w:rFonts w:hint="eastAsia"/>
          <w:spacing w:val="-2"/>
        </w:rPr>
        <w:t>。在保修期（质保期）内，如有制造质量问题或技术缺陷造成设备故障或损坏，乙方在8小时（与投标文件一致）内无法修复或需要返厂进行维修的，乙方必须予以免费整体更换相应设备，以保证甲方最终用户单位工作正常开展；在甲方最终用户单位使用的前三个月，同一设备出现第二次质量问题，乙方必须在甲方指定期限内予以免费整体更换该设备。</w:t>
      </w:r>
    </w:p>
    <w:p w14:paraId="170AB869">
      <w:pPr>
        <w:pStyle w:val="11"/>
        <w:spacing w:before="69"/>
        <w:ind w:right="285" w:firstLine="568"/>
        <w:jc w:val="both"/>
      </w:pPr>
      <w:r>
        <w:rPr>
          <w:spacing w:val="-2"/>
        </w:rPr>
        <w:t>4</w:t>
      </w:r>
      <w:r>
        <w:rPr>
          <w:spacing w:val="-14"/>
        </w:rPr>
        <w:t>、在装备全寿命周期内，如因装备质量缺陷等问题导致甲方及其消防</w:t>
      </w:r>
      <w:r>
        <w:rPr>
          <w:spacing w:val="-2"/>
        </w:rPr>
        <w:t>员、相关人员在使用过程中发生伤亡、财产损失的，均由乙方负责一切后果，并承担法律责任。</w:t>
      </w:r>
    </w:p>
    <w:p w14:paraId="64B48B82">
      <w:pPr>
        <w:pStyle w:val="11"/>
        <w:spacing w:before="3"/>
        <w:ind w:left="709"/>
      </w:pPr>
      <w:bookmarkStart w:id="8" w:name="八、乙方售后服务"/>
      <w:bookmarkEnd w:id="8"/>
      <w:r>
        <w:rPr>
          <w:spacing w:val="-2"/>
        </w:rPr>
        <w:t>八、乙方售后服务</w:t>
      </w:r>
    </w:p>
    <w:p w14:paraId="09E08277">
      <w:pPr>
        <w:pStyle w:val="11"/>
        <w:spacing w:before="78"/>
        <w:ind w:right="285" w:firstLine="568"/>
        <w:jc w:val="both"/>
      </w:pPr>
      <w:r>
        <w:rPr>
          <w:spacing w:val="-2"/>
        </w:rPr>
        <w:t>1、培训：为甲方提供涉及产品的使用范围、主要性能、技术指标、使用方法、注意事项和维护保养、贮存方法等方面的培训，并由乙方专业人员向客户提供技术支持。</w:t>
      </w:r>
    </w:p>
    <w:p w14:paraId="1635C044">
      <w:pPr>
        <w:pStyle w:val="11"/>
        <w:spacing w:before="4"/>
        <w:ind w:left="709"/>
      </w:pPr>
      <w:r>
        <w:t>2</w:t>
      </w:r>
      <w:r>
        <w:rPr>
          <w:spacing w:val="-2"/>
        </w:rPr>
        <w:t>、售后服务工作程序</w:t>
      </w:r>
    </w:p>
    <w:p w14:paraId="571DE576">
      <w:pPr>
        <w:pStyle w:val="11"/>
        <w:tabs>
          <w:tab w:val="left" w:pos="4321"/>
        </w:tabs>
        <w:spacing w:before="135"/>
        <w:ind w:left="709"/>
        <w:rPr>
          <w:rFonts w:ascii="Times New Roman" w:eastAsia="Times New Roman"/>
        </w:rPr>
      </w:pPr>
      <w:r>
        <w:t>售后服务电话</w:t>
      </w:r>
      <w:r>
        <w:rPr>
          <w:spacing w:val="-10"/>
        </w:rPr>
        <w:t>：</w:t>
      </w:r>
    </w:p>
    <w:p w14:paraId="7A5092D9">
      <w:pPr>
        <w:pStyle w:val="30"/>
        <w:numPr>
          <w:ilvl w:val="0"/>
          <w:numId w:val="4"/>
        </w:numPr>
        <w:tabs>
          <w:tab w:val="left" w:pos="1374"/>
        </w:tabs>
        <w:spacing w:before="135"/>
        <w:ind w:left="140" w:right="285" w:firstLine="568"/>
        <w:contextualSpacing w:val="0"/>
        <w:rPr>
          <w:sz w:val="28"/>
        </w:rPr>
      </w:pPr>
      <w:r>
        <w:rPr>
          <w:spacing w:val="-2"/>
          <w:sz w:val="28"/>
        </w:rPr>
        <w:t>受理甲方售后要求，详细弄清问题所在，并给予明确答复，做电</w:t>
      </w:r>
      <w:r>
        <w:rPr>
          <w:spacing w:val="-4"/>
          <w:sz w:val="28"/>
        </w:rPr>
        <w:t>话记录。</w:t>
      </w:r>
    </w:p>
    <w:p w14:paraId="072D3003">
      <w:pPr>
        <w:pStyle w:val="30"/>
        <w:numPr>
          <w:ilvl w:val="0"/>
          <w:numId w:val="4"/>
        </w:numPr>
        <w:tabs>
          <w:tab w:val="left" w:pos="1407"/>
          <w:tab w:val="left" w:pos="3539"/>
        </w:tabs>
        <w:spacing w:before="84"/>
        <w:ind w:left="140" w:right="285" w:firstLine="568"/>
        <w:contextualSpacing w:val="0"/>
        <w:rPr>
          <w:sz w:val="28"/>
        </w:rPr>
      </w:pPr>
      <w:r>
        <w:rPr>
          <w:spacing w:val="-4"/>
          <w:sz w:val="28"/>
        </w:rPr>
        <w:t>在接到电话</w:t>
      </w:r>
      <w:r>
        <w:rPr>
          <w:rFonts w:hint="eastAsia" w:ascii="Times New Roman" w:eastAsia="Times New Roman"/>
          <w:sz w:val="28"/>
          <w:u w:val="single"/>
        </w:rPr>
        <w:t>0.5</w:t>
      </w:r>
      <w:r>
        <w:rPr>
          <w:spacing w:val="-2"/>
          <w:sz w:val="28"/>
        </w:rPr>
        <w:t>小时（与投标文件一致）内，安排人员，制定服务计划。</w:t>
      </w:r>
    </w:p>
    <w:p w14:paraId="37E72199">
      <w:pPr>
        <w:pStyle w:val="30"/>
        <w:numPr>
          <w:ilvl w:val="0"/>
          <w:numId w:val="4"/>
        </w:numPr>
        <w:tabs>
          <w:tab w:val="left" w:pos="1407"/>
          <w:tab w:val="left" w:pos="3539"/>
        </w:tabs>
        <w:spacing w:before="84"/>
        <w:ind w:left="140" w:right="285" w:firstLine="568"/>
        <w:contextualSpacing w:val="0"/>
        <w:rPr>
          <w:sz w:val="28"/>
        </w:rPr>
      </w:pPr>
      <w:r>
        <w:rPr>
          <w:spacing w:val="-4"/>
          <w:sz w:val="28"/>
        </w:rPr>
        <w:t>在接到电话</w:t>
      </w:r>
      <w:r>
        <w:rPr>
          <w:rFonts w:hint="eastAsia" w:ascii="Times New Roman" w:eastAsia="Times New Roman"/>
          <w:sz w:val="28"/>
          <w:u w:val="single"/>
        </w:rPr>
        <w:t>2</w:t>
      </w:r>
      <w:r>
        <w:rPr>
          <w:spacing w:val="-2"/>
          <w:sz w:val="28"/>
        </w:rPr>
        <w:t>小时内（与投标文件一致）赶到甲方位置，对故障原因内予以解决。</w:t>
      </w:r>
    </w:p>
    <w:p w14:paraId="78231176">
      <w:pPr>
        <w:pStyle w:val="11"/>
        <w:spacing w:before="1"/>
        <w:ind w:right="285" w:firstLine="568"/>
        <w:jc w:val="both"/>
      </w:pPr>
      <w:r>
        <w:rPr>
          <w:spacing w:val="-2"/>
        </w:rPr>
        <w:t>3、保修期（质保期）内主要提供定期的客户查询，询问器材的使用情</w:t>
      </w:r>
      <w:r>
        <w:rPr>
          <w:spacing w:val="-1"/>
        </w:rPr>
        <w:t xml:space="preserve">况、完好情况。一般每 </w:t>
      </w:r>
      <w:r>
        <w:t>1－2</w:t>
      </w:r>
      <w:r>
        <w:rPr>
          <w:spacing w:val="-4"/>
        </w:rPr>
        <w:t xml:space="preserve"> 个月一次。确有质量问题的，按第七条 </w:t>
      </w:r>
      <w:r>
        <w:t>3</w:t>
      </w:r>
      <w:r>
        <w:rPr>
          <w:spacing w:val="-4"/>
        </w:rPr>
        <w:t xml:space="preserve"> 款进</w:t>
      </w:r>
      <w:r>
        <w:rPr>
          <w:spacing w:val="-2"/>
        </w:rPr>
        <w:t>行服务，服务免费。</w:t>
      </w:r>
    </w:p>
    <w:p w14:paraId="0F556490">
      <w:pPr>
        <w:pStyle w:val="11"/>
        <w:spacing w:before="4"/>
        <w:ind w:right="285" w:firstLine="568"/>
      </w:pPr>
      <w:r>
        <w:rPr>
          <w:spacing w:val="-2"/>
        </w:rPr>
        <w:t>4、保修期（质保期）外乙方应继续安排销售人员对甲方进行走访，维修只收配件费。对临界使用寿命的或严重毁损的器材提醒及时报废。</w:t>
      </w:r>
    </w:p>
    <w:p w14:paraId="3C9FA723">
      <w:pPr>
        <w:pStyle w:val="11"/>
        <w:spacing w:before="56"/>
        <w:ind w:right="285" w:firstLine="568"/>
        <w:jc w:val="both"/>
      </w:pPr>
      <w:r>
        <w:rPr>
          <w:spacing w:val="-2"/>
        </w:rPr>
        <w:t>5</w:t>
      </w:r>
      <w:r>
        <w:rPr>
          <w:spacing w:val="-14"/>
        </w:rPr>
        <w:t>、乙方未能按照本条协议约定履行其售后服务义务及第七条质量保证</w:t>
      </w:r>
      <w:r>
        <w:t>义务的，应当向甲方支付违约金 5000 元/次，同时甲方有权聘请第三方进</w:t>
      </w:r>
      <w:r>
        <w:rPr>
          <w:spacing w:val="-2"/>
        </w:rPr>
        <w:t>行维修，产生的费用：质保期内由乙方承担；质保期外除配件费以外的费用由乙方承担。第三方的维修行为不排除乙方之后的质保、维修责任。</w:t>
      </w:r>
    </w:p>
    <w:p w14:paraId="3CC26705">
      <w:pPr>
        <w:pStyle w:val="11"/>
        <w:spacing w:before="5"/>
        <w:ind w:left="709"/>
      </w:pPr>
      <w:bookmarkStart w:id="9" w:name="九、乙方提供技术与服务"/>
      <w:bookmarkEnd w:id="9"/>
      <w:r>
        <w:rPr>
          <w:spacing w:val="-1"/>
        </w:rPr>
        <w:t>九、乙方提供技术与服务</w:t>
      </w:r>
    </w:p>
    <w:p w14:paraId="7B1C58BF">
      <w:pPr>
        <w:pStyle w:val="11"/>
        <w:spacing w:before="137"/>
        <w:ind w:right="153" w:firstLine="568"/>
      </w:pPr>
      <w:r>
        <w:rPr>
          <w:spacing w:val="-2"/>
        </w:rPr>
        <w:t>1、随同货物提供相应的中文技术文件（包括产品合格证、装箱清单、操作手册、使用说明、检测报告、维护手册、服务指南等资料）；</w:t>
      </w:r>
    </w:p>
    <w:p w14:paraId="65ABC8D3">
      <w:pPr>
        <w:pStyle w:val="11"/>
        <w:spacing w:before="1"/>
        <w:ind w:left="709" w:right="3270"/>
        <w:rPr>
          <w:spacing w:val="-2"/>
        </w:rPr>
      </w:pPr>
      <w:r>
        <w:rPr>
          <w:spacing w:val="-2"/>
        </w:rPr>
        <w:t>2、现场安装、调试、试运行技术保障服务。</w:t>
      </w:r>
      <w:bookmarkStart w:id="10" w:name="十、违约责任"/>
      <w:bookmarkEnd w:id="10"/>
    </w:p>
    <w:p w14:paraId="4B7A3838">
      <w:pPr>
        <w:pStyle w:val="11"/>
        <w:spacing w:before="1"/>
        <w:ind w:left="709" w:right="3270"/>
      </w:pPr>
      <w:r>
        <w:rPr>
          <w:spacing w:val="-2"/>
        </w:rPr>
        <w:t>十、违约责任</w:t>
      </w:r>
    </w:p>
    <w:p w14:paraId="1BFF56F0">
      <w:pPr>
        <w:pStyle w:val="11"/>
        <w:ind w:left="709"/>
      </w:pPr>
      <w:r>
        <w:t>1</w:t>
      </w:r>
      <w:r>
        <w:rPr>
          <w:spacing w:val="-1"/>
        </w:rPr>
        <w:t>、按《中华人民共和国民法典》中的相关条款执行。</w:t>
      </w:r>
    </w:p>
    <w:p w14:paraId="4630E48D">
      <w:pPr>
        <w:pStyle w:val="11"/>
        <w:spacing w:before="135"/>
        <w:ind w:right="143" w:firstLine="568"/>
      </w:pPr>
      <w:r>
        <w:t>2</w:t>
      </w:r>
      <w:r>
        <w:rPr>
          <w:spacing w:val="-11"/>
        </w:rPr>
        <w:t>、乙方未能按期履行合同或乙方未按合同要求提供设备或设备质量不</w:t>
      </w:r>
      <w:r>
        <w:rPr>
          <w:spacing w:val="1"/>
        </w:rPr>
        <w:t>能满足甲方要求，甲方有权单方面解除合同，乙方除应返还甲方已支付的</w:t>
      </w:r>
      <w:r>
        <w:rPr>
          <w:spacing w:val="-7"/>
        </w:rPr>
        <w:t>款项外，还应承担本合同总金额</w:t>
      </w:r>
      <w:r>
        <w:rPr>
          <w:spacing w:val="1"/>
        </w:rPr>
        <w:t xml:space="preserve"> </w:t>
      </w:r>
      <w:r>
        <w:t>20</w:t>
      </w:r>
      <w:r>
        <w:rPr>
          <w:spacing w:val="-7"/>
        </w:rPr>
        <w:t>%的违约金，违约金不足以弥补损失的，</w:t>
      </w:r>
      <w:r>
        <w:rPr>
          <w:spacing w:val="1"/>
        </w:rPr>
        <w:t>乙方应予补足；</w:t>
      </w:r>
    </w:p>
    <w:p w14:paraId="218ADDA6">
      <w:pPr>
        <w:pStyle w:val="11"/>
        <w:spacing w:before="144"/>
        <w:ind w:right="287" w:firstLine="568"/>
        <w:rPr>
          <w:spacing w:val="1"/>
        </w:rPr>
      </w:pPr>
      <w:r>
        <w:t>3</w:t>
      </w:r>
      <w:r>
        <w:rPr>
          <w:spacing w:val="-10"/>
        </w:rPr>
        <w:t>、若交货存在逾期可能，乙方应在合同约定的交货之日前</w:t>
      </w:r>
      <w:r>
        <w:rPr>
          <w:spacing w:val="1"/>
        </w:rPr>
        <w:t xml:space="preserve"> </w:t>
      </w:r>
      <w:r>
        <w:t>7</w:t>
      </w:r>
      <w:r>
        <w:rPr>
          <w:spacing w:val="2"/>
        </w:rPr>
        <w:t xml:space="preserve"> </w:t>
      </w:r>
      <w:r>
        <w:rPr>
          <w:spacing w:val="1"/>
        </w:rPr>
        <w:t>天以书面形式告知甲方，经甲方同意，乙方应在甲方重新指定的交货日期内按时交</w:t>
      </w:r>
      <w:r>
        <w:rPr>
          <w:spacing w:val="-6"/>
        </w:rPr>
        <w:t>货。若仍逾期，每逾期一天，乙方应向甲方支付合同总价款的</w:t>
      </w:r>
      <w:r>
        <w:rPr>
          <w:spacing w:val="4"/>
        </w:rPr>
        <w:t xml:space="preserve"> </w:t>
      </w:r>
      <w:r>
        <w:t>1</w:t>
      </w:r>
      <w:r>
        <w:rPr>
          <w:spacing w:val="1"/>
        </w:rPr>
        <w:t>‰违约金。逾期超过</w:t>
      </w:r>
      <w:r>
        <w:t>15</w:t>
      </w:r>
      <w:r>
        <w:rPr>
          <w:spacing w:val="-10"/>
        </w:rPr>
        <w:t>日历日的，甲方有权单方面解除本合同，乙方除退还甲方已支</w:t>
      </w:r>
      <w:r>
        <w:rPr>
          <w:spacing w:val="1"/>
        </w:rPr>
        <w:t>付全部费用外还应按照合同总价的</w:t>
      </w:r>
      <w:r>
        <w:t>20%向甲方支付违约金。违约金不足以</w:t>
      </w:r>
      <w:r>
        <w:rPr>
          <w:spacing w:val="1"/>
        </w:rPr>
        <w:t>弥补损失的，乙方应予以补足。</w:t>
      </w:r>
    </w:p>
    <w:p w14:paraId="117D226A">
      <w:pPr>
        <w:pStyle w:val="11"/>
        <w:spacing w:before="144"/>
        <w:ind w:right="287" w:firstLine="568"/>
      </w:pPr>
      <w:r>
        <w:rPr>
          <w:spacing w:val="-2"/>
        </w:rPr>
        <w:t>4</w:t>
      </w:r>
      <w:r>
        <w:rPr>
          <w:spacing w:val="-14"/>
        </w:rPr>
        <w:t>、乙方因交付货物不符合合同规定而被甲方要求进行整改，整改完成</w:t>
      </w:r>
      <w:r>
        <w:rPr>
          <w:spacing w:val="-2"/>
        </w:rPr>
        <w:t>时间晚于合同规定的交货时间时，乙方应承担逾期交货违约责任。</w:t>
      </w:r>
    </w:p>
    <w:p w14:paraId="458446BD">
      <w:pPr>
        <w:pStyle w:val="11"/>
        <w:spacing w:before="1"/>
        <w:ind w:left="709"/>
      </w:pPr>
      <w:bookmarkStart w:id="11" w:name="十一、不可抗力"/>
      <w:bookmarkEnd w:id="11"/>
      <w:r>
        <w:rPr>
          <w:spacing w:val="-2"/>
        </w:rPr>
        <w:t>十一、不可抗力</w:t>
      </w:r>
    </w:p>
    <w:p w14:paraId="42D8FD92">
      <w:pPr>
        <w:pStyle w:val="11"/>
        <w:spacing w:before="138"/>
        <w:ind w:right="287" w:firstLine="568"/>
        <w:jc w:val="both"/>
      </w:pPr>
      <w:r>
        <w:rPr>
          <w:spacing w:val="-2"/>
        </w:rPr>
        <w:t>1、如遇自然灾害如洪水、火灾、爆炸、雷电、地震和风暴等，以及社会事件如网络故障，战争、动乱、政府行为、国家政策的突然变动和罢工等不可抗力，任何一方遇有不可抗力而全部或部分不能履行本合同或迟延履行本合同，发生不可抗力的一方在不可抗力影响的范围内免除其相应责</w:t>
      </w:r>
      <w:r>
        <w:rPr>
          <w:spacing w:val="-6"/>
        </w:rPr>
        <w:t>任。</w:t>
      </w:r>
    </w:p>
    <w:p w14:paraId="4A4842E5">
      <w:pPr>
        <w:pStyle w:val="11"/>
        <w:spacing w:before="5"/>
        <w:ind w:right="285" w:firstLine="568"/>
        <w:jc w:val="both"/>
      </w:pPr>
      <w:r>
        <w:rPr>
          <w:spacing w:val="-2"/>
        </w:rPr>
        <w:t>2</w:t>
      </w:r>
      <w:r>
        <w:rPr>
          <w:spacing w:val="-14"/>
        </w:rPr>
        <w:t>、本合同任何一方因不可抗力不能履行或不能完全履行本合同的义务</w:t>
      </w:r>
      <w:r>
        <w:rPr>
          <w:spacing w:val="2"/>
        </w:rPr>
        <w:t xml:space="preserve">时，应在不可抗力发生之日起 </w:t>
      </w:r>
      <w:r>
        <w:t>7</w:t>
      </w:r>
      <w:r>
        <w:rPr>
          <w:spacing w:val="-1"/>
        </w:rPr>
        <w:t xml:space="preserve"> 天内书面函告本合同的另一方，并在不可</w:t>
      </w:r>
    </w:p>
    <w:p w14:paraId="61F92499">
      <w:pPr>
        <w:pStyle w:val="11"/>
        <w:jc w:val="both"/>
      </w:pPr>
      <w:r>
        <w:rPr>
          <w:spacing w:val="2"/>
        </w:rPr>
        <w:t xml:space="preserve">抗力发生之日起 </w:t>
      </w:r>
      <w:r>
        <w:t>7</w:t>
      </w:r>
      <w:r>
        <w:rPr>
          <w:spacing w:val="-1"/>
        </w:rPr>
        <w:t xml:space="preserve"> 天内向另一方提供相关证明材料。</w:t>
      </w:r>
    </w:p>
    <w:p w14:paraId="6A8A8687">
      <w:pPr>
        <w:pStyle w:val="11"/>
        <w:spacing w:before="135"/>
        <w:ind w:right="287" w:firstLine="568"/>
        <w:jc w:val="both"/>
      </w:pPr>
      <w:r>
        <w:rPr>
          <w:spacing w:val="-2"/>
        </w:rPr>
        <w:t>3</w:t>
      </w:r>
      <w:r>
        <w:rPr>
          <w:spacing w:val="-14"/>
        </w:rPr>
        <w:t>、遭受不可抗力的一方应采取一切必要措施减少损失，并在事件消除</w:t>
      </w:r>
      <w:r>
        <w:rPr>
          <w:spacing w:val="-2"/>
        </w:rPr>
        <w:t>后立即恢复本合同的履行，除非履行已不可能或者不必要。如果因不可抗力的一方造成损失扩大的，扩大的损失应当由不可抗力的一方承担。如果一方由于不可抗力事件无法履行其在本合同项下义务，则另一方应有权终止部分或整体合同。终止合同应向对方发出解除合同的通知。</w:t>
      </w:r>
    </w:p>
    <w:p w14:paraId="7FDEFDB5">
      <w:pPr>
        <w:pStyle w:val="11"/>
        <w:spacing w:before="7"/>
        <w:ind w:left="709"/>
      </w:pPr>
      <w:bookmarkStart w:id="12" w:name="十二、验收"/>
      <w:bookmarkEnd w:id="12"/>
      <w:r>
        <w:rPr>
          <w:spacing w:val="-2"/>
        </w:rPr>
        <w:t>十二、验收</w:t>
      </w:r>
    </w:p>
    <w:p w14:paraId="373A25BB">
      <w:pPr>
        <w:pStyle w:val="11"/>
        <w:spacing w:before="135"/>
        <w:ind w:right="285" w:firstLine="568"/>
        <w:jc w:val="both"/>
      </w:pPr>
      <w:r>
        <w:rPr>
          <w:spacing w:val="-2"/>
        </w:rPr>
        <w:t>1、产品到达甲方指定地点后，甲方根据合同约定，对产品进行外观验收、确认产品的产地、规格、型号和数量。器材所有产品外包装箱、单个产品包装盒上必须印制或粘贴下列基本信息：产品生产厂家、生产日期、有效期、生产厂家联系人、联系电话；代理厂商联系人、联系电话、售后联系人、联系方式。</w:t>
      </w:r>
    </w:p>
    <w:p w14:paraId="6106C6BE">
      <w:pPr>
        <w:pStyle w:val="11"/>
        <w:spacing w:before="8"/>
        <w:ind w:right="287" w:firstLine="568"/>
      </w:pPr>
      <w:r>
        <w:rPr>
          <w:spacing w:val="-2"/>
        </w:rPr>
        <w:t>2、产品安装、调试并正常运行后，由乙方进行自检合格后，准备验收文件，并书面通知甲方。</w:t>
      </w:r>
    </w:p>
    <w:p w14:paraId="2F0DDF70">
      <w:pPr>
        <w:pStyle w:val="11"/>
        <w:spacing w:before="3"/>
        <w:ind w:right="153" w:firstLine="568"/>
      </w:pPr>
      <w:r>
        <w:rPr>
          <w:spacing w:val="-2"/>
        </w:rPr>
        <w:t>3、甲方确认乙方的自检内容后（必要时请有关专家）进行系统验收，填写项目验收单，作为对设备的最终认可。</w:t>
      </w:r>
    </w:p>
    <w:p w14:paraId="663FCFF3">
      <w:pPr>
        <w:pStyle w:val="11"/>
        <w:spacing w:before="144"/>
        <w:ind w:left="709"/>
        <w:rPr>
          <w:spacing w:val="-4"/>
        </w:rPr>
      </w:pPr>
      <w:r>
        <w:rPr>
          <w:spacing w:val="-2"/>
        </w:rPr>
        <w:t>4</w:t>
      </w:r>
      <w:r>
        <w:rPr>
          <w:spacing w:val="-14"/>
        </w:rPr>
        <w:t>、乙方向甲方提交设备实施过程中的所有资料，以便甲方日后管理和</w:t>
      </w:r>
      <w:r>
        <w:rPr>
          <w:spacing w:val="-4"/>
        </w:rPr>
        <w:t>维护。</w:t>
      </w:r>
    </w:p>
    <w:p w14:paraId="752D6455">
      <w:pPr>
        <w:pStyle w:val="11"/>
        <w:spacing w:before="144"/>
        <w:ind w:left="709"/>
      </w:pPr>
      <w:r>
        <w:t>5</w:t>
      </w:r>
      <w:r>
        <w:rPr>
          <w:spacing w:val="-2"/>
        </w:rPr>
        <w:t>、验收依据：</w:t>
      </w:r>
    </w:p>
    <w:p w14:paraId="3B3A5DB6">
      <w:pPr>
        <w:pStyle w:val="30"/>
        <w:numPr>
          <w:ilvl w:val="0"/>
          <w:numId w:val="5"/>
        </w:numPr>
        <w:tabs>
          <w:tab w:val="left" w:pos="1406"/>
        </w:tabs>
        <w:spacing w:before="135"/>
        <w:ind w:left="1406" w:hanging="697"/>
        <w:contextualSpacing w:val="0"/>
        <w:rPr>
          <w:sz w:val="28"/>
        </w:rPr>
      </w:pPr>
      <w:r>
        <w:rPr>
          <w:spacing w:val="-1"/>
          <w:sz w:val="28"/>
        </w:rPr>
        <w:t>招标文件、投标文件、澄清表；</w:t>
      </w:r>
    </w:p>
    <w:p w14:paraId="6B0DF3FC">
      <w:pPr>
        <w:pStyle w:val="30"/>
        <w:numPr>
          <w:ilvl w:val="0"/>
          <w:numId w:val="5"/>
        </w:numPr>
        <w:tabs>
          <w:tab w:val="left" w:pos="1406"/>
        </w:tabs>
        <w:spacing w:before="135"/>
        <w:ind w:left="709" w:right="5255" w:firstLine="0"/>
        <w:contextualSpacing w:val="0"/>
        <w:rPr>
          <w:sz w:val="28"/>
        </w:rPr>
      </w:pPr>
      <w:r>
        <w:rPr>
          <w:spacing w:val="-2"/>
          <w:sz w:val="28"/>
        </w:rPr>
        <w:t>本合同及附件文本等；</w:t>
      </w:r>
      <w:bookmarkStart w:id="13" w:name="十三、技术成果"/>
      <w:bookmarkEnd w:id="13"/>
    </w:p>
    <w:p w14:paraId="3AE817E8">
      <w:pPr>
        <w:pStyle w:val="11"/>
        <w:spacing w:before="3"/>
        <w:ind w:right="153" w:firstLine="568"/>
        <w:rPr>
          <w:rFonts w:hint="eastAsia"/>
          <w:spacing w:val="-2"/>
          <w:lang w:val="en-US" w:eastAsia="zh-CN"/>
        </w:rPr>
      </w:pPr>
      <w:r>
        <w:rPr>
          <w:rFonts w:hint="eastAsia"/>
          <w:spacing w:val="-2"/>
          <w:lang w:val="en-US" w:eastAsia="zh-CN"/>
        </w:rPr>
        <w:t>6、如果合同约定的条款内容标准低于乙方投标文件中承诺的内容标准，验收时按照乙方投标文件中承诺的内容标准进行验收。</w:t>
      </w:r>
    </w:p>
    <w:p w14:paraId="7BA2BE52">
      <w:pPr>
        <w:pStyle w:val="30"/>
        <w:numPr>
          <w:ilvl w:val="0"/>
          <w:numId w:val="0"/>
        </w:numPr>
        <w:tabs>
          <w:tab w:val="left" w:pos="1406"/>
        </w:tabs>
        <w:spacing w:before="135"/>
        <w:ind w:left="709" w:leftChars="0" w:right="5255" w:rightChars="0"/>
        <w:contextualSpacing w:val="0"/>
        <w:rPr>
          <w:sz w:val="28"/>
        </w:rPr>
      </w:pPr>
      <w:r>
        <w:rPr>
          <w:spacing w:val="-2"/>
          <w:sz w:val="28"/>
        </w:rPr>
        <w:t>十三、技术成果</w:t>
      </w:r>
    </w:p>
    <w:p w14:paraId="2B7BF7BA">
      <w:pPr>
        <w:pStyle w:val="11"/>
        <w:ind w:left="709" w:right="3403"/>
        <w:rPr>
          <w:spacing w:val="-2"/>
        </w:rPr>
      </w:pPr>
      <w:r>
        <w:rPr>
          <w:spacing w:val="-2"/>
        </w:rPr>
        <w:t>因本项目采购形成的技术成果归甲方所有。</w:t>
      </w:r>
      <w:bookmarkStart w:id="14" w:name="十四、知识产权及专利权_"/>
      <w:bookmarkEnd w:id="14"/>
    </w:p>
    <w:p w14:paraId="7FE2B145">
      <w:pPr>
        <w:pStyle w:val="11"/>
        <w:ind w:left="709" w:right="3403"/>
      </w:pPr>
      <w:r>
        <w:rPr>
          <w:spacing w:val="-2"/>
        </w:rPr>
        <w:t>十四、知识产权及专利权</w:t>
      </w:r>
    </w:p>
    <w:p w14:paraId="37B3581F">
      <w:pPr>
        <w:pStyle w:val="11"/>
        <w:ind w:right="285" w:firstLine="568"/>
        <w:jc w:val="both"/>
      </w:pPr>
      <w:r>
        <w:rPr>
          <w:spacing w:val="-2"/>
        </w:rPr>
        <w:t>乙方应当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14:paraId="1FF36E1B">
      <w:pPr>
        <w:pStyle w:val="11"/>
        <w:spacing w:before="4"/>
        <w:ind w:left="709"/>
      </w:pPr>
      <w:bookmarkStart w:id="15" w:name="十五、保密责任"/>
      <w:bookmarkEnd w:id="15"/>
      <w:r>
        <w:rPr>
          <w:spacing w:val="-2"/>
        </w:rPr>
        <w:t>十五、保密责任</w:t>
      </w:r>
    </w:p>
    <w:p w14:paraId="4A27A9FC">
      <w:pPr>
        <w:pStyle w:val="11"/>
        <w:spacing w:before="136"/>
        <w:ind w:right="143" w:firstLine="568"/>
        <w:jc w:val="both"/>
      </w:pPr>
      <w:r>
        <w:rPr>
          <w:spacing w:val="1"/>
        </w:rPr>
        <w:t>双方均应遵守《中华人民共和国保守国家秘密法》和其它相关规定，妥善保管对方提供的资料，保守对方的各项秘密，保护对方的知识产权；</w:t>
      </w:r>
      <w:r>
        <w:rPr>
          <w:spacing w:val="-11"/>
        </w:rPr>
        <w:t>未经对方许可，不得利用知悉的对方资料和成果为自己或第三方谋取利益。</w:t>
      </w:r>
    </w:p>
    <w:p w14:paraId="4EF08DF3">
      <w:pPr>
        <w:pStyle w:val="11"/>
        <w:spacing w:before="4"/>
        <w:ind w:left="709"/>
      </w:pPr>
      <w:bookmarkStart w:id="16" w:name="十六、通知与送达"/>
      <w:bookmarkEnd w:id="16"/>
      <w:r>
        <w:rPr>
          <w:spacing w:val="-2"/>
        </w:rPr>
        <w:t>十六、通知与送达</w:t>
      </w:r>
    </w:p>
    <w:p w14:paraId="0421606B">
      <w:pPr>
        <w:pStyle w:val="11"/>
        <w:spacing w:before="137"/>
        <w:ind w:right="162" w:firstLine="568"/>
      </w:pPr>
      <w:r>
        <w:t>1</w:t>
      </w:r>
      <w:r>
        <w:rPr>
          <w:spacing w:val="1"/>
        </w:rPr>
        <w:t>、甲乙双方应当在</w:t>
      </w:r>
      <w:r>
        <w:rPr>
          <w:spacing w:val="4"/>
        </w:rPr>
        <w:t xml:space="preserve"> </w:t>
      </w:r>
      <w:r>
        <w:t>3</w:t>
      </w:r>
      <w:r>
        <w:rPr>
          <w:spacing w:val="-1"/>
        </w:rPr>
        <w:t xml:space="preserve"> </w:t>
      </w:r>
      <w:r>
        <w:rPr>
          <w:spacing w:val="1"/>
        </w:rPr>
        <w:t>天内将与合同有关的通知、批准、证明、证书、指示、指令、要求、请求、同意、意见、确定和决定等书面函件送达对方当事人。</w:t>
      </w:r>
    </w:p>
    <w:p w14:paraId="65410D2D">
      <w:pPr>
        <w:pStyle w:val="11"/>
        <w:spacing w:before="4"/>
        <w:ind w:right="287" w:firstLine="568"/>
        <w:jc w:val="both"/>
      </w:pPr>
      <w:r>
        <w:rPr>
          <w:spacing w:val="-2"/>
        </w:rPr>
        <w:t>2</w:t>
      </w:r>
      <w:r>
        <w:rPr>
          <w:spacing w:val="-13"/>
        </w:rPr>
        <w:t>、甲乙双方的送达接收人和送达地点以合同中明确的联系人，联系地</w:t>
      </w:r>
      <w:r>
        <w:rPr>
          <w:spacing w:val="-2"/>
        </w:rPr>
        <w:t>址为准。双方确保合同中的联系方式真实有效。任何一方合同当事人指定</w:t>
      </w:r>
      <w:r>
        <w:t>的接收人或送达地点发生变动的，应提前 3 天以书面形式通知对方。</w:t>
      </w:r>
    </w:p>
    <w:p w14:paraId="676B77EA">
      <w:pPr>
        <w:pStyle w:val="11"/>
        <w:spacing w:before="4"/>
        <w:ind w:right="285" w:firstLine="568"/>
        <w:jc w:val="both"/>
      </w:pPr>
      <w:r>
        <w:rPr>
          <w:spacing w:val="-2"/>
        </w:rPr>
        <w:t>3</w:t>
      </w:r>
      <w:r>
        <w:rPr>
          <w:spacing w:val="-14"/>
        </w:rPr>
        <w:t>、甲乙双方应当及时签收另一方送达至送达地点和指定接收人的来往</w:t>
      </w:r>
      <w:r>
        <w:rPr>
          <w:spacing w:val="-2"/>
        </w:rPr>
        <w:t>信函。拒不签收的，由此增加的费用和（或）延误的交货期由拒绝接收一</w:t>
      </w:r>
      <w:r>
        <w:rPr>
          <w:spacing w:val="-4"/>
        </w:rPr>
        <w:t>方承担。</w:t>
      </w:r>
    </w:p>
    <w:p w14:paraId="2851D1C7">
      <w:pPr>
        <w:pStyle w:val="11"/>
        <w:spacing w:before="4"/>
        <w:ind w:left="709"/>
      </w:pPr>
      <w:bookmarkStart w:id="17" w:name="十七、合同争议解决的方式"/>
      <w:bookmarkEnd w:id="17"/>
      <w:r>
        <w:rPr>
          <w:spacing w:val="-1"/>
        </w:rPr>
        <w:t>十七、合同争议解决的方式</w:t>
      </w:r>
    </w:p>
    <w:p w14:paraId="634954B9">
      <w:pPr>
        <w:pStyle w:val="11"/>
        <w:spacing w:before="135"/>
        <w:ind w:right="143" w:firstLine="568"/>
      </w:pPr>
      <w:r>
        <w:t>本合同在履行过程中发生的争议，由甲、乙方当事人协商解决；也可</w:t>
      </w:r>
      <w:r>
        <w:rPr>
          <w:spacing w:val="-8"/>
        </w:rPr>
        <w:t>由当地市场监督管理部门调解；协商或调解不成的按以下第</w:t>
      </w:r>
      <w:r>
        <w:rPr>
          <w:spacing w:val="1"/>
        </w:rPr>
        <w:t xml:space="preserve"> </w:t>
      </w:r>
      <w:r>
        <w:t>2</w:t>
      </w:r>
      <w:r>
        <w:rPr>
          <w:spacing w:val="2"/>
        </w:rPr>
        <w:t xml:space="preserve"> </w:t>
      </w:r>
      <w:r>
        <w:rPr>
          <w:spacing w:val="1"/>
        </w:rPr>
        <w:t>种方式解决；</w:t>
      </w:r>
    </w:p>
    <w:p w14:paraId="1512CE19">
      <w:pPr>
        <w:pStyle w:val="11"/>
        <w:numPr>
          <w:ilvl w:val="0"/>
          <w:numId w:val="0"/>
        </w:numPr>
        <w:spacing w:before="144"/>
        <w:ind w:left="709" w:leftChars="0" w:right="3555" w:rightChars="0"/>
      </w:pPr>
      <w:r>
        <w:rPr>
          <w:rFonts w:ascii="华文仿宋" w:hAnsi="华文仿宋" w:eastAsia="华文仿宋" w:cs="华文仿宋"/>
          <w:kern w:val="0"/>
          <w:sz w:val="28"/>
          <w:szCs w:val="28"/>
          <w:lang w:val="en-US" w:eastAsia="zh-CN" w:bidi="ar-SA"/>
          <w14:ligatures w14:val="none"/>
        </w:rPr>
        <w:t>1、</w:t>
      </w:r>
      <w:r>
        <w:t>提交</w:t>
      </w:r>
      <w:r>
        <w:rPr>
          <w:rFonts w:hint="eastAsia"/>
          <w:lang w:val="en-US" w:eastAsia="zh-CN"/>
        </w:rPr>
        <w:t>渭南</w:t>
      </w:r>
      <w:r>
        <w:t>仲裁委员会仲裁；</w:t>
      </w:r>
    </w:p>
    <w:p w14:paraId="71BB53D4">
      <w:pPr>
        <w:ind w:firstLine="708" w:firstLineChars="300"/>
        <w:rPr>
          <w:rFonts w:hint="eastAsia" w:ascii="华文仿宋" w:hAnsi="华文仿宋" w:eastAsia="华文仿宋" w:cs="华文仿宋"/>
          <w:sz w:val="28"/>
          <w:szCs w:val="28"/>
          <w:highlight w:val="none"/>
        </w:rPr>
      </w:pPr>
      <w:r>
        <w:rPr>
          <w:spacing w:val="-2"/>
        </w:rPr>
        <w:t>2、</w:t>
      </w:r>
      <w:r>
        <w:rPr>
          <w:rFonts w:hint="eastAsia" w:ascii="华文仿宋" w:hAnsi="华文仿宋" w:eastAsia="华文仿宋" w:cs="华文仿宋"/>
          <w:sz w:val="28"/>
          <w:szCs w:val="28"/>
        </w:rPr>
        <w:t>依法向</w:t>
      </w:r>
      <w:r>
        <w:rPr>
          <w:rFonts w:hint="eastAsia" w:ascii="华文仿宋" w:hAnsi="华文仿宋" w:eastAsia="华文仿宋" w:cs="华文仿宋"/>
          <w:sz w:val="28"/>
          <w:szCs w:val="28"/>
          <w:lang w:val="en-US" w:eastAsia="zh-CN"/>
        </w:rPr>
        <w:t>甲方所在地</w:t>
      </w:r>
      <w:r>
        <w:rPr>
          <w:rFonts w:hint="eastAsia" w:ascii="华文仿宋" w:hAnsi="华文仿宋" w:eastAsia="华文仿宋" w:cs="华文仿宋"/>
          <w:sz w:val="28"/>
          <w:szCs w:val="28"/>
        </w:rPr>
        <w:t>人民法院提起诉讼。</w:t>
      </w:r>
    </w:p>
    <w:p w14:paraId="22A7272E">
      <w:pPr>
        <w:pStyle w:val="11"/>
        <w:numPr>
          <w:ilvl w:val="0"/>
          <w:numId w:val="0"/>
        </w:numPr>
        <w:spacing w:before="144"/>
        <w:ind w:left="709" w:leftChars="0" w:right="3555" w:rightChars="0"/>
      </w:pPr>
      <w:r>
        <w:rPr>
          <w:spacing w:val="-2"/>
        </w:rPr>
        <w:t>十八、其他事项</w:t>
      </w:r>
    </w:p>
    <w:p w14:paraId="047B4880">
      <w:pPr>
        <w:pStyle w:val="11"/>
        <w:spacing w:before="1"/>
        <w:ind w:right="287" w:firstLine="568"/>
      </w:pPr>
      <w:r>
        <w:rPr>
          <w:spacing w:val="-2"/>
        </w:rPr>
        <w:t>1、招标文件、投标文件、澄清表（函）、合同附件均成为合同不可分割的部分。</w:t>
      </w:r>
    </w:p>
    <w:p w14:paraId="431308E6">
      <w:pPr>
        <w:pStyle w:val="11"/>
        <w:ind w:right="287" w:firstLine="568"/>
      </w:pPr>
      <w:r>
        <w:rPr>
          <w:spacing w:val="-2"/>
        </w:rPr>
        <w:t>2、合同未尽事宜，由甲、乙双方协商，另行签订补充合同，为本合同有效组成部分。</w:t>
      </w:r>
    </w:p>
    <w:p w14:paraId="5199D8F3">
      <w:pPr>
        <w:pStyle w:val="11"/>
        <w:ind w:right="287" w:firstLine="568"/>
        <w:jc w:val="both"/>
      </w:pPr>
      <w:r>
        <w:rPr>
          <w:spacing w:val="-2"/>
        </w:rPr>
        <w:t>本合同一式肆份，甲方、乙方各执贰份。双方法定代表人或委托代理人签字并加盖公章后生效，合同执行完毕自动终止。（合同的服务承诺则长期有效）。</w:t>
      </w:r>
    </w:p>
    <w:p w14:paraId="3BF515A2">
      <w:pPr>
        <w:pStyle w:val="11"/>
        <w:tabs>
          <w:tab w:val="left" w:pos="1331"/>
          <w:tab w:val="left" w:pos="5442"/>
          <w:tab w:val="left" w:pos="6575"/>
        </w:tabs>
        <w:spacing w:before="192"/>
        <w:ind w:left="5546" w:leftChars="90" w:hanging="5330" w:hangingChars="2050"/>
        <w:rPr>
          <w:spacing w:val="-10"/>
        </w:rPr>
      </w:pPr>
    </w:p>
    <w:p w14:paraId="0C499F49">
      <w:pPr>
        <w:pStyle w:val="11"/>
        <w:tabs>
          <w:tab w:val="left" w:pos="1331"/>
          <w:tab w:val="left" w:pos="5442"/>
          <w:tab w:val="left" w:pos="6575"/>
        </w:tabs>
        <w:spacing w:before="192"/>
        <w:ind w:left="5546" w:leftChars="90" w:hanging="5330" w:hangingChars="2050"/>
        <w:rPr>
          <w:spacing w:val="-10"/>
        </w:rPr>
      </w:pPr>
    </w:p>
    <w:p w14:paraId="7B2859D3">
      <w:pPr>
        <w:pStyle w:val="11"/>
        <w:tabs>
          <w:tab w:val="left" w:pos="1331"/>
          <w:tab w:val="left" w:pos="5442"/>
          <w:tab w:val="left" w:pos="6575"/>
        </w:tabs>
        <w:spacing w:before="192"/>
        <w:ind w:left="5546" w:leftChars="90" w:hanging="5330" w:hangingChars="2050"/>
      </w:pPr>
      <w:r>
        <w:rPr>
          <w:spacing w:val="-10"/>
        </w:rPr>
        <w:t>甲</w:t>
      </w:r>
      <w:r>
        <w:tab/>
      </w:r>
      <w:r>
        <w:t>方</w:t>
      </w:r>
      <w:r>
        <w:rPr>
          <w:spacing w:val="-10"/>
        </w:rPr>
        <w:t>：</w:t>
      </w:r>
      <w:r>
        <w:rPr>
          <w:rFonts w:hint="eastAsia"/>
          <w:spacing w:val="-10"/>
        </w:rPr>
        <w:t>渭南市消防救援支队</w:t>
      </w:r>
      <w:r>
        <w:tab/>
      </w:r>
      <w:r>
        <w:rPr>
          <w:spacing w:val="-10"/>
        </w:rPr>
        <w:t>乙</w:t>
      </w:r>
      <w:r>
        <w:tab/>
      </w:r>
      <w:r>
        <w:t>方</w:t>
      </w:r>
      <w:r>
        <w:rPr>
          <w:spacing w:val="-10"/>
        </w:rPr>
        <w:t>：</w:t>
      </w:r>
    </w:p>
    <w:p w14:paraId="5371F8EF">
      <w:pPr>
        <w:pStyle w:val="11"/>
        <w:tabs>
          <w:tab w:val="left" w:pos="1357"/>
          <w:tab w:val="left" w:pos="5466"/>
          <w:tab w:val="left" w:pos="6601"/>
        </w:tabs>
        <w:spacing w:before="195"/>
        <w:ind w:left="5549" w:leftChars="102" w:hanging="5304" w:hangingChars="2040"/>
      </w:pPr>
      <w:r>
        <w:rPr>
          <w:spacing w:val="-10"/>
        </w:rPr>
        <w:t>地</w:t>
      </w:r>
      <w:r>
        <w:tab/>
      </w:r>
      <w:r>
        <w:t>址</w:t>
      </w:r>
      <w:r>
        <w:rPr>
          <w:spacing w:val="-10"/>
        </w:rPr>
        <w:t>：</w:t>
      </w:r>
      <w:r>
        <w:tab/>
      </w:r>
      <w:r>
        <w:rPr>
          <w:spacing w:val="-10"/>
        </w:rPr>
        <w:t>地</w:t>
      </w:r>
      <w:r>
        <w:tab/>
      </w:r>
      <w:r>
        <w:t>址</w:t>
      </w:r>
      <w:r>
        <w:rPr>
          <w:spacing w:val="-10"/>
        </w:rPr>
        <w:t>：</w:t>
      </w:r>
    </w:p>
    <w:p w14:paraId="6BA09647">
      <w:pPr>
        <w:pStyle w:val="11"/>
        <w:tabs>
          <w:tab w:val="left" w:pos="5442"/>
        </w:tabs>
        <w:spacing w:before="195"/>
        <w:ind w:left="5529" w:right="371" w:hanging="5331"/>
        <w:rPr>
          <w:spacing w:val="-2"/>
        </w:rPr>
      </w:pPr>
      <w:r>
        <w:rPr>
          <w:spacing w:val="-2"/>
        </w:rPr>
        <w:t>法定代表人（委托代理人）：</w:t>
      </w:r>
      <w:r>
        <w:tab/>
      </w:r>
      <w:r>
        <w:rPr>
          <w:spacing w:val="-2"/>
        </w:rPr>
        <w:t>法定代表人（委托代理人）：</w:t>
      </w:r>
    </w:p>
    <w:p w14:paraId="5FEAFFA9">
      <w:pPr>
        <w:pStyle w:val="11"/>
        <w:tabs>
          <w:tab w:val="left" w:pos="5442"/>
        </w:tabs>
        <w:spacing w:before="195"/>
        <w:ind w:left="225" w:right="371" w:hanging="27"/>
      </w:pPr>
      <w:r>
        <w:t>联</w:t>
      </w:r>
      <w:r>
        <w:rPr>
          <w:spacing w:val="40"/>
        </w:rPr>
        <w:t xml:space="preserve"> </w:t>
      </w:r>
      <w:r>
        <w:t>系</w:t>
      </w:r>
      <w:r>
        <w:rPr>
          <w:spacing w:val="40"/>
        </w:rPr>
        <w:t xml:space="preserve"> </w:t>
      </w:r>
      <w:r>
        <w:t>电</w:t>
      </w:r>
      <w:r>
        <w:rPr>
          <w:spacing w:val="40"/>
        </w:rPr>
        <w:t xml:space="preserve"> </w:t>
      </w:r>
      <w:r>
        <w:t>话：</w:t>
      </w:r>
      <w:r>
        <w:tab/>
      </w:r>
      <w:r>
        <w:rPr>
          <w:spacing w:val="-38"/>
        </w:rPr>
        <w:t xml:space="preserve"> </w:t>
      </w:r>
      <w:r>
        <w:t>联</w:t>
      </w:r>
      <w:r>
        <w:rPr>
          <w:spacing w:val="40"/>
        </w:rPr>
        <w:t xml:space="preserve"> </w:t>
      </w:r>
      <w:r>
        <w:t>系</w:t>
      </w:r>
      <w:r>
        <w:rPr>
          <w:spacing w:val="40"/>
        </w:rPr>
        <w:t xml:space="preserve"> </w:t>
      </w:r>
      <w:r>
        <w:t>电</w:t>
      </w:r>
      <w:r>
        <w:rPr>
          <w:spacing w:val="40"/>
        </w:rPr>
        <w:t xml:space="preserve"> </w:t>
      </w:r>
      <w:r>
        <w:t>话：</w:t>
      </w:r>
    </w:p>
    <w:p w14:paraId="02E98575">
      <w:pPr>
        <w:pStyle w:val="11"/>
        <w:tabs>
          <w:tab w:val="left" w:pos="5442"/>
        </w:tabs>
        <w:spacing w:before="195"/>
        <w:ind w:left="225" w:right="371" w:hanging="27"/>
      </w:pPr>
    </w:p>
    <w:p w14:paraId="652E7203">
      <w:pPr>
        <w:pStyle w:val="11"/>
        <w:tabs>
          <w:tab w:val="left" w:pos="5512"/>
        </w:tabs>
        <w:ind w:left="225"/>
        <w:rPr>
          <w:spacing w:val="-10"/>
        </w:rPr>
      </w:pPr>
      <w:r>
        <w:t>签</w:t>
      </w:r>
      <w:r>
        <w:rPr>
          <w:spacing w:val="71"/>
        </w:rPr>
        <w:t xml:space="preserve"> </w:t>
      </w:r>
      <w:r>
        <w:t>订</w:t>
      </w:r>
      <w:r>
        <w:rPr>
          <w:spacing w:val="74"/>
        </w:rPr>
        <w:t xml:space="preserve"> </w:t>
      </w:r>
      <w:r>
        <w:t>日</w:t>
      </w:r>
      <w:r>
        <w:rPr>
          <w:spacing w:val="74"/>
        </w:rPr>
        <w:t xml:space="preserve"> </w:t>
      </w:r>
      <w:r>
        <w:t>期</w:t>
      </w:r>
      <w:r>
        <w:rPr>
          <w:spacing w:val="-10"/>
        </w:rPr>
        <w:t>：</w:t>
      </w:r>
      <w:r>
        <w:tab/>
      </w:r>
      <w:r>
        <w:t>签</w:t>
      </w:r>
      <w:r>
        <w:rPr>
          <w:spacing w:val="25"/>
        </w:rPr>
        <w:t xml:space="preserve"> </w:t>
      </w:r>
      <w:r>
        <w:t>订</w:t>
      </w:r>
      <w:r>
        <w:rPr>
          <w:spacing w:val="29"/>
        </w:rPr>
        <w:t xml:space="preserve"> </w:t>
      </w:r>
      <w:r>
        <w:t>日</w:t>
      </w:r>
      <w:r>
        <w:rPr>
          <w:spacing w:val="30"/>
        </w:rPr>
        <w:t xml:space="preserve"> </w:t>
      </w:r>
      <w:r>
        <w:t>期</w:t>
      </w:r>
      <w:r>
        <w:rPr>
          <w:spacing w:val="-10"/>
        </w:rPr>
        <w:t>：</w:t>
      </w:r>
    </w:p>
    <w:p w14:paraId="473066A7"/>
    <w:p w14:paraId="11475F4B"/>
    <w:p w14:paraId="61F2C425"/>
    <w:sectPr>
      <w:pgSz w:w="11910" w:h="16840"/>
      <w:pgMar w:top="1380" w:right="1133" w:bottom="1220" w:left="1275" w:header="882" w:footer="103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embedRegular r:id="rId1" w:fontKey="{0E378385-F9B1-455C-B5C1-977BBBBCE32F}"/>
  </w:font>
  <w:font w:name="方正仿宋_GBK">
    <w:altName w:val="Arial Unicode MS"/>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F6414DEB-5B93-420B-AE62-6DA96886F4B7}"/>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720579"/>
    <w:multiLevelType w:val="multilevel"/>
    <w:tmpl w:val="32720579"/>
    <w:lvl w:ilvl="0" w:tentative="0">
      <w:start w:val="1"/>
      <w:numFmt w:val="decimal"/>
      <w:lvlText w:val="（%1）"/>
      <w:lvlJc w:val="left"/>
      <w:pPr>
        <w:ind w:left="1417" w:hanging="708"/>
        <w:jc w:val="left"/>
      </w:pPr>
      <w:rPr>
        <w:rFonts w:hint="default"/>
        <w:spacing w:val="1"/>
        <w:w w:val="97"/>
        <w:lang w:val="en-US" w:eastAsia="zh-CN" w:bidi="ar-SA"/>
      </w:rPr>
    </w:lvl>
    <w:lvl w:ilvl="1" w:tentative="0">
      <w:start w:val="0"/>
      <w:numFmt w:val="bullet"/>
      <w:lvlText w:val="•"/>
      <w:lvlJc w:val="left"/>
      <w:pPr>
        <w:ind w:left="2227" w:hanging="708"/>
      </w:pPr>
      <w:rPr>
        <w:rFonts w:hint="default"/>
        <w:lang w:val="en-US" w:eastAsia="zh-CN" w:bidi="ar-SA"/>
      </w:rPr>
    </w:lvl>
    <w:lvl w:ilvl="2" w:tentative="0">
      <w:start w:val="0"/>
      <w:numFmt w:val="bullet"/>
      <w:lvlText w:val="•"/>
      <w:lvlJc w:val="left"/>
      <w:pPr>
        <w:ind w:left="3035" w:hanging="708"/>
      </w:pPr>
      <w:rPr>
        <w:rFonts w:hint="default"/>
        <w:lang w:val="en-US" w:eastAsia="zh-CN" w:bidi="ar-SA"/>
      </w:rPr>
    </w:lvl>
    <w:lvl w:ilvl="3" w:tentative="0">
      <w:start w:val="0"/>
      <w:numFmt w:val="bullet"/>
      <w:lvlText w:val="•"/>
      <w:lvlJc w:val="left"/>
      <w:pPr>
        <w:ind w:left="3843" w:hanging="708"/>
      </w:pPr>
      <w:rPr>
        <w:rFonts w:hint="default"/>
        <w:lang w:val="en-US" w:eastAsia="zh-CN" w:bidi="ar-SA"/>
      </w:rPr>
    </w:lvl>
    <w:lvl w:ilvl="4" w:tentative="0">
      <w:start w:val="0"/>
      <w:numFmt w:val="bullet"/>
      <w:lvlText w:val="•"/>
      <w:lvlJc w:val="left"/>
      <w:pPr>
        <w:ind w:left="4651" w:hanging="708"/>
      </w:pPr>
      <w:rPr>
        <w:rFonts w:hint="default"/>
        <w:lang w:val="en-US" w:eastAsia="zh-CN" w:bidi="ar-SA"/>
      </w:rPr>
    </w:lvl>
    <w:lvl w:ilvl="5" w:tentative="0">
      <w:start w:val="0"/>
      <w:numFmt w:val="bullet"/>
      <w:lvlText w:val="•"/>
      <w:lvlJc w:val="left"/>
      <w:pPr>
        <w:ind w:left="5459" w:hanging="708"/>
      </w:pPr>
      <w:rPr>
        <w:rFonts w:hint="default"/>
        <w:lang w:val="en-US" w:eastAsia="zh-CN" w:bidi="ar-SA"/>
      </w:rPr>
    </w:lvl>
    <w:lvl w:ilvl="6" w:tentative="0">
      <w:start w:val="0"/>
      <w:numFmt w:val="bullet"/>
      <w:lvlText w:val="•"/>
      <w:lvlJc w:val="left"/>
      <w:pPr>
        <w:ind w:left="6266" w:hanging="708"/>
      </w:pPr>
      <w:rPr>
        <w:rFonts w:hint="default"/>
        <w:lang w:val="en-US" w:eastAsia="zh-CN" w:bidi="ar-SA"/>
      </w:rPr>
    </w:lvl>
    <w:lvl w:ilvl="7" w:tentative="0">
      <w:start w:val="0"/>
      <w:numFmt w:val="bullet"/>
      <w:lvlText w:val="•"/>
      <w:lvlJc w:val="left"/>
      <w:pPr>
        <w:ind w:left="7074" w:hanging="708"/>
      </w:pPr>
      <w:rPr>
        <w:rFonts w:hint="default"/>
        <w:lang w:val="en-US" w:eastAsia="zh-CN" w:bidi="ar-SA"/>
      </w:rPr>
    </w:lvl>
    <w:lvl w:ilvl="8" w:tentative="0">
      <w:start w:val="0"/>
      <w:numFmt w:val="bullet"/>
      <w:lvlText w:val="•"/>
      <w:lvlJc w:val="left"/>
      <w:pPr>
        <w:ind w:left="7882" w:hanging="708"/>
      </w:pPr>
      <w:rPr>
        <w:rFonts w:hint="default"/>
        <w:lang w:val="en-US" w:eastAsia="zh-CN" w:bidi="ar-SA"/>
      </w:rPr>
    </w:lvl>
  </w:abstractNum>
  <w:abstractNum w:abstractNumId="1">
    <w:nsid w:val="6C247D78"/>
    <w:multiLevelType w:val="multilevel"/>
    <w:tmpl w:val="6C247D78"/>
    <w:lvl w:ilvl="0" w:tentative="0">
      <w:start w:val="1"/>
      <w:numFmt w:val="decimal"/>
      <w:lvlText w:val="（%1）"/>
      <w:lvlJc w:val="left"/>
      <w:pPr>
        <w:ind w:left="141" w:hanging="701"/>
        <w:jc w:val="left"/>
      </w:pPr>
      <w:rPr>
        <w:rFonts w:hint="default" w:ascii="华文仿宋" w:hAnsi="华文仿宋" w:eastAsia="华文仿宋" w:cs="华文仿宋"/>
        <w:b w:val="0"/>
        <w:bCs w:val="0"/>
        <w:i w:val="0"/>
        <w:iCs w:val="0"/>
        <w:spacing w:val="2"/>
        <w:w w:val="97"/>
        <w:sz w:val="26"/>
        <w:szCs w:val="26"/>
        <w:lang w:val="en-US" w:eastAsia="zh-CN" w:bidi="ar-SA"/>
      </w:rPr>
    </w:lvl>
    <w:lvl w:ilvl="1" w:tentative="0">
      <w:start w:val="0"/>
      <w:numFmt w:val="bullet"/>
      <w:lvlText w:val="•"/>
      <w:lvlJc w:val="left"/>
      <w:pPr>
        <w:ind w:left="1075" w:hanging="701"/>
      </w:pPr>
      <w:rPr>
        <w:rFonts w:hint="default"/>
        <w:lang w:val="en-US" w:eastAsia="zh-CN" w:bidi="ar-SA"/>
      </w:rPr>
    </w:lvl>
    <w:lvl w:ilvl="2" w:tentative="0">
      <w:start w:val="0"/>
      <w:numFmt w:val="bullet"/>
      <w:lvlText w:val="•"/>
      <w:lvlJc w:val="left"/>
      <w:pPr>
        <w:ind w:left="2011" w:hanging="701"/>
      </w:pPr>
      <w:rPr>
        <w:rFonts w:hint="default"/>
        <w:lang w:val="en-US" w:eastAsia="zh-CN" w:bidi="ar-SA"/>
      </w:rPr>
    </w:lvl>
    <w:lvl w:ilvl="3" w:tentative="0">
      <w:start w:val="0"/>
      <w:numFmt w:val="bullet"/>
      <w:lvlText w:val="•"/>
      <w:lvlJc w:val="left"/>
      <w:pPr>
        <w:ind w:left="2947" w:hanging="701"/>
      </w:pPr>
      <w:rPr>
        <w:rFonts w:hint="default"/>
        <w:lang w:val="en-US" w:eastAsia="zh-CN" w:bidi="ar-SA"/>
      </w:rPr>
    </w:lvl>
    <w:lvl w:ilvl="4" w:tentative="0">
      <w:start w:val="0"/>
      <w:numFmt w:val="bullet"/>
      <w:lvlText w:val="•"/>
      <w:lvlJc w:val="left"/>
      <w:pPr>
        <w:ind w:left="3883" w:hanging="701"/>
      </w:pPr>
      <w:rPr>
        <w:rFonts w:hint="default"/>
        <w:lang w:val="en-US" w:eastAsia="zh-CN" w:bidi="ar-SA"/>
      </w:rPr>
    </w:lvl>
    <w:lvl w:ilvl="5" w:tentative="0">
      <w:start w:val="0"/>
      <w:numFmt w:val="bullet"/>
      <w:lvlText w:val="•"/>
      <w:lvlJc w:val="left"/>
      <w:pPr>
        <w:ind w:left="4819" w:hanging="701"/>
      </w:pPr>
      <w:rPr>
        <w:rFonts w:hint="default"/>
        <w:lang w:val="en-US" w:eastAsia="zh-CN" w:bidi="ar-SA"/>
      </w:rPr>
    </w:lvl>
    <w:lvl w:ilvl="6" w:tentative="0">
      <w:start w:val="0"/>
      <w:numFmt w:val="bullet"/>
      <w:lvlText w:val="•"/>
      <w:lvlJc w:val="left"/>
      <w:pPr>
        <w:ind w:left="5754" w:hanging="701"/>
      </w:pPr>
      <w:rPr>
        <w:rFonts w:hint="default"/>
        <w:lang w:val="en-US" w:eastAsia="zh-CN" w:bidi="ar-SA"/>
      </w:rPr>
    </w:lvl>
    <w:lvl w:ilvl="7" w:tentative="0">
      <w:start w:val="0"/>
      <w:numFmt w:val="bullet"/>
      <w:lvlText w:val="•"/>
      <w:lvlJc w:val="left"/>
      <w:pPr>
        <w:ind w:left="6690" w:hanging="701"/>
      </w:pPr>
      <w:rPr>
        <w:rFonts w:hint="default"/>
        <w:lang w:val="en-US" w:eastAsia="zh-CN" w:bidi="ar-SA"/>
      </w:rPr>
    </w:lvl>
    <w:lvl w:ilvl="8" w:tentative="0">
      <w:start w:val="0"/>
      <w:numFmt w:val="bullet"/>
      <w:lvlText w:val="•"/>
      <w:lvlJc w:val="left"/>
      <w:pPr>
        <w:ind w:left="7626" w:hanging="701"/>
      </w:pPr>
      <w:rPr>
        <w:rFonts w:hint="default"/>
        <w:lang w:val="en-US" w:eastAsia="zh-CN" w:bidi="ar-SA"/>
      </w:rPr>
    </w:lvl>
  </w:abstractNum>
  <w:abstractNum w:abstractNumId="2">
    <w:nsid w:val="6E113FFE"/>
    <w:multiLevelType w:val="multilevel"/>
    <w:tmpl w:val="6E113FFE"/>
    <w:lvl w:ilvl="0" w:tentative="0">
      <w:start w:val="1"/>
      <w:numFmt w:val="decimal"/>
      <w:lvlText w:val="（%1）"/>
      <w:lvlJc w:val="left"/>
      <w:pPr>
        <w:ind w:left="1408" w:hanging="699"/>
        <w:jc w:val="left"/>
      </w:pPr>
      <w:rPr>
        <w:rFonts w:hint="default" w:ascii="华文仿宋" w:hAnsi="华文仿宋" w:eastAsia="华文仿宋" w:cs="华文仿宋"/>
        <w:b w:val="0"/>
        <w:bCs w:val="0"/>
        <w:i w:val="0"/>
        <w:iCs w:val="0"/>
        <w:spacing w:val="0"/>
        <w:w w:val="100"/>
        <w:sz w:val="26"/>
        <w:szCs w:val="26"/>
        <w:lang w:val="en-US" w:eastAsia="zh-CN" w:bidi="ar-SA"/>
      </w:rPr>
    </w:lvl>
    <w:lvl w:ilvl="1" w:tentative="0">
      <w:start w:val="0"/>
      <w:numFmt w:val="bullet"/>
      <w:lvlText w:val="•"/>
      <w:lvlJc w:val="left"/>
      <w:pPr>
        <w:ind w:left="2209" w:hanging="699"/>
      </w:pPr>
      <w:rPr>
        <w:rFonts w:hint="default"/>
        <w:lang w:val="en-US" w:eastAsia="zh-CN" w:bidi="ar-SA"/>
      </w:rPr>
    </w:lvl>
    <w:lvl w:ilvl="2" w:tentative="0">
      <w:start w:val="0"/>
      <w:numFmt w:val="bullet"/>
      <w:lvlText w:val="•"/>
      <w:lvlJc w:val="left"/>
      <w:pPr>
        <w:ind w:left="3019" w:hanging="699"/>
      </w:pPr>
      <w:rPr>
        <w:rFonts w:hint="default"/>
        <w:lang w:val="en-US" w:eastAsia="zh-CN" w:bidi="ar-SA"/>
      </w:rPr>
    </w:lvl>
    <w:lvl w:ilvl="3" w:tentative="0">
      <w:start w:val="0"/>
      <w:numFmt w:val="bullet"/>
      <w:lvlText w:val="•"/>
      <w:lvlJc w:val="left"/>
      <w:pPr>
        <w:ind w:left="3829" w:hanging="699"/>
      </w:pPr>
      <w:rPr>
        <w:rFonts w:hint="default"/>
        <w:lang w:val="en-US" w:eastAsia="zh-CN" w:bidi="ar-SA"/>
      </w:rPr>
    </w:lvl>
    <w:lvl w:ilvl="4" w:tentative="0">
      <w:start w:val="0"/>
      <w:numFmt w:val="bullet"/>
      <w:lvlText w:val="•"/>
      <w:lvlJc w:val="left"/>
      <w:pPr>
        <w:ind w:left="4639" w:hanging="699"/>
      </w:pPr>
      <w:rPr>
        <w:rFonts w:hint="default"/>
        <w:lang w:val="en-US" w:eastAsia="zh-CN" w:bidi="ar-SA"/>
      </w:rPr>
    </w:lvl>
    <w:lvl w:ilvl="5" w:tentative="0">
      <w:start w:val="0"/>
      <w:numFmt w:val="bullet"/>
      <w:lvlText w:val="•"/>
      <w:lvlJc w:val="left"/>
      <w:pPr>
        <w:ind w:left="5449" w:hanging="699"/>
      </w:pPr>
      <w:rPr>
        <w:rFonts w:hint="default"/>
        <w:lang w:val="en-US" w:eastAsia="zh-CN" w:bidi="ar-SA"/>
      </w:rPr>
    </w:lvl>
    <w:lvl w:ilvl="6" w:tentative="0">
      <w:start w:val="0"/>
      <w:numFmt w:val="bullet"/>
      <w:lvlText w:val="•"/>
      <w:lvlJc w:val="left"/>
      <w:pPr>
        <w:ind w:left="6258" w:hanging="699"/>
      </w:pPr>
      <w:rPr>
        <w:rFonts w:hint="default"/>
        <w:lang w:val="en-US" w:eastAsia="zh-CN" w:bidi="ar-SA"/>
      </w:rPr>
    </w:lvl>
    <w:lvl w:ilvl="7" w:tentative="0">
      <w:start w:val="0"/>
      <w:numFmt w:val="bullet"/>
      <w:lvlText w:val="•"/>
      <w:lvlJc w:val="left"/>
      <w:pPr>
        <w:ind w:left="7068" w:hanging="699"/>
      </w:pPr>
      <w:rPr>
        <w:rFonts w:hint="default"/>
        <w:lang w:val="en-US" w:eastAsia="zh-CN" w:bidi="ar-SA"/>
      </w:rPr>
    </w:lvl>
    <w:lvl w:ilvl="8" w:tentative="0">
      <w:start w:val="0"/>
      <w:numFmt w:val="bullet"/>
      <w:lvlText w:val="•"/>
      <w:lvlJc w:val="left"/>
      <w:pPr>
        <w:ind w:left="7878" w:hanging="699"/>
      </w:pPr>
      <w:rPr>
        <w:rFonts w:hint="default"/>
        <w:lang w:val="en-US" w:eastAsia="zh-CN" w:bidi="ar-SA"/>
      </w:rPr>
    </w:lvl>
  </w:abstractNum>
  <w:abstractNum w:abstractNumId="3">
    <w:nsid w:val="717A1489"/>
    <w:multiLevelType w:val="multilevel"/>
    <w:tmpl w:val="717A1489"/>
    <w:lvl w:ilvl="0" w:tentative="0">
      <w:start w:val="1"/>
      <w:numFmt w:val="decimal"/>
      <w:lvlText w:val="（%1）"/>
      <w:lvlJc w:val="left"/>
      <w:pPr>
        <w:ind w:left="141" w:hanging="698"/>
        <w:jc w:val="left"/>
      </w:pPr>
      <w:rPr>
        <w:rFonts w:hint="default" w:ascii="华文仿宋" w:hAnsi="华文仿宋" w:eastAsia="华文仿宋" w:cs="华文仿宋"/>
        <w:b w:val="0"/>
        <w:bCs w:val="0"/>
        <w:i w:val="0"/>
        <w:iCs w:val="0"/>
        <w:spacing w:val="-29"/>
        <w:w w:val="100"/>
        <w:sz w:val="26"/>
        <w:szCs w:val="26"/>
        <w:lang w:val="en-US" w:eastAsia="zh-CN" w:bidi="ar-SA"/>
      </w:rPr>
    </w:lvl>
    <w:lvl w:ilvl="1" w:tentative="0">
      <w:start w:val="0"/>
      <w:numFmt w:val="bullet"/>
      <w:lvlText w:val="•"/>
      <w:lvlJc w:val="left"/>
      <w:pPr>
        <w:ind w:left="1075" w:hanging="698"/>
      </w:pPr>
      <w:rPr>
        <w:rFonts w:hint="default"/>
        <w:lang w:val="en-US" w:eastAsia="zh-CN" w:bidi="ar-SA"/>
      </w:rPr>
    </w:lvl>
    <w:lvl w:ilvl="2" w:tentative="0">
      <w:start w:val="0"/>
      <w:numFmt w:val="bullet"/>
      <w:lvlText w:val="•"/>
      <w:lvlJc w:val="left"/>
      <w:pPr>
        <w:ind w:left="2011" w:hanging="698"/>
      </w:pPr>
      <w:rPr>
        <w:rFonts w:hint="default"/>
        <w:lang w:val="en-US" w:eastAsia="zh-CN" w:bidi="ar-SA"/>
      </w:rPr>
    </w:lvl>
    <w:lvl w:ilvl="3" w:tentative="0">
      <w:start w:val="0"/>
      <w:numFmt w:val="bullet"/>
      <w:lvlText w:val="•"/>
      <w:lvlJc w:val="left"/>
      <w:pPr>
        <w:ind w:left="2947" w:hanging="698"/>
      </w:pPr>
      <w:rPr>
        <w:rFonts w:hint="default"/>
        <w:lang w:val="en-US" w:eastAsia="zh-CN" w:bidi="ar-SA"/>
      </w:rPr>
    </w:lvl>
    <w:lvl w:ilvl="4" w:tentative="0">
      <w:start w:val="0"/>
      <w:numFmt w:val="bullet"/>
      <w:lvlText w:val="•"/>
      <w:lvlJc w:val="left"/>
      <w:pPr>
        <w:ind w:left="3883" w:hanging="698"/>
      </w:pPr>
      <w:rPr>
        <w:rFonts w:hint="default"/>
        <w:lang w:val="en-US" w:eastAsia="zh-CN" w:bidi="ar-SA"/>
      </w:rPr>
    </w:lvl>
    <w:lvl w:ilvl="5" w:tentative="0">
      <w:start w:val="0"/>
      <w:numFmt w:val="bullet"/>
      <w:lvlText w:val="•"/>
      <w:lvlJc w:val="left"/>
      <w:pPr>
        <w:ind w:left="4819" w:hanging="698"/>
      </w:pPr>
      <w:rPr>
        <w:rFonts w:hint="default"/>
        <w:lang w:val="en-US" w:eastAsia="zh-CN" w:bidi="ar-SA"/>
      </w:rPr>
    </w:lvl>
    <w:lvl w:ilvl="6" w:tentative="0">
      <w:start w:val="0"/>
      <w:numFmt w:val="bullet"/>
      <w:lvlText w:val="•"/>
      <w:lvlJc w:val="left"/>
      <w:pPr>
        <w:ind w:left="5754" w:hanging="698"/>
      </w:pPr>
      <w:rPr>
        <w:rFonts w:hint="default"/>
        <w:lang w:val="en-US" w:eastAsia="zh-CN" w:bidi="ar-SA"/>
      </w:rPr>
    </w:lvl>
    <w:lvl w:ilvl="7" w:tentative="0">
      <w:start w:val="0"/>
      <w:numFmt w:val="bullet"/>
      <w:lvlText w:val="•"/>
      <w:lvlJc w:val="left"/>
      <w:pPr>
        <w:ind w:left="6690" w:hanging="698"/>
      </w:pPr>
      <w:rPr>
        <w:rFonts w:hint="default"/>
        <w:lang w:val="en-US" w:eastAsia="zh-CN" w:bidi="ar-SA"/>
      </w:rPr>
    </w:lvl>
    <w:lvl w:ilvl="8" w:tentative="0">
      <w:start w:val="0"/>
      <w:numFmt w:val="bullet"/>
      <w:lvlText w:val="•"/>
      <w:lvlJc w:val="left"/>
      <w:pPr>
        <w:ind w:left="7626" w:hanging="698"/>
      </w:pPr>
      <w:rPr>
        <w:rFonts w:hint="default"/>
        <w:lang w:val="en-US" w:eastAsia="zh-CN" w:bidi="ar-SA"/>
      </w:rPr>
    </w:lvl>
  </w:abstractNum>
  <w:abstractNum w:abstractNumId="4">
    <w:nsid w:val="73915707"/>
    <w:multiLevelType w:val="multilevel"/>
    <w:tmpl w:val="73915707"/>
    <w:lvl w:ilvl="0" w:tentative="0">
      <w:start w:val="1"/>
      <w:numFmt w:val="decimal"/>
      <w:lvlText w:val="（%1）"/>
      <w:lvlJc w:val="left"/>
      <w:pPr>
        <w:ind w:left="141" w:hanging="698"/>
        <w:jc w:val="left"/>
      </w:pPr>
      <w:rPr>
        <w:rFonts w:hint="default" w:ascii="华文仿宋" w:hAnsi="华文仿宋" w:eastAsia="华文仿宋" w:cs="华文仿宋"/>
        <w:b w:val="0"/>
        <w:bCs w:val="0"/>
        <w:i w:val="0"/>
        <w:iCs w:val="0"/>
        <w:spacing w:val="-25"/>
        <w:w w:val="100"/>
        <w:sz w:val="26"/>
        <w:szCs w:val="26"/>
        <w:lang w:val="en-US" w:eastAsia="zh-CN" w:bidi="ar-SA"/>
      </w:rPr>
    </w:lvl>
    <w:lvl w:ilvl="1" w:tentative="0">
      <w:start w:val="0"/>
      <w:numFmt w:val="bullet"/>
      <w:lvlText w:val="•"/>
      <w:lvlJc w:val="left"/>
      <w:pPr>
        <w:ind w:left="1075" w:hanging="698"/>
      </w:pPr>
      <w:rPr>
        <w:rFonts w:hint="default"/>
        <w:lang w:val="en-US" w:eastAsia="zh-CN" w:bidi="ar-SA"/>
      </w:rPr>
    </w:lvl>
    <w:lvl w:ilvl="2" w:tentative="0">
      <w:start w:val="0"/>
      <w:numFmt w:val="bullet"/>
      <w:lvlText w:val="•"/>
      <w:lvlJc w:val="left"/>
      <w:pPr>
        <w:ind w:left="2011" w:hanging="698"/>
      </w:pPr>
      <w:rPr>
        <w:rFonts w:hint="default"/>
        <w:lang w:val="en-US" w:eastAsia="zh-CN" w:bidi="ar-SA"/>
      </w:rPr>
    </w:lvl>
    <w:lvl w:ilvl="3" w:tentative="0">
      <w:start w:val="0"/>
      <w:numFmt w:val="bullet"/>
      <w:lvlText w:val="•"/>
      <w:lvlJc w:val="left"/>
      <w:pPr>
        <w:ind w:left="2947" w:hanging="698"/>
      </w:pPr>
      <w:rPr>
        <w:rFonts w:hint="default"/>
        <w:lang w:val="en-US" w:eastAsia="zh-CN" w:bidi="ar-SA"/>
      </w:rPr>
    </w:lvl>
    <w:lvl w:ilvl="4" w:tentative="0">
      <w:start w:val="0"/>
      <w:numFmt w:val="bullet"/>
      <w:lvlText w:val="•"/>
      <w:lvlJc w:val="left"/>
      <w:pPr>
        <w:ind w:left="3883" w:hanging="698"/>
      </w:pPr>
      <w:rPr>
        <w:rFonts w:hint="default"/>
        <w:lang w:val="en-US" w:eastAsia="zh-CN" w:bidi="ar-SA"/>
      </w:rPr>
    </w:lvl>
    <w:lvl w:ilvl="5" w:tentative="0">
      <w:start w:val="0"/>
      <w:numFmt w:val="bullet"/>
      <w:lvlText w:val="•"/>
      <w:lvlJc w:val="left"/>
      <w:pPr>
        <w:ind w:left="4819" w:hanging="698"/>
      </w:pPr>
      <w:rPr>
        <w:rFonts w:hint="default"/>
        <w:lang w:val="en-US" w:eastAsia="zh-CN" w:bidi="ar-SA"/>
      </w:rPr>
    </w:lvl>
    <w:lvl w:ilvl="6" w:tentative="0">
      <w:start w:val="0"/>
      <w:numFmt w:val="bullet"/>
      <w:lvlText w:val="•"/>
      <w:lvlJc w:val="left"/>
      <w:pPr>
        <w:ind w:left="5754" w:hanging="698"/>
      </w:pPr>
      <w:rPr>
        <w:rFonts w:hint="default"/>
        <w:lang w:val="en-US" w:eastAsia="zh-CN" w:bidi="ar-SA"/>
      </w:rPr>
    </w:lvl>
    <w:lvl w:ilvl="7" w:tentative="0">
      <w:start w:val="0"/>
      <w:numFmt w:val="bullet"/>
      <w:lvlText w:val="•"/>
      <w:lvlJc w:val="left"/>
      <w:pPr>
        <w:ind w:left="6690" w:hanging="698"/>
      </w:pPr>
      <w:rPr>
        <w:rFonts w:hint="default"/>
        <w:lang w:val="en-US" w:eastAsia="zh-CN" w:bidi="ar-SA"/>
      </w:rPr>
    </w:lvl>
    <w:lvl w:ilvl="8" w:tentative="0">
      <w:start w:val="0"/>
      <w:numFmt w:val="bullet"/>
      <w:lvlText w:val="•"/>
      <w:lvlJc w:val="left"/>
      <w:pPr>
        <w:ind w:left="7626" w:hanging="698"/>
      </w:pPr>
      <w:rPr>
        <w:rFonts w:hint="default"/>
        <w:lang w:val="en-US" w:eastAsia="zh-CN" w:bidi="ar-SA"/>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A9D"/>
    <w:rsid w:val="00104DEC"/>
    <w:rsid w:val="00126BB3"/>
    <w:rsid w:val="0024090E"/>
    <w:rsid w:val="002D1B03"/>
    <w:rsid w:val="00347899"/>
    <w:rsid w:val="00562AA2"/>
    <w:rsid w:val="00900313"/>
    <w:rsid w:val="00A74FF6"/>
    <w:rsid w:val="00AC5C62"/>
    <w:rsid w:val="00B62538"/>
    <w:rsid w:val="00B75003"/>
    <w:rsid w:val="00BC6DCF"/>
    <w:rsid w:val="00D2731A"/>
    <w:rsid w:val="00D93A9D"/>
    <w:rsid w:val="00F33D33"/>
    <w:rsid w:val="079E79DA"/>
    <w:rsid w:val="0BA81F50"/>
    <w:rsid w:val="132716C7"/>
    <w:rsid w:val="161C1C3A"/>
    <w:rsid w:val="18BE3BD2"/>
    <w:rsid w:val="1B0B4F2F"/>
    <w:rsid w:val="1B165A74"/>
    <w:rsid w:val="2E3F331B"/>
    <w:rsid w:val="302C49EC"/>
    <w:rsid w:val="33BE4DDD"/>
    <w:rsid w:val="392461FE"/>
    <w:rsid w:val="3E677A17"/>
    <w:rsid w:val="422C3859"/>
    <w:rsid w:val="44FD328B"/>
    <w:rsid w:val="491D1B81"/>
    <w:rsid w:val="492139EC"/>
    <w:rsid w:val="506348EA"/>
    <w:rsid w:val="51082135"/>
    <w:rsid w:val="55FF6E63"/>
    <w:rsid w:val="56821842"/>
    <w:rsid w:val="568630E0"/>
    <w:rsid w:val="586B07E0"/>
    <w:rsid w:val="59A47466"/>
    <w:rsid w:val="5E83629B"/>
    <w:rsid w:val="6CBF6EF4"/>
    <w:rsid w:val="6F857F81"/>
    <w:rsid w:val="6FE86762"/>
    <w:rsid w:val="75F60BBE"/>
    <w:rsid w:val="7D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宋体" w:hAnsi="宋体" w:eastAsia="宋体" w:cs="宋体"/>
      <w:kern w:val="0"/>
      <w:sz w:val="24"/>
      <w:szCs w:val="24"/>
      <w:lang w:val="en-US" w:eastAsia="zh-CN" w:bidi="ar-SA"/>
      <w14:ligatures w14:val="none"/>
    </w:rPr>
  </w:style>
  <w:style w:type="paragraph" w:styleId="2">
    <w:name w:val="heading 1"/>
    <w:basedOn w:val="1"/>
    <w:next w:val="1"/>
    <w:link w:val="17"/>
    <w:qFormat/>
    <w:uiPriority w:val="9"/>
    <w:pPr>
      <w:keepNext/>
      <w:keepLines/>
      <w:widowControl w:val="0"/>
      <w:autoSpaceDE w:val="0"/>
      <w:autoSpaceDN w:val="0"/>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unhideWhenUsed/>
    <w:qFormat/>
    <w:uiPriority w:val="9"/>
    <w:pPr>
      <w:keepNext/>
      <w:keepLines/>
      <w:widowControl w:val="0"/>
      <w:autoSpaceDE w:val="0"/>
      <w:autoSpaceDN w:val="0"/>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widowControl w:val="0"/>
      <w:autoSpaceDE w:val="0"/>
      <w:autoSpaceDN w:val="0"/>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rPr>
  </w:style>
  <w:style w:type="paragraph" w:styleId="7">
    <w:name w:val="heading 6"/>
    <w:basedOn w:val="1"/>
    <w:next w:val="1"/>
    <w:link w:val="22"/>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36"/>
    <w:qFormat/>
    <w:uiPriority w:val="1"/>
    <w:pPr>
      <w:widowControl w:val="0"/>
      <w:autoSpaceDE w:val="0"/>
      <w:autoSpaceDN w:val="0"/>
      <w:ind w:left="140"/>
    </w:pPr>
    <w:rPr>
      <w:rFonts w:ascii="华文仿宋" w:hAnsi="华文仿宋" w:eastAsia="华文仿宋" w:cs="华文仿宋"/>
      <w:sz w:val="28"/>
      <w:szCs w:val="28"/>
    </w:rPr>
  </w:style>
  <w:style w:type="paragraph" w:styleId="12">
    <w:name w:val="Subtitle"/>
    <w:basedOn w:val="1"/>
    <w:next w:val="1"/>
    <w:link w:val="27"/>
    <w:qFormat/>
    <w:uiPriority w:val="11"/>
    <w:pPr>
      <w:widowControl w:val="0"/>
      <w:autoSpaceDE w:val="0"/>
      <w:autoSpaceDN w:val="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3">
    <w:name w:val="Title"/>
    <w:basedOn w:val="1"/>
    <w:next w:val="1"/>
    <w:link w:val="26"/>
    <w:qFormat/>
    <w:uiPriority w:val="10"/>
    <w:pPr>
      <w:widowControl w:val="0"/>
      <w:autoSpaceDE w:val="0"/>
      <w:autoSpaceDN w:val="0"/>
      <w:spacing w:after="80"/>
      <w:contextualSpacing/>
      <w:jc w:val="center"/>
    </w:pPr>
    <w:rPr>
      <w:rFonts w:asciiTheme="majorHAnsi" w:hAnsiTheme="majorHAnsi" w:eastAsiaTheme="majorEastAsia" w:cstheme="majorBidi"/>
      <w:spacing w:val="-10"/>
      <w:kern w:val="28"/>
      <w:sz w:val="56"/>
      <w:szCs w:val="56"/>
    </w:rPr>
  </w:style>
  <w:style w:type="table" w:styleId="15">
    <w:name w:val="Table Grid"/>
    <w:basedOn w:val="1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qFormat/>
    <w:uiPriority w:val="9"/>
    <w:rPr>
      <w:rFonts w:cstheme="majorBidi"/>
      <w:color w:val="2F5597" w:themeColor="accent1" w:themeShade="BF"/>
      <w:sz w:val="28"/>
      <w:szCs w:val="28"/>
    </w:rPr>
  </w:style>
  <w:style w:type="character" w:customStyle="1" w:styleId="21">
    <w:name w:val="标题 5 字符"/>
    <w:basedOn w:val="16"/>
    <w:link w:val="6"/>
    <w:semiHidden/>
    <w:qFormat/>
    <w:uiPriority w:val="9"/>
    <w:rPr>
      <w:rFonts w:cstheme="majorBidi"/>
      <w:color w:val="2F5597" w:themeColor="accent1" w:themeShade="BF"/>
      <w:sz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3"/>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2"/>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widowControl w:val="0"/>
      <w:autoSpaceDE w:val="0"/>
      <w:autoSpaceDN w:val="0"/>
      <w:spacing w:before="160"/>
      <w:jc w:val="center"/>
    </w:pPr>
    <w:rPr>
      <w:rFonts w:ascii="华文仿宋" w:hAnsi="华文仿宋" w:eastAsia="华文仿宋" w:cs="华文仿宋"/>
      <w:i/>
      <w:iCs/>
      <w:color w:val="404040" w:themeColor="text1" w:themeTint="BF"/>
      <w:sz w:val="22"/>
      <w:szCs w:val="22"/>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1"/>
    <w:pPr>
      <w:widowControl w:val="0"/>
      <w:autoSpaceDE w:val="0"/>
      <w:autoSpaceDN w:val="0"/>
      <w:ind w:left="720"/>
      <w:contextualSpacing/>
    </w:pPr>
    <w:rPr>
      <w:rFonts w:ascii="华文仿宋" w:hAnsi="华文仿宋" w:eastAsia="华文仿宋" w:cs="华文仿宋"/>
      <w:sz w:val="22"/>
      <w:szCs w:val="22"/>
    </w:r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widowControl w:val="0"/>
      <w:pBdr>
        <w:top w:val="single" w:color="2F5496" w:themeColor="accent1" w:themeShade="BF" w:sz="4" w:space="10"/>
        <w:bottom w:val="single" w:color="2F5496" w:themeColor="accent1" w:themeShade="BF" w:sz="4" w:space="10"/>
      </w:pBdr>
      <w:autoSpaceDE w:val="0"/>
      <w:autoSpaceDN w:val="0"/>
      <w:spacing w:before="360" w:after="360"/>
      <w:ind w:left="864" w:right="864"/>
      <w:jc w:val="center"/>
    </w:pPr>
    <w:rPr>
      <w:rFonts w:ascii="华文仿宋" w:hAnsi="华文仿宋" w:eastAsia="华文仿宋" w:cs="华文仿宋"/>
      <w:i/>
      <w:iCs/>
      <w:color w:val="2F5597" w:themeColor="accent1" w:themeShade="BF"/>
      <w:sz w:val="22"/>
      <w:szCs w:val="22"/>
    </w:rPr>
  </w:style>
  <w:style w:type="character" w:customStyle="1" w:styleId="33">
    <w:name w:val="明显引用 字符"/>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table" w:customStyle="1" w:styleId="35">
    <w:name w:val="Table Normal"/>
    <w:semiHidden/>
    <w:unhideWhenUsed/>
    <w:qFormat/>
    <w:uiPriority w:val="2"/>
    <w:pPr>
      <w:widowControl w:val="0"/>
      <w:autoSpaceDE w:val="0"/>
      <w:autoSpaceDN w:val="0"/>
      <w:spacing w:after="0" w:line="240" w:lineRule="auto"/>
    </w:pPr>
    <w:rPr>
      <w:kern w:val="0"/>
      <w:szCs w:val="22"/>
      <w:lang w:eastAsia="en-US"/>
      <w14:ligatures w14:val="none"/>
    </w:rPr>
    <w:tblPr>
      <w:tblCellMar>
        <w:top w:w="0" w:type="dxa"/>
        <w:left w:w="0" w:type="dxa"/>
        <w:bottom w:w="0" w:type="dxa"/>
        <w:right w:w="0" w:type="dxa"/>
      </w:tblCellMar>
    </w:tblPr>
  </w:style>
  <w:style w:type="character" w:customStyle="1" w:styleId="36">
    <w:name w:val="正文文本 字符"/>
    <w:basedOn w:val="16"/>
    <w:link w:val="11"/>
    <w:qFormat/>
    <w:uiPriority w:val="1"/>
    <w:rPr>
      <w:rFonts w:ascii="华文仿宋" w:hAnsi="华文仿宋" w:eastAsia="华文仿宋" w:cs="华文仿宋"/>
      <w:kern w:val="0"/>
      <w:sz w:val="28"/>
      <w:szCs w:val="28"/>
      <w14:ligatures w14:val="none"/>
    </w:rPr>
  </w:style>
  <w:style w:type="paragraph" w:customStyle="1" w:styleId="37">
    <w:name w:val="Table Paragraph"/>
    <w:basedOn w:val="1"/>
    <w:qFormat/>
    <w:uiPriority w:val="1"/>
    <w:pPr>
      <w:widowControl w:val="0"/>
      <w:autoSpaceDE w:val="0"/>
      <w:autoSpaceDN w:val="0"/>
    </w:pPr>
    <w:rPr>
      <w:rFonts w:ascii="华文仿宋" w:hAnsi="华文仿宋" w:eastAsia="华文仿宋" w:cs="华文仿宋"/>
      <w:sz w:val="22"/>
      <w:szCs w:val="22"/>
    </w:rPr>
  </w:style>
  <w:style w:type="character" w:customStyle="1" w:styleId="38">
    <w:name w:val="font21"/>
    <w:basedOn w:val="16"/>
    <w:qFormat/>
    <w:uiPriority w:val="0"/>
    <w:rPr>
      <w:rFonts w:ascii="方正仿宋_GBK" w:hAnsi="方正仿宋_GBK" w:eastAsia="方正仿宋_GBK" w:cs="方正仿宋_GBK"/>
      <w:color w:val="000000"/>
      <w:sz w:val="20"/>
      <w:szCs w:val="20"/>
      <w:u w:val="none"/>
    </w:rPr>
  </w:style>
  <w:style w:type="character" w:customStyle="1" w:styleId="39">
    <w:name w:val="font11"/>
    <w:basedOn w:val="16"/>
    <w:qFormat/>
    <w:uiPriority w:val="0"/>
    <w:rPr>
      <w:rFonts w:hint="default" w:ascii="Times New Roman" w:hAnsi="Times New Roman" w:cs="Times New Roman"/>
      <w:color w:val="000000"/>
      <w:sz w:val="22"/>
      <w:szCs w:val="22"/>
      <w:u w:val="none"/>
    </w:rPr>
  </w:style>
  <w:style w:type="character" w:customStyle="1" w:styleId="40">
    <w:name w:val="font41"/>
    <w:basedOn w:val="16"/>
    <w:qFormat/>
    <w:uiPriority w:val="0"/>
    <w:rPr>
      <w:rFonts w:ascii="方正仿宋_GBK" w:hAnsi="方正仿宋_GBK" w:eastAsia="方正仿宋_GBK" w:cs="方正仿宋_GBK"/>
      <w:color w:val="000000"/>
      <w:sz w:val="24"/>
      <w:szCs w:val="24"/>
      <w:u w:val="none"/>
    </w:rPr>
  </w:style>
  <w:style w:type="character" w:customStyle="1" w:styleId="41">
    <w:name w:val="font31"/>
    <w:basedOn w:val="16"/>
    <w:qFormat/>
    <w:uiPriority w:val="0"/>
    <w:rPr>
      <w:rFonts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218</Words>
  <Characters>221</Characters>
  <Lines>40</Lines>
  <Paragraphs>11</Paragraphs>
  <TotalTime>4</TotalTime>
  <ScaleCrop>false</ScaleCrop>
  <LinksUpToDate>false</LinksUpToDate>
  <CharactersWithSpaces>272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2025-11-03T07:18:00Z</dcterms:created>
  <dc:creator>Microsoft Office 用户</dc:creator>
  <cp:lastModifiedBy>微信用户</cp:lastModifiedBy>
  <dcterms:modified xsi:type="dcterms:W3CDTF">2026-04-23T04:35:38Z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eyJoZGlkIjoiMTdkNGVhZGI5ZDEwNWQxNTk3N2M0Y2RjY2ViNzIwYTkiLCJ1c2VySWQiOiIxMjc4NzU4NzEwIn0=</vt:lpwstr>
  </property>
  <property fmtid="{D5CDD505-2E9C-101B-9397-08002B2CF9AE}" pid="3" name="KSOProductBuildVer">
    <vt:lpwstr>2052-12.1.0.25865</vt:lpwstr>
  </property>
  <property fmtid="{D5CDD505-2E9C-101B-9397-08002B2CF9AE}" pid="4" name="ICV">
    <vt:lpwstr>7B7B4D48CBFB4E6DBBCFAC3B869B6ACE_13</vt:lpwstr>
  </property>
</Properties>
</file>