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版本号：HYTF-20260706120260729001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2026年度城市管理服务站职工餐厅运营项目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HYTF-202607061</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2026年度城市管理服务站职工餐厅运营项目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HYTF-202607061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2026年度城市管理服务站职工餐厅运营项目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2026年度城市管理服务站职工餐厅运营项目，服务期一年。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采购包1（2026年度城市管理服务站职工餐厅运营项目）：属于专门面向中小企业采购。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8、企业资质：投标人须具备有效的《食品经营许可证》。</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采购包1：3,932,800.00元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代理服务费收费标准：以中标金额为取费基数，招标代理服务费参照《国家计委关于印发&lt;招标代理服务收费管理暂行办法&gt;的通知》（计价格[2002]1980号）和（发改办价格[2011]534号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1、招标文件、投标文件、澄清表（函）；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2026年度城市管理服务站职工餐厅运营项目，服务期一年。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3,932,800.00</w:t>
      </w:r>
    </w:p>
    <w:p>
      <w:pPr>
        <w:pStyle w:val="null3"/>
      </w:pPr>
      <w:r>
        <w:rPr>
          <w:rFonts w:ascii="仿宋_GB2312" w:hAnsi="仿宋_GB2312" w:cs="仿宋_GB2312" w:eastAsia="仿宋_GB2312"/>
        </w:rPr>
        <w:t>采购包最高限价（元）: 3,932,800.00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2026年度城市管理服务站职工餐厅运营项目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3,932,800.00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标的名称：2026年度城市管理服务站职工餐厅运营项目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一、项目整体服务要求</w:t>
            </w:r>
          </w:p>
          <w:p>
            <w:pPr>
              <w:pStyle w:val="null3"/>
              <w:jc w:val="both"/>
            </w:pPr>
            <w:r>
              <w:rPr>
                <w:rFonts w:ascii="仿宋_GB2312" w:hAnsi="仿宋_GB2312" w:cs="仿宋_GB2312" w:eastAsia="仿宋_GB2312"/>
                <w:sz w:val="20"/>
              </w:rPr>
              <w:t>（一）就餐形式</w:t>
            </w:r>
          </w:p>
          <w:p>
            <w:pPr>
              <w:pStyle w:val="null3"/>
              <w:ind w:firstLine="400"/>
              <w:jc w:val="both"/>
            </w:pPr>
            <w:r>
              <w:rPr>
                <w:rFonts w:ascii="仿宋_GB2312" w:hAnsi="仿宋_GB2312" w:cs="仿宋_GB2312" w:eastAsia="仿宋_GB2312"/>
                <w:sz w:val="20"/>
              </w:rPr>
              <w:t>采用自助餐模式，</w:t>
            </w:r>
            <w:r>
              <w:rPr>
                <w:rFonts w:ascii="仿宋_GB2312" w:hAnsi="仿宋_GB2312" w:cs="仿宋_GB2312" w:eastAsia="仿宋_GB2312"/>
                <w:sz w:val="20"/>
              </w:rPr>
              <w:t>为</w:t>
            </w:r>
            <w:r>
              <w:rPr>
                <w:rFonts w:ascii="仿宋_GB2312" w:hAnsi="仿宋_GB2312" w:cs="仿宋_GB2312" w:eastAsia="仿宋_GB2312"/>
                <w:sz w:val="20"/>
              </w:rPr>
              <w:t>职工</w:t>
            </w:r>
            <w:r>
              <w:rPr>
                <w:rFonts w:ascii="仿宋_GB2312" w:hAnsi="仿宋_GB2312" w:cs="仿宋_GB2312" w:eastAsia="仿宋_GB2312"/>
                <w:sz w:val="20"/>
              </w:rPr>
              <w:t>提供一日三餐（早餐、中餐、晚餐）服务</w:t>
            </w:r>
            <w:r>
              <w:rPr>
                <w:rFonts w:ascii="仿宋_GB2312" w:hAnsi="仿宋_GB2312" w:cs="仿宋_GB2312" w:eastAsia="仿宋_GB2312"/>
                <w:sz w:val="20"/>
              </w:rPr>
              <w:t>，餐标为人民币</w:t>
            </w:r>
            <w:r>
              <w:rPr>
                <w:rFonts w:ascii="仿宋_GB2312" w:hAnsi="仿宋_GB2312" w:cs="仿宋_GB2312" w:eastAsia="仿宋_GB2312"/>
                <w:sz w:val="20"/>
              </w:rPr>
              <w:t>40元/人˙天（早餐：</w:t>
            </w:r>
            <w:r>
              <w:rPr>
                <w:rFonts w:ascii="仿宋_GB2312" w:hAnsi="仿宋_GB2312" w:cs="仿宋_GB2312" w:eastAsia="仿宋_GB2312"/>
                <w:sz w:val="20"/>
              </w:rPr>
              <w:t>10</w:t>
            </w:r>
            <w:r>
              <w:rPr>
                <w:rFonts w:ascii="仿宋_GB2312" w:hAnsi="仿宋_GB2312" w:cs="仿宋_GB2312" w:eastAsia="仿宋_GB2312"/>
                <w:sz w:val="20"/>
              </w:rPr>
              <w:t>元</w:t>
            </w:r>
            <w:r>
              <w:rPr>
                <w:rFonts w:ascii="仿宋_GB2312" w:hAnsi="仿宋_GB2312" w:cs="仿宋_GB2312" w:eastAsia="仿宋_GB2312"/>
                <w:sz w:val="20"/>
              </w:rPr>
              <w:t>/位；午餐：2</w:t>
            </w:r>
            <w:r>
              <w:rPr>
                <w:rFonts w:ascii="仿宋_GB2312" w:hAnsi="仿宋_GB2312" w:cs="仿宋_GB2312" w:eastAsia="仿宋_GB2312"/>
                <w:sz w:val="20"/>
              </w:rPr>
              <w:t>0</w:t>
            </w:r>
            <w:r>
              <w:rPr>
                <w:rFonts w:ascii="仿宋_GB2312" w:hAnsi="仿宋_GB2312" w:cs="仿宋_GB2312" w:eastAsia="仿宋_GB2312"/>
                <w:sz w:val="20"/>
              </w:rPr>
              <w:t>元</w:t>
            </w:r>
            <w:r>
              <w:rPr>
                <w:rFonts w:ascii="仿宋_GB2312" w:hAnsi="仿宋_GB2312" w:cs="仿宋_GB2312" w:eastAsia="仿宋_GB2312"/>
                <w:sz w:val="20"/>
              </w:rPr>
              <w:t>/位；晚餐：10元/位），</w:t>
            </w:r>
            <w:r>
              <w:rPr>
                <w:rFonts w:ascii="仿宋_GB2312" w:hAnsi="仿宋_GB2312" w:cs="仿宋_GB2312" w:eastAsia="仿宋_GB2312"/>
                <w:sz w:val="20"/>
              </w:rPr>
              <w:t>如有需要，提供会议、培训接待用餐，根据用餐单位要求制定菜单，费用由实际用餐单位另行结算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（二）用餐时间</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用餐时间：早餐</w:t>
            </w:r>
            <w:r>
              <w:rPr>
                <w:rFonts w:ascii="仿宋_GB2312" w:hAnsi="仿宋_GB2312" w:cs="仿宋_GB2312" w:eastAsia="仿宋_GB2312"/>
                <w:sz w:val="20"/>
              </w:rPr>
              <w:t>07:20-09:00、午餐 11:20-13:00、晚餐 17:00-19:00，需确保餐厅准时开餐，不得延误。</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若有特殊用餐需求，需根据实际情况调整服务安排，全面保障员工正常用餐。</w:t>
            </w:r>
          </w:p>
          <w:p>
            <w:pPr>
              <w:pStyle w:val="null3"/>
              <w:jc w:val="both"/>
            </w:pPr>
            <w:r>
              <w:rPr>
                <w:rFonts w:ascii="仿宋_GB2312" w:hAnsi="仿宋_GB2312" w:cs="仿宋_GB2312" w:eastAsia="仿宋_GB2312"/>
                <w:sz w:val="20"/>
                <w:b/>
              </w:rPr>
              <w:t>二、餐食出品要求</w:t>
            </w:r>
          </w:p>
          <w:p>
            <w:pPr>
              <w:pStyle w:val="null3"/>
              <w:jc w:val="both"/>
            </w:pPr>
            <w:r>
              <w:rPr>
                <w:rFonts w:ascii="仿宋_GB2312" w:hAnsi="仿宋_GB2312" w:cs="仿宋_GB2312" w:eastAsia="仿宋_GB2312"/>
                <w:sz w:val="20"/>
              </w:rPr>
              <w:t>（一）出品品类定位</w:t>
            </w:r>
          </w:p>
          <w:p>
            <w:pPr>
              <w:pStyle w:val="null3"/>
              <w:ind w:firstLine="400"/>
              <w:jc w:val="both"/>
            </w:pPr>
            <w:r>
              <w:rPr>
                <w:rFonts w:ascii="仿宋_GB2312" w:hAnsi="仿宋_GB2312" w:cs="仿宋_GB2312" w:eastAsia="仿宋_GB2312"/>
                <w:sz w:val="20"/>
              </w:rPr>
              <w:t>餐食以中餐及名优小吃为主，配套提供小菜、时令水果及饮品，满足</w:t>
            </w:r>
            <w:r>
              <w:rPr>
                <w:rFonts w:ascii="仿宋_GB2312" w:hAnsi="仿宋_GB2312" w:cs="仿宋_GB2312" w:eastAsia="仿宋_GB2312"/>
                <w:sz w:val="20"/>
              </w:rPr>
              <w:t>职工</w:t>
            </w:r>
            <w:r>
              <w:rPr>
                <w:rFonts w:ascii="仿宋_GB2312" w:hAnsi="仿宋_GB2312" w:cs="仿宋_GB2312" w:eastAsia="仿宋_GB2312"/>
                <w:sz w:val="20"/>
              </w:rPr>
              <w:t>多样化用餐需求。</w:t>
            </w:r>
          </w:p>
          <w:p>
            <w:pPr>
              <w:pStyle w:val="null3"/>
              <w:jc w:val="both"/>
            </w:pPr>
            <w:r>
              <w:rPr>
                <w:rFonts w:ascii="仿宋_GB2312" w:hAnsi="仿宋_GB2312" w:cs="仿宋_GB2312" w:eastAsia="仿宋_GB2312"/>
                <w:sz w:val="20"/>
              </w:rPr>
              <w:t>（二）食材与烹调要求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食材范围：肉类、禽蛋类、豆制品类、菌类、蔬菜类等各类食材需按需供应，确保食材种类齐全、来源合规；主食类涵盖面类、米类、杂粮类、薯类、乳制品类等，汤粥类以杂粮、禽蛋、蔬菜为主要原料，保障营养均衡。</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烹调技法：菜品烹调可采用爆炒、炸、熘、烹、蒸、酱、扒、卤、烧、烩等多种技法，主食烹调可采用蒸、煮、煎、炸、烤、烙等技法，灵活运用各类技法，提升餐食口感与品质。</w:t>
            </w:r>
          </w:p>
          <w:p>
            <w:pPr>
              <w:pStyle w:val="null3"/>
              <w:jc w:val="both"/>
            </w:pPr>
            <w:r>
              <w:rPr>
                <w:rFonts w:ascii="仿宋_GB2312" w:hAnsi="仿宋_GB2312" w:cs="仿宋_GB2312" w:eastAsia="仿宋_GB2312"/>
                <w:sz w:val="20"/>
              </w:rPr>
              <w:t>（三）品类数量标准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早餐：菜品（含小菜）不少于</w:t>
            </w:r>
            <w:r>
              <w:rPr>
                <w:rFonts w:ascii="仿宋_GB2312" w:hAnsi="仿宋_GB2312" w:cs="仿宋_GB2312" w:eastAsia="仿宋_GB2312"/>
                <w:sz w:val="20"/>
              </w:rPr>
              <w:t>6种，主食及小吃不少于6种，粥类不少于2种，蛋类不少于1种，奶制品不少于1种；</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午餐：菜品不少于</w:t>
            </w:r>
            <w:r>
              <w:rPr>
                <w:rFonts w:ascii="仿宋_GB2312" w:hAnsi="仿宋_GB2312" w:cs="仿宋_GB2312" w:eastAsia="仿宋_GB2312"/>
                <w:sz w:val="20"/>
              </w:rPr>
              <w:t>6种，主食及杂粮不少于3种，汤品不少于1种，时令水果不少于1种；</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晚餐：菜品不少于</w:t>
            </w:r>
            <w:r>
              <w:rPr>
                <w:rFonts w:ascii="仿宋_GB2312" w:hAnsi="仿宋_GB2312" w:cs="仿宋_GB2312" w:eastAsia="仿宋_GB2312"/>
                <w:sz w:val="20"/>
              </w:rPr>
              <w:t>5种，主食及小吃不少于5种，粥类不少于2种。</w:t>
            </w:r>
          </w:p>
          <w:p>
            <w:pPr>
              <w:pStyle w:val="null3"/>
              <w:jc w:val="both"/>
            </w:pPr>
            <w:r>
              <w:rPr>
                <w:rFonts w:ascii="仿宋_GB2312" w:hAnsi="仿宋_GB2312" w:cs="仿宋_GB2312" w:eastAsia="仿宋_GB2312"/>
                <w:sz w:val="20"/>
                <w:b/>
              </w:rPr>
              <w:t>三、人员配备要求</w:t>
            </w:r>
          </w:p>
          <w:p>
            <w:pPr>
              <w:pStyle w:val="null3"/>
              <w:ind w:firstLine="400"/>
              <w:jc w:val="both"/>
            </w:pPr>
            <w:r>
              <w:rPr>
                <w:rFonts w:ascii="仿宋_GB2312" w:hAnsi="仿宋_GB2312" w:cs="仿宋_GB2312" w:eastAsia="仿宋_GB2312"/>
                <w:sz w:val="20"/>
              </w:rPr>
              <w:t>科学配置专业工作人员，</w:t>
            </w:r>
            <w:r>
              <w:rPr>
                <w:rFonts w:ascii="仿宋_GB2312" w:hAnsi="仿宋_GB2312" w:cs="仿宋_GB2312" w:eastAsia="仿宋_GB2312"/>
                <w:sz w:val="20"/>
              </w:rPr>
              <w:t>人员团队</w:t>
            </w:r>
            <w:r>
              <w:rPr>
                <w:rFonts w:ascii="仿宋_GB2312" w:hAnsi="仿宋_GB2312" w:cs="仿宋_GB2312" w:eastAsia="仿宋_GB2312"/>
                <w:sz w:val="20"/>
              </w:rPr>
              <w:t>不得少于</w:t>
            </w:r>
            <w:r>
              <w:rPr>
                <w:rFonts w:ascii="仿宋_GB2312" w:hAnsi="仿宋_GB2312" w:cs="仿宋_GB2312" w:eastAsia="仿宋_GB2312"/>
                <w:sz w:val="20"/>
              </w:rPr>
              <w:t>20</w:t>
            </w:r>
            <w:r>
              <w:rPr>
                <w:rFonts w:ascii="仿宋_GB2312" w:hAnsi="仿宋_GB2312" w:cs="仿宋_GB2312" w:eastAsia="仿宋_GB2312"/>
                <w:sz w:val="20"/>
              </w:rPr>
              <w:t>人</w:t>
            </w:r>
            <w:r>
              <w:rPr>
                <w:rFonts w:ascii="仿宋_GB2312" w:hAnsi="仿宋_GB2312" w:cs="仿宋_GB2312" w:eastAsia="仿宋_GB2312"/>
                <w:sz w:val="20"/>
              </w:rPr>
              <w:t>，</w:t>
            </w:r>
            <w:r>
              <w:rPr>
                <w:rFonts w:ascii="仿宋_GB2312" w:hAnsi="仿宋_GB2312" w:cs="仿宋_GB2312" w:eastAsia="仿宋_GB2312"/>
                <w:sz w:val="20"/>
              </w:rPr>
              <w:t>全面保障餐食出品质量、服务水平及品类供给，具体要求如下：</w:t>
            </w:r>
          </w:p>
          <w:p>
            <w:pPr>
              <w:pStyle w:val="null3"/>
              <w:jc w:val="both"/>
            </w:pPr>
            <w:r>
              <w:rPr>
                <w:rFonts w:ascii="仿宋_GB2312" w:hAnsi="仿宋_GB2312" w:cs="仿宋_GB2312" w:eastAsia="仿宋_GB2312"/>
                <w:sz w:val="20"/>
              </w:rPr>
              <w:t>（一）岗位配置</w:t>
            </w:r>
          </w:p>
          <w:p>
            <w:pPr>
              <w:pStyle w:val="null3"/>
              <w:ind w:firstLine="400"/>
              <w:jc w:val="both"/>
            </w:pPr>
            <w:r>
              <w:rPr>
                <w:rFonts w:ascii="仿宋_GB2312" w:hAnsi="仿宋_GB2312" w:cs="仿宋_GB2312" w:eastAsia="仿宋_GB2312"/>
                <w:sz w:val="20"/>
              </w:rPr>
              <w:t>配备餐厅经理、厨师长、炒锅、面点、后厨厨工等岗位人员，岗位设置合理，人员分工明确，确保餐厅日常运营有序开展</w:t>
            </w:r>
            <w:r>
              <w:rPr>
                <w:rFonts w:ascii="仿宋_GB2312" w:hAnsi="仿宋_GB2312" w:cs="仿宋_GB2312" w:eastAsia="仿宋_GB2312"/>
                <w:sz w:val="20"/>
              </w:rPr>
              <w:t>，餐厅经理和厨师长，有丰富的从业和管理经验，符合国家用工规定，其中项目经理具有大专或以上的学历，从业时间不少于</w:t>
            </w:r>
            <w:r>
              <w:rPr>
                <w:rFonts w:ascii="仿宋_GB2312" w:hAnsi="仿宋_GB2312" w:cs="仿宋_GB2312" w:eastAsia="仿宋_GB2312"/>
                <w:sz w:val="20"/>
              </w:rPr>
              <w:t>5年；厨师长从业时间不少于8年，须具有三级或以上中式烹调技师职业资格证书，掌握两种以上风味菜肴的制作，保证出品质量及食品安全。项目整体配置的三级中式烹调师不少于3人。</w:t>
            </w:r>
          </w:p>
          <w:p>
            <w:pPr>
              <w:pStyle w:val="null3"/>
              <w:jc w:val="both"/>
            </w:pPr>
            <w:r>
              <w:rPr>
                <w:rFonts w:ascii="仿宋_GB2312" w:hAnsi="仿宋_GB2312" w:cs="仿宋_GB2312" w:eastAsia="仿宋_GB2312"/>
                <w:sz w:val="20"/>
              </w:rPr>
              <w:t>（二）人员资质标准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所有从业人员需严格符合入职准入条件，身体健康、无传染性疾病，无刑事违法违纪记录及不良从业处分记录，入职年龄控制在</w:t>
            </w:r>
            <w:r>
              <w:rPr>
                <w:rFonts w:ascii="仿宋_GB2312" w:hAnsi="仿宋_GB2312" w:cs="仿宋_GB2312" w:eastAsia="仿宋_GB2312"/>
                <w:sz w:val="20"/>
              </w:rPr>
              <w:t>55周岁以内；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在岗期间，从业人员需言行端庄、服务文明礼貌，严格遵守服务规范；</w:t>
            </w:r>
          </w:p>
          <w:p>
            <w:pPr>
              <w:pStyle w:val="null3"/>
              <w:jc w:val="both"/>
            </w:pPr>
            <w:r>
              <w:rPr>
                <w:rFonts w:ascii="仿宋_GB2312" w:hAnsi="仿宋_GB2312" w:cs="仿宋_GB2312" w:eastAsia="仿宋_GB2312"/>
                <w:sz w:val="20"/>
              </w:rPr>
              <w:t>（三）健康管理要求</w:t>
            </w:r>
          </w:p>
          <w:p>
            <w:pPr>
              <w:pStyle w:val="null3"/>
              <w:ind w:firstLine="400"/>
              <w:jc w:val="both"/>
            </w:pPr>
            <w:r>
              <w:rPr>
                <w:rFonts w:ascii="仿宋_GB2312" w:hAnsi="仿宋_GB2312" w:cs="仿宋_GB2312" w:eastAsia="仿宋_GB2312"/>
                <w:sz w:val="20"/>
              </w:rPr>
              <w:t>所有从业人员需通过正规健康体检，持有效健康证持证上岗，严格遵守餐饮行业从业规范及餐厅运营管理要求，确保在岗人员健康状况达标。</w:t>
            </w:r>
          </w:p>
          <w:p>
            <w:pPr>
              <w:pStyle w:val="null3"/>
              <w:jc w:val="both"/>
            </w:pPr>
            <w:r>
              <w:rPr>
                <w:rFonts w:ascii="仿宋_GB2312" w:hAnsi="仿宋_GB2312" w:cs="仿宋_GB2312" w:eastAsia="仿宋_GB2312"/>
                <w:sz w:val="20"/>
                <w:b/>
              </w:rPr>
              <w:t>四、食材采购服务要求</w:t>
            </w:r>
          </w:p>
          <w:p>
            <w:pPr>
              <w:pStyle w:val="null3"/>
              <w:ind w:firstLine="400"/>
              <w:jc w:val="both"/>
            </w:pPr>
            <w:r>
              <w:rPr>
                <w:rFonts w:ascii="仿宋_GB2312" w:hAnsi="仿宋_GB2312" w:cs="仿宋_GB2312" w:eastAsia="仿宋_GB2312"/>
                <w:sz w:val="20"/>
              </w:rPr>
              <w:t>1、按照需要采购，做到价廉物美。</w:t>
            </w:r>
          </w:p>
          <w:p>
            <w:pPr>
              <w:pStyle w:val="null3"/>
              <w:ind w:firstLine="400"/>
              <w:jc w:val="both"/>
            </w:pPr>
            <w:r>
              <w:rPr>
                <w:rFonts w:ascii="仿宋_GB2312" w:hAnsi="仿宋_GB2312" w:cs="仿宋_GB2312" w:eastAsia="仿宋_GB2312"/>
                <w:sz w:val="20"/>
              </w:rPr>
              <w:t>2、蔬菜类定点采购，进行农药残留检测，确保使用原料可追溯。</w:t>
            </w:r>
          </w:p>
          <w:p>
            <w:pPr>
              <w:pStyle w:val="null3"/>
              <w:ind w:firstLine="400"/>
              <w:jc w:val="both"/>
            </w:pPr>
            <w:r>
              <w:rPr>
                <w:rFonts w:ascii="仿宋_GB2312" w:hAnsi="仿宋_GB2312" w:cs="仿宋_GB2312" w:eastAsia="仿宋_GB2312"/>
                <w:sz w:val="20"/>
              </w:rPr>
              <w:t>3、米、面、油各种调料选用正规厂家产品。</w:t>
            </w:r>
          </w:p>
          <w:p>
            <w:pPr>
              <w:pStyle w:val="null3"/>
              <w:ind w:firstLine="400"/>
              <w:jc w:val="both"/>
            </w:pPr>
            <w:r>
              <w:rPr>
                <w:rFonts w:ascii="仿宋_GB2312" w:hAnsi="仿宋_GB2312" w:cs="仿宋_GB2312" w:eastAsia="仿宋_GB2312"/>
                <w:sz w:val="20"/>
              </w:rPr>
              <w:t>4、主要食材不少于三家供应商渠道。</w:t>
            </w:r>
          </w:p>
          <w:p>
            <w:pPr>
              <w:pStyle w:val="null3"/>
              <w:ind w:firstLine="400"/>
              <w:jc w:val="both"/>
            </w:pPr>
            <w:r>
              <w:rPr>
                <w:rFonts w:ascii="仿宋_GB2312" w:hAnsi="仿宋_GB2312" w:cs="仿宋_GB2312" w:eastAsia="仿宋_GB2312"/>
                <w:sz w:val="20"/>
              </w:rPr>
              <w:t>5、禁止采购销售非大型食品企业生产的熟制品。</w:t>
            </w:r>
          </w:p>
          <w:p>
            <w:pPr>
              <w:pStyle w:val="null3"/>
              <w:ind w:firstLine="400"/>
              <w:jc w:val="both"/>
            </w:pPr>
            <w:r>
              <w:rPr>
                <w:rFonts w:ascii="仿宋_GB2312" w:hAnsi="仿宋_GB2312" w:cs="仿宋_GB2312" w:eastAsia="仿宋_GB2312"/>
                <w:sz w:val="20"/>
              </w:rPr>
              <w:t>6、原材料供应商必须提供其营业执照等有效合法证件,提供的产品须具有产品合格证、检验报告、检疫合格证等相应证件，严禁使用“三无产品”。</w:t>
            </w:r>
          </w:p>
          <w:p>
            <w:pPr>
              <w:pStyle w:val="null3"/>
              <w:ind w:firstLine="400"/>
              <w:jc w:val="both"/>
            </w:pPr>
            <w:r>
              <w:rPr>
                <w:rFonts w:ascii="仿宋_GB2312" w:hAnsi="仿宋_GB2312" w:cs="仿宋_GB2312" w:eastAsia="仿宋_GB2312"/>
                <w:sz w:val="20"/>
              </w:rPr>
              <w:t>7、所有原材料必须经管理人员验收后使用。</w:t>
            </w:r>
          </w:p>
          <w:p>
            <w:pPr>
              <w:pStyle w:val="null3"/>
              <w:ind w:firstLine="400"/>
              <w:jc w:val="both"/>
            </w:pPr>
            <w:r>
              <w:rPr>
                <w:rFonts w:ascii="仿宋_GB2312" w:hAnsi="仿宋_GB2312" w:cs="仿宋_GB2312" w:eastAsia="仿宋_GB2312"/>
                <w:sz w:val="20"/>
              </w:rPr>
              <w:t>8、建立入库、出库原材料登记制度，按入库时间先后分类存放，做到先进先出，做好原材料出入库清单登记。</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、服务质量管控要求</w:t>
            </w:r>
          </w:p>
          <w:p>
            <w:pPr>
              <w:pStyle w:val="null3"/>
              <w:ind w:firstLine="400"/>
              <w:jc w:val="both"/>
            </w:pPr>
            <w:r>
              <w:rPr>
                <w:rFonts w:ascii="仿宋_GB2312" w:hAnsi="仿宋_GB2312" w:cs="仿宋_GB2312" w:eastAsia="仿宋_GB2312"/>
                <w:sz w:val="20"/>
              </w:rPr>
              <w:t>建立完善的质量管控体系，严格执行以下要求，确保服务质量达标：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食谱管理：每周五下班前完成下周食谱编制并上报管理部门，经审核同意后方可执行，未经审核不得擅自更改食谱；</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营养管理：配备营养配餐员，负责餐食营养分析，公示餐食所含营养成分、热量等信息，为就餐人员提供科学饮食指导；</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质量把关：严格按照国家及餐饮行业计量标准、相关规定，对食品原材料采购、加工全过程进行质量监控，确保原材料新鲜、无污染、质量合格；餐饮加工过程中不得偷工减料、以次充好，餐食出品需保质保量，严禁出售变质、变味及不合格食物；</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过程追溯：对餐食配料、加工、制作全过程进行实时监控录像，确保整个操作过程可追溯，可随时查阅监控记录。</w:t>
            </w:r>
          </w:p>
          <w:p>
            <w:pPr>
              <w:pStyle w:val="null3"/>
              <w:ind w:firstLine="400"/>
              <w:jc w:val="both"/>
            </w:pPr>
            <w:r>
              <w:rPr>
                <w:rFonts w:ascii="仿宋_GB2312" w:hAnsi="仿宋_GB2312" w:cs="仿宋_GB2312" w:eastAsia="仿宋_GB2312"/>
                <w:sz w:val="20"/>
              </w:rPr>
              <w:t>5、严格按照食品安全法对每餐出品进行留样，并认真填写食品留样登记表。</w:t>
            </w:r>
          </w:p>
          <w:p>
            <w:pPr>
              <w:pStyle w:val="null3"/>
              <w:ind w:firstLine="400"/>
              <w:jc w:val="both"/>
            </w:pPr>
            <w:r>
              <w:rPr>
                <w:rFonts w:ascii="仿宋_GB2312" w:hAnsi="仿宋_GB2312" w:cs="仿宋_GB2312" w:eastAsia="仿宋_GB2312"/>
                <w:sz w:val="20"/>
              </w:rPr>
              <w:t>6、工作日统一时间将产生的残食、泔水、垃圾进行分类并倒入指定地点。</w:t>
            </w:r>
          </w:p>
          <w:p>
            <w:pPr>
              <w:pStyle w:val="null3"/>
              <w:ind w:firstLine="400"/>
              <w:jc w:val="both"/>
            </w:pPr>
            <w:r>
              <w:rPr>
                <w:rFonts w:ascii="仿宋_GB2312" w:hAnsi="仿宋_GB2312" w:cs="仿宋_GB2312" w:eastAsia="仿宋_GB2312"/>
                <w:sz w:val="20"/>
              </w:rPr>
              <w:t>7、环境卫生做到无死角，符合卫生达标要求。地面、墙面、门窗、排烟设备、灶台炊具等要定期保洁，排烟要环保达标；餐厅地面要随时保持清洁干燥，做好防滑提醒标牌，防止摔伤事故的发生；餐厅售饭台、餐桌等随时清洁，做到人走桌净。</w:t>
            </w:r>
          </w:p>
          <w:p>
            <w:pPr>
              <w:pStyle w:val="null3"/>
              <w:ind w:firstLine="400"/>
              <w:jc w:val="both"/>
            </w:pPr>
            <w:r>
              <w:rPr>
                <w:rFonts w:ascii="仿宋_GB2312" w:hAnsi="仿宋_GB2312" w:cs="仿宋_GB2312" w:eastAsia="仿宋_GB2312"/>
                <w:sz w:val="20"/>
              </w:rPr>
              <w:t>8、严格执行食品卫生“五四”制，食品及用具生熟分开，原料分类存放，避免交叉污染。</w:t>
            </w:r>
          </w:p>
          <w:p>
            <w:pPr>
              <w:pStyle w:val="null3"/>
              <w:ind w:firstLine="400"/>
              <w:jc w:val="both"/>
            </w:pPr>
            <w:r>
              <w:rPr>
                <w:rFonts w:ascii="仿宋_GB2312" w:hAnsi="仿宋_GB2312" w:cs="仿宋_GB2312" w:eastAsia="仿宋_GB2312"/>
                <w:sz w:val="20"/>
              </w:rPr>
              <w:t>9、确保厨房设施设备的正常运转，做好节能环保、安全防护、消防保障、维修维护等。</w:t>
            </w:r>
          </w:p>
          <w:p>
            <w:pPr>
              <w:pStyle w:val="null3"/>
              <w:ind w:firstLine="400"/>
              <w:jc w:val="both"/>
            </w:pPr>
            <w:r>
              <w:rPr>
                <w:rFonts w:ascii="仿宋_GB2312" w:hAnsi="仿宋_GB2312" w:cs="仿宋_GB2312" w:eastAsia="仿宋_GB2312"/>
                <w:sz w:val="20"/>
              </w:rPr>
              <w:t>10、消毒设备齐全，专人负责，严格消毒操作规程，洁净餐具使用带有明显标识的卫生箱配送。建立餐具回收、消毒、配送登记簿，确保餐具无漏消毒现象发生。</w:t>
            </w:r>
          </w:p>
          <w:p>
            <w:pPr>
              <w:pStyle w:val="null3"/>
              <w:ind w:firstLine="400"/>
              <w:jc w:val="both"/>
            </w:pPr>
            <w:r>
              <w:rPr>
                <w:rFonts w:ascii="仿宋_GB2312" w:hAnsi="仿宋_GB2312" w:cs="仿宋_GB2312" w:eastAsia="仿宋_GB2312"/>
                <w:sz w:val="20"/>
              </w:rPr>
              <w:t>11、从业人员健康查体一人一证，统一着装，具有规范的仪表仪容，并做到“四勤”。</w:t>
            </w:r>
          </w:p>
          <w:p>
            <w:pPr>
              <w:pStyle w:val="null3"/>
              <w:ind w:firstLine="400"/>
              <w:jc w:val="both"/>
            </w:pPr>
            <w:r>
              <w:rPr>
                <w:rFonts w:ascii="仿宋_GB2312" w:hAnsi="仿宋_GB2312" w:cs="仿宋_GB2312" w:eastAsia="仿宋_GB2312"/>
                <w:sz w:val="20"/>
              </w:rPr>
              <w:t>12、严禁违法违规使用食品添加剂，食品添加剂设专人保管，并建立领料、用料比例等记录。</w:t>
            </w:r>
          </w:p>
          <w:p>
            <w:pPr>
              <w:pStyle w:val="null3"/>
              <w:ind w:firstLine="400"/>
              <w:jc w:val="both"/>
            </w:pPr>
            <w:r>
              <w:rPr>
                <w:rFonts w:ascii="仿宋_GB2312" w:hAnsi="仿宋_GB2312" w:cs="仿宋_GB2312" w:eastAsia="仿宋_GB2312"/>
                <w:sz w:val="20"/>
              </w:rPr>
              <w:t>13、杜绝白色污染，禁止使用塑料袋包装食品。</w:t>
            </w:r>
          </w:p>
          <w:p>
            <w:pPr>
              <w:pStyle w:val="null3"/>
              <w:ind w:firstLine="400"/>
              <w:jc w:val="both"/>
            </w:pPr>
            <w:r>
              <w:rPr>
                <w:rFonts w:ascii="仿宋_GB2312" w:hAnsi="仿宋_GB2312" w:cs="仿宋_GB2312" w:eastAsia="仿宋_GB2312"/>
                <w:sz w:val="20"/>
              </w:rPr>
              <w:t>14、配合迎接各种检查、评审等活动，必备相关资料，达到相关要求。</w:t>
            </w:r>
          </w:p>
          <w:p>
            <w:pPr>
              <w:pStyle w:val="null3"/>
              <w:jc w:val="both"/>
            </w:pPr>
            <w:r>
              <w:rPr>
                <w:rFonts w:ascii="仿宋_GB2312" w:hAnsi="仿宋_GB2312" w:cs="仿宋_GB2312" w:eastAsia="仿宋_GB2312"/>
                <w:sz w:val="20"/>
                <w:b/>
              </w:rPr>
              <w:t>六、卫生服务要求</w:t>
            </w:r>
          </w:p>
          <w:p>
            <w:pPr>
              <w:pStyle w:val="null3"/>
              <w:ind w:firstLine="400"/>
              <w:jc w:val="both"/>
            </w:pPr>
            <w:r>
              <w:rPr>
                <w:rFonts w:ascii="仿宋_GB2312" w:hAnsi="仿宋_GB2312" w:cs="仿宋_GB2312" w:eastAsia="仿宋_GB2312"/>
                <w:sz w:val="20"/>
              </w:rPr>
              <w:t>1、对全体员工进行安全教育和专业培训，消防培训要人人达标，其安全教育和培训记录等材料要进行备案。</w:t>
            </w:r>
          </w:p>
          <w:p>
            <w:pPr>
              <w:pStyle w:val="null3"/>
              <w:ind w:firstLine="400"/>
              <w:jc w:val="both"/>
            </w:pPr>
            <w:r>
              <w:rPr>
                <w:rFonts w:ascii="仿宋_GB2312" w:hAnsi="仿宋_GB2312" w:cs="仿宋_GB2312" w:eastAsia="仿宋_GB2312"/>
                <w:sz w:val="20"/>
              </w:rPr>
              <w:t>2、严格用水、用气、用电及炉具、电器、机械等设备操作规程，提高安全意识，杜绝安全事故的发生。</w:t>
            </w:r>
          </w:p>
          <w:p>
            <w:pPr>
              <w:pStyle w:val="null3"/>
            </w:pPr>
            <w:r>
              <w:rPr>
                <w:rFonts w:ascii="仿宋_GB2312" w:hAnsi="仿宋_GB2312" w:cs="仿宋_GB2312" w:eastAsia="仿宋_GB2312"/>
                <w:sz w:val="20"/>
              </w:rPr>
              <w:t xml:space="preserve">   3、严禁超负荷用电。</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于每月10日前，共同对乙方上月的履约情况进行验收。其内容包括：确认乙方厨房操作人员的组成、人员数量、人员证件，以及操作人员身体健康情况等；并按照本合同的约定对乙方的工作标准、服务质量、厨房操作人员的技术水平和健康是否满足甲方的使用要求等进行逐项检查。具体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采购人根据检查考核结果，每月5日核算上一个月份每餐用餐人数，核算完毕后以转账形式进行结算，结算前中标人开具付款所需等额有效的发票交予采购人，（此项“支付约定”中的“支付合同总金额”是指已产生的月度餐厅运营服务费用），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投标人须具备有效的《食品经营许可证》。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项目业绩一览表.docx 残疾人福利性单位声明函 标的清单 投标文件封面 资格证明材料.docx 投标人承诺书.docx 服务方案.docx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整体运营服务方案</w:t>
            </w:r>
          </w:p>
        </w:tc>
        <w:tc>
          <w:tcPr>
            <w:tcW w:type="dxa" w:w="2492"/>
          </w:tcPr>
          <w:p>
            <w:pPr>
              <w:pStyle w:val="null3"/>
            </w:pPr>
            <w:r>
              <w:rPr>
                <w:rFonts w:ascii="仿宋_GB2312" w:hAnsi="仿宋_GB2312" w:cs="仿宋_GB2312" w:eastAsia="仿宋_GB2312"/>
              </w:rPr>
              <w:t>一、评审内容：投标人针对本项目提供整体运营服务方案，包括但不限于：①食品制作、加工、营养搭配方案；②出餐品种及针对中国传统习俗、节日等提供的特色服务方案；③食品质量控制及食品储存方案；④餐厅服务标准及供餐流程；⑤厨务操作规范；⑥厨房设施设备维护及清洁方案。 二、评审标准：方案内容专门针对本项目编制，切合本项目实际情况及实施要求，内容与要点相符、每个要点均有展开详细的阐述且能够适用于本项目的计18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原材料采购及成本管控方案</w:t>
            </w:r>
          </w:p>
        </w:tc>
        <w:tc>
          <w:tcPr>
            <w:tcW w:type="dxa" w:w="2492"/>
          </w:tcPr>
          <w:p>
            <w:pPr>
              <w:pStyle w:val="null3"/>
            </w:pPr>
            <w:r>
              <w:rPr>
                <w:rFonts w:ascii="仿宋_GB2312" w:hAnsi="仿宋_GB2312" w:cs="仿宋_GB2312" w:eastAsia="仿宋_GB2312"/>
              </w:rPr>
              <w:t>一、评审内容：投标人针对本项目提供原材料采购及成本管控方案，包括但不限于：①原材料采购供应链、保存、出入库管控制度；②成本分析、控制、核算管理等。 二、评审标准：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一、评审内容：针对本项目，结合采购需求制定项目管理制度，包括但不限于①消杀管理、卫生保障；②安全管理与防范；③工作规范；④文明服务制度；⑤人员日常管理、考核制度。 二、评审标准：方案内容专门针对本项目编制，切合本项目实际情况及实施要求，内容与要点相符、每个要点均有展开详细的阐述且能够适用于本项目的计10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一、评审内容：投标人针对本项目提供突发情况应急预案，包括但不限于：①停水、停电、停气预案；②食物中毒预案；③突发性的活动、考察预案；④消防预案等情况。 二、评审标准：方案内容专门针对本项目编制，切合本项目实际情况及实施要求，内容与要点相符、每个要点均有展开详细的阐述且能够适用于本项目的计6分；评审内容每缺一项扣1.5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投标人针对本项目提供服务团队人员配置，具体如下： 1、人员配置及分工（5分） 须按要求配备餐厅经理、厨师长、炒锅、面点、后厨厨工等岗位人员，提供完整的人员配置清单（清单内容包含：具体人员姓名、年龄、从业时间、相关职业资格证书、岗位职责、当前分工），要求岗位设置完整、分工清晰具体，提供以上清单中所有内容计5分，不提供或缺项不得分。 2、餐厅经理（4分，管理岗） 配备专职餐厅经理，具有高级职业经理证并提供在本单位的社保缴纳证明得4分；未按要求提供的不计分。 3、专职厨师长（4分，管理岗） 配备专职厨师长，具有一级中式烹调师证书并提供在本单位的社保缴纳证明得4分；未按要求提供的不计分。 4、食品安全员（3分，安全管理岗） 配备专职的食品安全员，具有食品安全员证书并提供在本单位的社保缴纳证明得3分；未按要求提供的不计分。 5、公共营养师（3分，膳食管理岗） 配备专职的营养师，具有高级公共营养师证书并提供在本单位的社保缴纳证明得3分；未按要求提供的不计分。 6、厨师（4分，技术岗） 每配备1名一级中式烹调师计2分，每配备1名一级中式面点师计2分，每配备1名三级及以上中式烹调师或三级及以上中式面点师计1分，须提供相关人员证书及在本单位的社保缴纳证明，本项最高得4分。 未按要求提供的不计分。 备注：1、以上同一人员多本技能证书不重复计分，须提供证书复印件，无证书人员不计分。 2、以上拟投入本项目人员必须为投标人本单位在职人员，需按要求提供相关证明材料，未提供的该项不得分。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投标人针对本项目提供服务承诺，包括但不限于①依法用工及人员稳定性承诺；②食品安全、厨房设备安全运行承诺；③承诺接受采购人对服务的监督和建议，定期调研采购人对服务质量的满意度并加以改进，确保服务工作的优质高效；④对采购⼈内部信息的保密承诺书。 以上承诺每提供一项计1分，满分4分。 2、结合本项目实际情况，向采购人提出合理化建议或增值服务，每提供一条计1 分，满分3分。未提供或不满足本项目实际需求的不计分。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①质量管理体系认证证书； ②环境管理体系认证证书； ③职业健康安全管理体系认证证书； ④食品安全管理体系认证证书； ⑤危害分析与关键控制点（HACCP）体系认证证书。 投标人每提供一个有效证书计1分，满分5分，须提供证书复印件加盖公章，未提供不计分。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内（2023年1月1日起至今）具有类似项目业绩，业绩评审以合同为依据，每份业绩计2分，满分10分。（注：要求为不同的甲方业绩，投标文件中提供合同复印件加盖投标人公章，业绩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根据投标人自2023年1月1日以来履行类似服务项目的良好用户反馈记录等方面情况进行评审（须与业绩中的合同对应，且为不同的甲方），每提供一份正面用户反馈评价的得1分，最多得5分。 备注：须提供用户单位出具的并加盖公章的正面用户反馈评价复印件，未提供不计分。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