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版本号：TCZFCG-2026-00108.1B120260708001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咸丰路特勤站训练塔及附属设施建设项目(二次)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TCZFCG-2026-00108.1B1</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咸丰路特勤站训练塔及附属设施建设项目(二次)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TCZFCG-2026-00108.1B1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咸丰路特勤站训练塔及附属设施建设项目(二次)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消防救援支队咸丰路特勤消防站训练塔及附属设施始建于2013年。因使用年限较长，该训练塔及附属设施结构老化严重，已无法满足综合性灭火救援业务训练需求，与新形势下“全灾种、大应急”职责使命的拓展要求不相匹配，难以适应应急救援实战需要。为保障日常训练工作规范有序开展，切实提升队伍实战攻坚能力，更好适应新形势下消防救援任务的多元化需求，建议对咸丰路特勤消防站训练塔及附属设施进行重建。 本工程名称为铜川市消防救援支队咸丰路特勤消防站训练塔及附属设施建设项目，本项目为地上6层、下室1层，总建筑面积492.03㎡，建筑高度为21m，功能为消防训练塔。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采购包1（咸丰路特勤站训练塔及附属设施建设项目）：属于专门面向中小企业采购。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1、施工及安全生产：具备建设行政主管部门颁发有效的建筑工程施工总承包三级(含)及以上资质，且具有有效的安全生产许可证。</w:t>
      </w:r>
    </w:p>
    <w:p>
      <w:pPr>
        <w:pStyle w:val="null3"/>
      </w:pPr>
      <w:r>
        <w:rPr>
          <w:rFonts w:ascii="仿宋_GB2312" w:hAnsi="仿宋_GB2312" w:cs="仿宋_GB2312" w:eastAsia="仿宋_GB2312"/>
        </w:rPr>
        <w:t>2、项目经理：项目经理须具有有效的建筑工程专业贰级(含)及以上注册建造师执业资格并具有有效的安全生产考核合格证(B证)，在本单位注册且无在建项目。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采购包1：2,603,283.06元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严格依照招标文件、合同、图纸及现行规范完成全部建设内容，工程质量、材料设备、施工管理、竣工资料及使用功能均达标，履约完整合规即为验收合格。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2,603,283.06</w:t>
      </w:r>
    </w:p>
    <w:p>
      <w:pPr>
        <w:pStyle w:val="null3"/>
      </w:pPr>
      <w:r>
        <w:rPr>
          <w:rFonts w:ascii="仿宋_GB2312" w:hAnsi="仿宋_GB2312" w:cs="仿宋_GB2312" w:eastAsia="仿宋_GB2312"/>
        </w:rPr>
        <w:t>采购包最高限价（元）: 2,603,283.06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训练塔及其附属设施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2,603,283.06</w:t>
            </w:r>
          </w:p>
        </w:tc>
        <w:tc>
          <w:tcPr>
            <w:tcW w:type="dxa" w:w="1384"/>
          </w:tcPr>
          <w:p>
            <w:pPr>
              <w:pStyle w:val="null3"/>
            </w:pPr>
            <w:r>
              <w:rPr>
                <w:rFonts w:ascii="仿宋_GB2312" w:hAnsi="仿宋_GB2312" w:cs="仿宋_GB2312" w:eastAsia="仿宋_GB2312"/>
              </w:rPr>
              <w:t>座</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标的名称：训练塔及其附属设施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具体施工内容详见工程量清单及施工图。合同履行期限90个日历日。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严格按照工程量清单、监理及施工图纸等要求进行施工。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1、施工期间应严格规范作业管理，合理安排施工时段，采取有效降噪、降尘、减振及围挡隔离措施，严禁噪音、扬尘、强光等影响周边居民正常生活与休息，杜绝扰民行为。 2、质保期：本项目整体质保期严格按照国家及行业现行建设工程质量管理相关规定执行，自工程竣工验收合格之日起计算。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施工期间拖欠工资、施工安全、环保及扰民纠纷责任由中标单位自行承担。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2、提供2025年4月至今任意一个月的社会保障资金缴存单据或社保机构开具的社会保险参保缴费情况证明。依法不需要缴纳社会保障资金的投标人应提供相关证明文件； 3、提供2025年4月至今任意一个月的依法缴纳税收的完税证明，完税证明应有税务机关或代收机关的公章或业务专用章。依法免税或无须缴纳税收的投标人，应提供相应证明文件； 4、投标供应商应具备未被列入“信用中国”网站记录的“失信被执行人”或“重大税收违法案件当事人”名单； 5、提供书面声明，包括声明具有履行合同所必需的设备和专业技术能力；未为本项目提供整体设计、规范编制或者项目管理、监理、检测等服务。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（2）其开标前三个月内基本开户银行出具的资信证明；（3）信用担保机构出具的投标担保函。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施工及安全生产</w:t>
            </w:r>
          </w:p>
        </w:tc>
        <w:tc>
          <w:tcPr>
            <w:tcW w:type="dxa" w:w="3322"/>
          </w:tcPr>
          <w:p>
            <w:pPr>
              <w:pStyle w:val="null3"/>
            </w:pPr>
            <w:r>
              <w:rPr>
                <w:rFonts w:ascii="仿宋_GB2312" w:hAnsi="仿宋_GB2312" w:cs="仿宋_GB2312" w:eastAsia="仿宋_GB2312"/>
              </w:rPr>
              <w:t>具备建设行政主管部门颁发有效的建筑工程施工总承包三级(含)及以上资质，且具有有效的安全生产许可证。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项目经理须具有有效的建筑工程专业贰级(含)及以上注册建造师执业资格并具有有效的安全生产考核合格证(B证)，在本单位注册且无在建项目。</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供应商应提交的相关资格证明材料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1、未提供安全生产技术组织措施及管理制度，或内容明显不符合本项目实际。得0分； 2、提供安全生产技术组织措施及管理制度，制度基本健全，安全管理人员配置基本满足要求。得1分； 3、安全生产技术组织措施及管理制度健全，安全管理人员配备齐全、职责明确，符合有关安全技术标准要求。得2分； 4、达到第三要求，且各道工序安全技术措施针对性强，符合实际，满足相关安全技术标准要求。得3分； 5、达到第四要求，且现场防火、安全防护等措施具体、可行，防护设施配置到位，满足施工现场安全管理要求。得5分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1、未提供文明施工及环境保护相关措施。得0分； 2、提供文明施工计划及环境保护措施，内容与本项目特点基本相符。得1分； 3、文明施工及环境保护措施较完善，基本达到“安全文明示范工地”相关要求。得2分 4、达到第三要求，且针对本项目编制了垃圾清运现场环保措施、运输保障措施，内容较具体。得3分； 4、达到第四要求，各项文明施工及环境保护措施周全、具体、有效，能够切实支撑“安全文明示范工地”创建。得4分：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1、未提供施工方案或方案严重缺失。得0分； 2、提供项目实施整体计划及施工方案，内容基本覆盖主要施工内容，技术措施基本满足项目需求。得3分； 3、达到第二要求，施工方案编制依据充分，施工内容及技术措施较为全面、详细，关键工序有专项技术方案。得6分 4、达到第三要求，项目实施整体计划科学合理，施工方案系统完整，技术措施详尽、针对性强，能够全面指导本项目施工。得9分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1、未提供质量保障措施及相关管理制度。得0分； 2、提供工程质量保障措施和质量技术管理机构及制度，质量管理体系基本健全。得3分； 3、达到第二要求，主要工序有明确的质量技术保证措施和控制手段，质量管理流程清晰。得6分； 4、达到第三要求，质量保障措施详尽、可操作性强，质量技术标准不低于采购文件要求，能够有效保障工程质量达标。得9分。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1、未提供施工进度表或施工网络图。得0分； 2、提供施工进度表或施工网络图，主要工序基本齐全，图表基本清晰。得2分； 3、达到第二要求，平行、间歇、搭接时间安排基本合理，关键线路明确。得3分； 4、达到第三要求，图表清晰规范，主要工序全面，平行、间歇、搭接时间安排科学合理，流水节拍设置得当，工期安排满足项目总体进度要求。得5分。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w:t>
            </w:r>
          </w:p>
        </w:tc>
        <w:tc>
          <w:tcPr>
            <w:tcW w:type="dxa" w:w="2492"/>
          </w:tcPr>
          <w:p>
            <w:pPr>
              <w:pStyle w:val="null3"/>
            </w:pPr>
            <w:r>
              <w:rPr>
                <w:rFonts w:ascii="仿宋_GB2312" w:hAnsi="仿宋_GB2312" w:cs="仿宋_GB2312" w:eastAsia="仿宋_GB2312"/>
              </w:rPr>
              <w:t>1、未提供验收相关方案。得0分； 2、提供工程竣工验收、结算、移交的组织措施或配合措施之一，内容基本完整。得1分； 3、提供工程竣工验收、结算、移交的组织措施，内容较完整，具备基本的配合措施。得2分； 4、工程竣工验收、结算、移交的组织措施完整、可操作性强，配合措施具体、响应及时，能够保障项目顺利交付。得3分。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应急</w:t>
            </w:r>
          </w:p>
        </w:tc>
        <w:tc>
          <w:tcPr>
            <w:tcW w:type="dxa" w:w="2492"/>
          </w:tcPr>
          <w:p>
            <w:pPr>
              <w:pStyle w:val="null3"/>
            </w:pPr>
            <w:r>
              <w:rPr>
                <w:rFonts w:ascii="仿宋_GB2312" w:hAnsi="仿宋_GB2312" w:cs="仿宋_GB2312" w:eastAsia="仿宋_GB2312"/>
              </w:rPr>
              <w:t>1、未提供应急处置措施。得0分 2、针对恶劣天气影响、自然灾害、疫情等特殊情况中的任意一项，制定有具体、可行的应急处置措施。得1分 3、针对以上三类特殊情况中的任意两类，分别制定具体、可行的应急处置措施。得2分 4、针对恶劣天气影响、自然灾害、疫情三类特殊情况，均制定有具体、可行的应急处置措施，预案体系完整、响应机制清晰。得3分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针对本项目拟投入劳动力的安排，工种、数量、劳动力水平配置合理，岗位职责、制度合理明确，满足项目需求（0-2分），除项目经理外，拟派项目组人员具备技术负责人提供高级职称或中级职称得2分，不提供不得分；其他人员证书：资料员、质量员、施工员、专职安全员等每提供一个岗位证得1分(岗位证重复不计分)（0-4分），未提供不得分。共计8分。 备注:每个人员须提供提交响应文件截止日前连续三个月的社保缴纳证明，未提供不得分。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拟投入的机械设备、工具</w:t>
            </w:r>
          </w:p>
        </w:tc>
        <w:tc>
          <w:tcPr>
            <w:tcW w:type="dxa" w:w="2492"/>
          </w:tcPr>
          <w:p>
            <w:pPr>
              <w:pStyle w:val="null3"/>
            </w:pPr>
            <w:r>
              <w:rPr>
                <w:rFonts w:ascii="仿宋_GB2312" w:hAnsi="仿宋_GB2312" w:cs="仿宋_GB2312" w:eastAsia="仿宋_GB2312"/>
              </w:rPr>
              <w:t>（一）设备齐全性及佐证资料（0-6分）：供应商须提供拟投入设备工具清单、配置明细、权属/租赁证明、购置票据、实物照片，依据资料完整性、设备种类及配备数量打分，未提供不得分：① 资料齐全、设备种类齐全、数量充足，完全满足项目施工需求：6分；② 资料基本齐全、设备种类齐全、数量可满足主要施工需求：4分；③ 核心资料齐全、少量资料缺失、设备基本满足施工需求：2分；④资料缺失较多、设备种类或数量不足：0分。（二）配置合理性（0-2分）：① 配置科学适配，设备选型、数量完全匹配项目工况及需求：2分；②配置基本合理，可满足项目主要施工需求：1分；③不合理、与项目需求不匹配或未提供方案：0分；未按要求提供相关证明材料的，本大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维保能力</w:t>
            </w:r>
          </w:p>
        </w:tc>
        <w:tc>
          <w:tcPr>
            <w:tcW w:type="dxa" w:w="2492"/>
          </w:tcPr>
          <w:p>
            <w:pPr>
              <w:pStyle w:val="null3"/>
            </w:pPr>
            <w:r>
              <w:rPr>
                <w:rFonts w:ascii="仿宋_GB2312" w:hAnsi="仿宋_GB2312" w:cs="仿宋_GB2312" w:eastAsia="仿宋_GB2312"/>
              </w:rPr>
              <w:t>①响应时效承诺：提供加盖投标人公章的售后服务承诺函，明确项目报修2小时内远程响应、24小时内维保人员抵达现场，得2.5分；未提供承诺或承诺标准达不到上述要求不得分；②免费定期巡检服务承诺：书面承诺每年2次免费上门巡检、防腐养护、安全检测，加盖公章得2.5分；未提供证明材料、无书面承诺对应项不得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以合同或成交（中标）通知书的形式提供投标人近三年(2022年至今)工程施工业绩，每提供一份计1分，计满3分为止，提供不全或不提供不得分。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质量体系认证</w:t>
            </w:r>
          </w:p>
        </w:tc>
        <w:tc>
          <w:tcPr>
            <w:tcW w:type="dxa" w:w="2492"/>
          </w:tcPr>
          <w:p>
            <w:pPr>
              <w:pStyle w:val="null3"/>
            </w:pPr>
            <w:r>
              <w:rPr>
                <w:rFonts w:ascii="仿宋_GB2312" w:hAnsi="仿宋_GB2312" w:cs="仿宋_GB2312" w:eastAsia="仿宋_GB2312"/>
              </w:rPr>
              <w:t>投标人具备有效的ISO9001质量管理体系认证得1分；具备ISO14001环境管理体系认证得1分；具备ISO45001职业健康安全管理体系认证得1分；共3分。证书须在有效期内、可官网核验，缺项不得分。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