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5E42B0">
      <w:pPr>
        <w:pStyle w:val="16"/>
        <w:keepNext w:val="0"/>
        <w:keepLines w:val="0"/>
        <w:pageBreakBefore w:val="0"/>
        <w:widowControl w:val="0"/>
        <w:kinsoku/>
        <w:wordWrap w:val="0"/>
        <w:overflowPunct/>
        <w:topLinePunct w:val="0"/>
        <w:autoSpaceDE/>
        <w:autoSpaceDN/>
        <w:bidi w:val="0"/>
        <w:adjustRightInd/>
        <w:snapToGrid w:val="0"/>
        <w:spacing w:line="360" w:lineRule="auto"/>
        <w:jc w:val="center"/>
        <w:textAlignment w:val="auto"/>
        <w:outlineLvl w:val="1"/>
        <w:rPr>
          <w:rFonts w:hint="eastAsia"/>
          <w:b/>
          <w:sz w:val="32"/>
          <w:szCs w:val="32"/>
        </w:rPr>
      </w:pPr>
      <w:r>
        <w:rPr>
          <w:rFonts w:hint="eastAsia"/>
          <w:b/>
          <w:sz w:val="32"/>
          <w:szCs w:val="32"/>
        </w:rPr>
        <w:t>拟签订采购合同文本</w:t>
      </w:r>
    </w:p>
    <w:p w14:paraId="2A83E55B">
      <w:pPr>
        <w:spacing w:line="560" w:lineRule="exact"/>
        <w:rPr>
          <w:rFonts w:hint="eastAsia" w:ascii="宋体" w:hAnsi="宋体" w:eastAsia="宋体" w:cs="宋体"/>
          <w:sz w:val="24"/>
          <w:szCs w:val="24"/>
        </w:rPr>
      </w:pPr>
      <w:r>
        <w:rPr>
          <w:rFonts w:hint="eastAsia" w:ascii="宋体" w:hAnsi="宋体" w:eastAsia="宋体" w:cs="宋体"/>
          <w:sz w:val="24"/>
          <w:szCs w:val="24"/>
        </w:rPr>
        <w:t>甲方（采购人）：_____________________________________</w:t>
      </w:r>
    </w:p>
    <w:p w14:paraId="5E72A145">
      <w:pPr>
        <w:spacing w:line="560" w:lineRule="exact"/>
        <w:rPr>
          <w:rFonts w:hint="eastAsia" w:ascii="宋体" w:hAnsi="宋体" w:eastAsia="宋体" w:cs="宋体"/>
          <w:sz w:val="24"/>
          <w:szCs w:val="24"/>
        </w:rPr>
      </w:pPr>
      <w:r>
        <w:rPr>
          <w:rFonts w:hint="eastAsia" w:ascii="宋体" w:hAnsi="宋体" w:eastAsia="宋体" w:cs="宋体"/>
          <w:sz w:val="24"/>
          <w:szCs w:val="24"/>
        </w:rPr>
        <w:t>甲方住所：___________________________________________</w:t>
      </w:r>
    </w:p>
    <w:p w14:paraId="1F4BC60D">
      <w:pPr>
        <w:spacing w:line="560" w:lineRule="exact"/>
        <w:rPr>
          <w:rFonts w:hint="eastAsia" w:ascii="宋体" w:hAnsi="宋体" w:eastAsia="宋体" w:cs="宋体"/>
          <w:sz w:val="24"/>
          <w:szCs w:val="24"/>
        </w:rPr>
      </w:pPr>
      <w:r>
        <w:rPr>
          <w:rFonts w:hint="eastAsia" w:ascii="宋体" w:hAnsi="宋体" w:eastAsia="宋体" w:cs="宋体"/>
          <w:sz w:val="24"/>
          <w:szCs w:val="24"/>
        </w:rPr>
        <w:t>乙方（中标供应商）：_________________________________</w:t>
      </w:r>
    </w:p>
    <w:p w14:paraId="3D568539">
      <w:pPr>
        <w:spacing w:line="560" w:lineRule="exact"/>
        <w:rPr>
          <w:rFonts w:hint="eastAsia" w:ascii="宋体" w:hAnsi="宋体" w:eastAsia="宋体" w:cs="宋体"/>
          <w:sz w:val="24"/>
          <w:szCs w:val="24"/>
        </w:rPr>
      </w:pPr>
      <w:r>
        <w:rPr>
          <w:rFonts w:hint="eastAsia" w:ascii="宋体" w:hAnsi="宋体" w:eastAsia="宋体" w:cs="宋体"/>
          <w:sz w:val="24"/>
          <w:szCs w:val="24"/>
        </w:rPr>
        <w:t>乙方住所：___________________________________________</w:t>
      </w:r>
    </w:p>
    <w:p w14:paraId="63DBFC2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根据《中华人民共和国政府采购法》及实施条例、《中华人民共和国民法典》和</w:t>
      </w:r>
      <w:r>
        <w:rPr>
          <w:rFonts w:hint="eastAsia" w:ascii="宋体" w:hAnsi="宋体" w:cs="宋体"/>
          <w:sz w:val="24"/>
          <w:szCs w:val="24"/>
          <w:lang w:eastAsia="zh-CN"/>
        </w:rPr>
        <w:t>（</w:t>
      </w:r>
      <w:r>
        <w:rPr>
          <w:rFonts w:hint="eastAsia" w:ascii="宋体" w:hAnsi="宋体" w:eastAsia="宋体" w:cs="宋体"/>
          <w:sz w:val="24"/>
          <w:szCs w:val="24"/>
        </w:rPr>
        <w:t>项目名称</w:t>
      </w:r>
      <w:r>
        <w:rPr>
          <w:rFonts w:hint="eastAsia" w:ascii="宋体" w:hAnsi="宋体" w:cs="宋体"/>
          <w:sz w:val="24"/>
          <w:szCs w:val="24"/>
          <w:lang w:eastAsia="zh-CN"/>
        </w:rPr>
        <w:t>：）</w:t>
      </w:r>
      <w:r>
        <w:rPr>
          <w:rFonts w:hint="eastAsia" w:ascii="宋体" w:hAnsi="宋体" w:eastAsia="宋体" w:cs="宋体"/>
          <w:sz w:val="24"/>
          <w:szCs w:val="24"/>
        </w:rPr>
        <w:t>（项目编号：）的招标文件、投标文件等有关规定，为确保甲方采购项目的顺利实施，甲、乙双方在平等自愿原则下签订本合同，并共同遵守如下条款：</w:t>
      </w:r>
    </w:p>
    <w:p w14:paraId="14F3F655">
      <w:pPr>
        <w:spacing w:line="560" w:lineRule="exact"/>
        <w:ind w:firstLine="482" w:firstLineChars="200"/>
        <w:jc w:val="both"/>
        <w:rPr>
          <w:rFonts w:hint="eastAsia" w:ascii="宋体" w:hAnsi="宋体" w:eastAsia="宋体" w:cs="宋体"/>
          <w:sz w:val="24"/>
          <w:szCs w:val="24"/>
        </w:rPr>
      </w:pPr>
      <w:r>
        <w:rPr>
          <w:rFonts w:hint="eastAsia" w:ascii="宋体" w:hAnsi="宋体" w:eastAsia="宋体" w:cs="宋体"/>
          <w:b/>
          <w:bCs/>
          <w:sz w:val="24"/>
          <w:szCs w:val="24"/>
        </w:rPr>
        <w:t>第一条  项目基本情况</w:t>
      </w:r>
      <w:bookmarkStart w:id="0" w:name="_GoBack"/>
      <w:bookmarkEnd w:id="0"/>
    </w:p>
    <w:p w14:paraId="713E6CBC">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采购标的：</w:t>
      </w:r>
    </w:p>
    <w:p w14:paraId="04B627E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数量：</w:t>
      </w:r>
    </w:p>
    <w:p w14:paraId="7E4A98FB">
      <w:pPr>
        <w:spacing w:line="560" w:lineRule="exact"/>
        <w:ind w:firstLine="482" w:firstLineChars="200"/>
        <w:jc w:val="both"/>
        <w:rPr>
          <w:rFonts w:hint="eastAsia" w:ascii="宋体" w:hAnsi="宋体" w:eastAsia="宋体" w:cs="宋体"/>
          <w:b/>
          <w:bCs/>
          <w:sz w:val="24"/>
          <w:szCs w:val="24"/>
          <w:lang w:val="en-US" w:eastAsia="zh-CN"/>
        </w:rPr>
      </w:pPr>
      <w:r>
        <w:rPr>
          <w:rFonts w:hint="eastAsia" w:ascii="宋体" w:hAnsi="宋体" w:eastAsia="宋体" w:cs="宋体"/>
          <w:b/>
          <w:bCs/>
          <w:sz w:val="24"/>
          <w:szCs w:val="24"/>
        </w:rPr>
        <w:t xml:space="preserve">第二条  </w:t>
      </w:r>
      <w:r>
        <w:rPr>
          <w:rFonts w:hint="eastAsia" w:ascii="宋体" w:hAnsi="宋体" w:eastAsia="宋体" w:cs="宋体"/>
          <w:b/>
          <w:bCs/>
          <w:sz w:val="24"/>
          <w:szCs w:val="24"/>
          <w:lang w:val="en-US" w:eastAsia="zh-CN"/>
        </w:rPr>
        <w:t>交货</w:t>
      </w:r>
      <w:r>
        <w:rPr>
          <w:rFonts w:hint="eastAsia" w:ascii="宋体" w:hAnsi="宋体" w:eastAsia="宋体" w:cs="宋体"/>
          <w:b/>
          <w:bCs/>
          <w:sz w:val="24"/>
          <w:szCs w:val="24"/>
        </w:rPr>
        <w:t>期限、地点及方式</w:t>
      </w: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质保期</w:t>
      </w:r>
    </w:p>
    <w:p w14:paraId="2DD7FD22">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.交货</w:t>
      </w:r>
      <w:r>
        <w:rPr>
          <w:rFonts w:hint="eastAsia" w:ascii="宋体" w:hAnsi="宋体" w:eastAsia="宋体" w:cs="宋体"/>
          <w:sz w:val="24"/>
          <w:szCs w:val="24"/>
        </w:rPr>
        <w:t>期限：</w:t>
      </w:r>
    </w:p>
    <w:p w14:paraId="6F9DF69F">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.交货</w:t>
      </w:r>
      <w:r>
        <w:rPr>
          <w:rFonts w:hint="eastAsia" w:ascii="宋体" w:hAnsi="宋体" w:eastAsia="宋体" w:cs="宋体"/>
          <w:sz w:val="24"/>
          <w:szCs w:val="24"/>
        </w:rPr>
        <w:t>地点：</w:t>
      </w:r>
    </w:p>
    <w:p w14:paraId="6AAE4C3B">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.交货</w:t>
      </w:r>
      <w:r>
        <w:rPr>
          <w:rFonts w:hint="eastAsia" w:ascii="宋体" w:hAnsi="宋体" w:eastAsia="宋体" w:cs="宋体"/>
          <w:sz w:val="24"/>
          <w:szCs w:val="24"/>
        </w:rPr>
        <w:t>方式：</w:t>
      </w:r>
    </w:p>
    <w:p w14:paraId="5A24FB1E">
      <w:pPr>
        <w:spacing w:line="560" w:lineRule="exact"/>
        <w:ind w:firstLine="480" w:firstLineChars="20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4.质保期：</w:t>
      </w:r>
    </w:p>
    <w:p w14:paraId="09F18BE4">
      <w:pPr>
        <w:spacing w:line="560" w:lineRule="exact"/>
        <w:ind w:firstLine="482" w:firstLineChars="200"/>
        <w:jc w:val="both"/>
        <w:rPr>
          <w:rFonts w:hint="eastAsia" w:ascii="宋体" w:hAnsi="宋体" w:eastAsia="宋体" w:cs="宋体"/>
          <w:b/>
          <w:bCs/>
          <w:sz w:val="24"/>
          <w:szCs w:val="24"/>
        </w:rPr>
      </w:pPr>
      <w:r>
        <w:rPr>
          <w:rFonts w:hint="eastAsia" w:ascii="宋体" w:hAnsi="宋体" w:eastAsia="宋体" w:cs="宋体"/>
          <w:b/>
          <w:bCs/>
          <w:sz w:val="24"/>
          <w:szCs w:val="24"/>
        </w:rPr>
        <w:t>第三条  质量标准</w:t>
      </w:r>
    </w:p>
    <w:p w14:paraId="5897929A">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整个项目应符合国家有关行业规范和标准，包括但不限于：</w:t>
      </w:r>
    </w:p>
    <w:p w14:paraId="6AAD15EA">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GB/T</w:t>
      </w:r>
    </w:p>
    <w:p w14:paraId="7F9F59B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w:t>
      </w:r>
    </w:p>
    <w:p w14:paraId="48A36065">
      <w:pPr>
        <w:spacing w:line="560" w:lineRule="exact"/>
        <w:ind w:firstLine="482" w:firstLineChars="200"/>
        <w:jc w:val="both"/>
        <w:rPr>
          <w:rFonts w:hint="eastAsia" w:ascii="宋体" w:hAnsi="宋体" w:eastAsia="宋体" w:cs="宋体"/>
          <w:b/>
          <w:bCs/>
          <w:sz w:val="24"/>
          <w:szCs w:val="24"/>
        </w:rPr>
      </w:pPr>
      <w:r>
        <w:rPr>
          <w:rFonts w:hint="eastAsia" w:ascii="宋体" w:hAnsi="宋体" w:eastAsia="宋体" w:cs="宋体"/>
          <w:b/>
          <w:bCs/>
          <w:sz w:val="24"/>
          <w:szCs w:val="24"/>
        </w:rPr>
        <w:t>第四条  合同价款及支付方式</w:t>
      </w:r>
    </w:p>
    <w:p w14:paraId="5BCE4882">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lang w:val="en-US" w:eastAsia="zh-CN"/>
        </w:rPr>
        <w:t>.</w:t>
      </w:r>
      <w:r>
        <w:rPr>
          <w:rFonts w:hint="eastAsia" w:ascii="宋体" w:hAnsi="宋体" w:eastAsia="宋体" w:cs="宋体"/>
          <w:sz w:val="24"/>
          <w:szCs w:val="24"/>
        </w:rPr>
        <w:t>合同价款包括：</w:t>
      </w:r>
    </w:p>
    <w:p w14:paraId="34FF21DB">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val="en-US" w:eastAsia="zh-CN"/>
        </w:rPr>
        <w:t>.</w:t>
      </w:r>
      <w:r>
        <w:rPr>
          <w:rFonts w:hint="eastAsia" w:ascii="宋体" w:hAnsi="宋体" w:eastAsia="宋体" w:cs="宋体"/>
          <w:sz w:val="24"/>
          <w:szCs w:val="24"/>
        </w:rPr>
        <w:t>支付方式：</w:t>
      </w:r>
    </w:p>
    <w:p w14:paraId="4D3247C7">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w:t>
      </w:r>
      <w:r>
        <w:rPr>
          <w:rFonts w:hint="eastAsia" w:ascii="宋体" w:hAnsi="宋体" w:eastAsia="宋体" w:cs="宋体"/>
          <w:sz w:val="24"/>
          <w:szCs w:val="24"/>
          <w:lang w:val="en-US" w:eastAsia="zh-CN"/>
        </w:rPr>
        <w:t>.</w:t>
      </w:r>
      <w:r>
        <w:rPr>
          <w:rFonts w:hint="eastAsia" w:ascii="宋体" w:hAnsi="宋体" w:eastAsia="宋体" w:cs="宋体"/>
          <w:sz w:val="24"/>
          <w:szCs w:val="24"/>
        </w:rPr>
        <w:t>结算方式：银行转账。</w:t>
      </w:r>
    </w:p>
    <w:p w14:paraId="04C167FE">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4．结算单位：由甲方负责结算，乙方须向甲方出具合法有效的完税发票，甲方进行支付结算。</w:t>
      </w:r>
    </w:p>
    <w:p w14:paraId="5CD64D3A">
      <w:pPr>
        <w:spacing w:line="560" w:lineRule="exact"/>
        <w:ind w:firstLine="482" w:firstLineChars="200"/>
        <w:jc w:val="both"/>
        <w:rPr>
          <w:rFonts w:hint="eastAsia" w:ascii="宋体" w:hAnsi="宋体" w:eastAsia="宋体" w:cs="宋体"/>
          <w:b/>
          <w:bCs/>
          <w:sz w:val="24"/>
          <w:szCs w:val="24"/>
        </w:rPr>
      </w:pPr>
      <w:r>
        <w:rPr>
          <w:rFonts w:hint="eastAsia" w:ascii="宋体" w:hAnsi="宋体" w:eastAsia="宋体" w:cs="宋体"/>
          <w:b/>
          <w:bCs/>
          <w:sz w:val="24"/>
          <w:szCs w:val="24"/>
        </w:rPr>
        <w:t>第五条  验收标准及条件</w:t>
      </w:r>
    </w:p>
    <w:p w14:paraId="05E8E28C">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1．初步验收：</w:t>
      </w:r>
    </w:p>
    <w:p w14:paraId="7F4DBE94">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2．最终验收：</w:t>
      </w:r>
    </w:p>
    <w:p w14:paraId="2A07AB90">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3．验收依据：</w:t>
      </w:r>
    </w:p>
    <w:p w14:paraId="3860754C">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（1）招标文件、投标文件、澄清表（函）；</w:t>
      </w:r>
    </w:p>
    <w:p w14:paraId="546E2692">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（2）本合同及附件文本；</w:t>
      </w:r>
    </w:p>
    <w:p w14:paraId="481C44D2">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（3）合同签订时国家及行业现行的标准和技术规范。</w:t>
      </w:r>
    </w:p>
    <w:p w14:paraId="2439B1FB">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4．中标供应商应向采购人提交项目实施过程中的所有资料，以便采购人日后管理和维护。</w:t>
      </w:r>
    </w:p>
    <w:p w14:paraId="4715FD3B">
      <w:pPr>
        <w:spacing w:line="560" w:lineRule="exact"/>
        <w:ind w:firstLine="482" w:firstLineChars="200"/>
        <w:jc w:val="both"/>
        <w:rPr>
          <w:rFonts w:hint="eastAsia" w:ascii="宋体" w:hAnsi="宋体" w:eastAsia="宋体" w:cs="宋体"/>
          <w:b/>
          <w:bCs/>
          <w:sz w:val="24"/>
          <w:szCs w:val="24"/>
        </w:rPr>
      </w:pPr>
      <w:r>
        <w:rPr>
          <w:rFonts w:hint="eastAsia" w:ascii="宋体" w:hAnsi="宋体" w:eastAsia="宋体" w:cs="宋体"/>
          <w:b/>
          <w:bCs/>
          <w:sz w:val="24"/>
          <w:szCs w:val="24"/>
        </w:rPr>
        <w:t>第六条  知识产权（若有）</w:t>
      </w:r>
    </w:p>
    <w:p w14:paraId="1728DA8F">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乙方应保证所提供的服务或其任何一部分均不会侵犯任何第三方的专利权、商标权或著作权。</w:t>
      </w:r>
    </w:p>
    <w:p w14:paraId="41695523">
      <w:pPr>
        <w:spacing w:line="560" w:lineRule="exact"/>
        <w:ind w:firstLine="482" w:firstLineChars="200"/>
        <w:jc w:val="both"/>
        <w:rPr>
          <w:rFonts w:hint="eastAsia" w:ascii="宋体" w:hAnsi="宋体" w:eastAsia="宋体" w:cs="宋体"/>
          <w:b/>
          <w:bCs/>
          <w:sz w:val="24"/>
          <w:szCs w:val="24"/>
        </w:rPr>
      </w:pPr>
      <w:r>
        <w:rPr>
          <w:rFonts w:hint="eastAsia" w:ascii="宋体" w:hAnsi="宋体" w:eastAsia="宋体" w:cs="宋体"/>
          <w:b/>
          <w:bCs/>
          <w:sz w:val="24"/>
          <w:szCs w:val="24"/>
        </w:rPr>
        <w:t>第七条  无产权瑕疵条款（若有）</w:t>
      </w:r>
    </w:p>
    <w:p w14:paraId="11F0C77F">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乙方保证所提供的服务的所有权完全属于乙方且无任何抵押、查封等产权瑕疵。如有产权瑕疵的，视为乙方违约。乙方应负担由此而产生的一切损失。</w:t>
      </w:r>
    </w:p>
    <w:p w14:paraId="79F23966">
      <w:pPr>
        <w:spacing w:line="560" w:lineRule="exact"/>
        <w:ind w:firstLine="482" w:firstLineChars="200"/>
        <w:jc w:val="both"/>
        <w:rPr>
          <w:rFonts w:hint="eastAsia" w:ascii="宋体" w:hAnsi="宋体" w:eastAsia="宋体" w:cs="宋体"/>
          <w:b/>
          <w:bCs/>
          <w:sz w:val="24"/>
          <w:szCs w:val="24"/>
        </w:rPr>
      </w:pPr>
      <w:r>
        <w:rPr>
          <w:rFonts w:hint="eastAsia" w:ascii="宋体" w:hAnsi="宋体" w:eastAsia="宋体" w:cs="宋体"/>
          <w:b/>
          <w:bCs/>
          <w:sz w:val="24"/>
          <w:szCs w:val="24"/>
        </w:rPr>
        <w:t>第八条  履约保证金（若有）</w:t>
      </w:r>
    </w:p>
    <w:p w14:paraId="5F44860F">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1．乙方在签订本合同之前，向甲方构提交履约保证金人民币______元，￥______。</w:t>
      </w:r>
    </w:p>
    <w:p w14:paraId="5429C968">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2．履约保证金的有效期为乙方承诺的服务期限。</w:t>
      </w:r>
    </w:p>
    <w:p w14:paraId="6DFB3CF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3．履约保证金作为违约金的一部分及用于补偿甲方因乙方不能履行合同义务而蒙受的损失。</w:t>
      </w:r>
    </w:p>
    <w:p w14:paraId="0715C19B">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4．服务期限结束后，甲方财务部门接到甲方确认本合同服务等约定事项已经履行完毕的正式书面文件后的___日历日内，向乙方退还履约保证金。</w:t>
      </w:r>
    </w:p>
    <w:p w14:paraId="1792BE10">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5．乙方可以履约担保函的形式交纳履约保证金。</w:t>
      </w:r>
    </w:p>
    <w:p w14:paraId="6465CA15">
      <w:pPr>
        <w:spacing w:line="560" w:lineRule="exact"/>
        <w:ind w:firstLine="482" w:firstLineChars="200"/>
        <w:jc w:val="both"/>
        <w:rPr>
          <w:rFonts w:hint="eastAsia" w:ascii="宋体" w:hAnsi="宋体" w:eastAsia="宋体" w:cs="宋体"/>
          <w:b/>
          <w:bCs/>
          <w:sz w:val="24"/>
          <w:szCs w:val="24"/>
        </w:rPr>
      </w:pPr>
      <w:r>
        <w:rPr>
          <w:rFonts w:hint="eastAsia" w:ascii="宋体" w:hAnsi="宋体" w:eastAsia="宋体" w:cs="宋体"/>
          <w:b/>
          <w:bCs/>
          <w:sz w:val="24"/>
          <w:szCs w:val="24"/>
        </w:rPr>
        <w:t>第九条  双方的权利和义务</w:t>
      </w:r>
    </w:p>
    <w:p w14:paraId="69B73201">
      <w:pPr>
        <w:pStyle w:val="17"/>
        <w:spacing w:before="210" w:after="210"/>
        <w:ind w:firstLine="640"/>
        <w:rPr>
          <w:rFonts w:hint="eastAsia" w:ascii="宋体" w:hAnsi="宋体" w:eastAsia="宋体" w:cs="宋体"/>
          <w:sz w:val="24"/>
          <w:szCs w:val="24"/>
        </w:rPr>
      </w:pPr>
      <w:r>
        <w:rPr>
          <w:rFonts w:hint="eastAsia" w:ascii="宋体" w:hAnsi="宋体" w:eastAsia="宋体" w:cs="宋体"/>
          <w:sz w:val="24"/>
          <w:szCs w:val="24"/>
        </w:rPr>
        <w:t>（一）甲方的权利和义务</w:t>
      </w:r>
    </w:p>
    <w:p w14:paraId="2C976C62">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1．甲方有权对合同规定范围内乙方的服务行为进行监督和检查，拥有监管权。有权定期核对乙方提供服务所配备的人员数量。对甲方认为不合理的部分有权下达整改通知书，并要求乙方限期整改。</w:t>
      </w:r>
    </w:p>
    <w:p w14:paraId="151CBB2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2．甲方有权依据双方签订的考评办法对乙方提供的服务进行定期考评。</w:t>
      </w:r>
    </w:p>
    <w:p w14:paraId="452EA54C">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3．负责检查监督乙方管理工作的实施及制度的执行情况。</w:t>
      </w:r>
    </w:p>
    <w:p w14:paraId="1DD60FA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4．根据本合同规定，按时向乙方支付应付服务费用。</w:t>
      </w:r>
    </w:p>
    <w:p w14:paraId="5352A8AA">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5．验收应在甲方和乙方双方共同参加下进行。甲方组成验收小组按国家有关规定、规范进行验收，验收时将会邀请相关的专业人员或机构参与验收。</w:t>
      </w:r>
    </w:p>
    <w:p w14:paraId="0F0644DF">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6．国家法律、法规所规定由甲方承担的其它责任。</w:t>
      </w:r>
    </w:p>
    <w:p w14:paraId="46A4E28E">
      <w:pPr>
        <w:pStyle w:val="17"/>
        <w:spacing w:before="210" w:after="210"/>
        <w:ind w:firstLine="640"/>
        <w:rPr>
          <w:rFonts w:hint="eastAsia" w:ascii="宋体" w:hAnsi="宋体" w:eastAsia="宋体" w:cs="宋体"/>
          <w:sz w:val="24"/>
          <w:szCs w:val="24"/>
        </w:rPr>
      </w:pPr>
      <w:r>
        <w:rPr>
          <w:rFonts w:hint="eastAsia" w:ascii="宋体" w:hAnsi="宋体" w:eastAsia="宋体" w:cs="宋体"/>
          <w:sz w:val="24"/>
          <w:szCs w:val="24"/>
        </w:rPr>
        <w:t>（二）乙方的权利和义务</w:t>
      </w:r>
    </w:p>
    <w:p w14:paraId="4BBDC312">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1．对本合同规定的委托服务范围内的项目享有管理权及服务义务。</w:t>
      </w:r>
    </w:p>
    <w:p w14:paraId="531585BB">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2．根据本合同的规定向甲方收取相关服务费用，并有权在本项目管理范围内管理及合理使用。</w:t>
      </w:r>
    </w:p>
    <w:p w14:paraId="7D162273">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3．及时向甲方通告本项目服务范围内有关服务的重大事项，及时配合处理投诉。</w:t>
      </w:r>
    </w:p>
    <w:p w14:paraId="4F8C5842">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4．接受项目行业管理部门及政府有关部门的指导，接受甲方的监督。</w:t>
      </w:r>
    </w:p>
    <w:p w14:paraId="1BFADAE2">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5．国家法律、法规所规定由乙方承担的其它责任。</w:t>
      </w:r>
    </w:p>
    <w:p w14:paraId="5CB1CA07">
      <w:pPr>
        <w:spacing w:line="560" w:lineRule="exact"/>
        <w:ind w:firstLine="482" w:firstLineChars="200"/>
        <w:jc w:val="both"/>
        <w:rPr>
          <w:rFonts w:hint="eastAsia" w:ascii="宋体" w:hAnsi="宋体" w:eastAsia="宋体" w:cs="宋体"/>
          <w:b/>
          <w:bCs/>
          <w:sz w:val="24"/>
          <w:szCs w:val="24"/>
        </w:rPr>
      </w:pPr>
      <w:r>
        <w:rPr>
          <w:rFonts w:hint="eastAsia" w:ascii="宋体" w:hAnsi="宋体" w:eastAsia="宋体" w:cs="宋体"/>
          <w:b/>
          <w:bCs/>
          <w:sz w:val="24"/>
          <w:szCs w:val="24"/>
        </w:rPr>
        <w:t>第十条  违约责任</w:t>
      </w:r>
    </w:p>
    <w:p w14:paraId="392B6076">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1．甲乙双方必须遵守本合同并执行合同中的各项规定，保证本合同的正常履行。</w:t>
      </w:r>
    </w:p>
    <w:p w14:paraId="0E468BA0">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4B5A3C35">
      <w:pPr>
        <w:spacing w:line="560" w:lineRule="exact"/>
        <w:ind w:firstLine="482" w:firstLineChars="200"/>
        <w:jc w:val="both"/>
        <w:rPr>
          <w:rFonts w:hint="eastAsia" w:ascii="宋体" w:hAnsi="宋体" w:eastAsia="宋体" w:cs="宋体"/>
          <w:b/>
          <w:bCs/>
          <w:sz w:val="24"/>
          <w:szCs w:val="24"/>
        </w:rPr>
      </w:pPr>
      <w:r>
        <w:rPr>
          <w:rFonts w:hint="eastAsia" w:ascii="宋体" w:hAnsi="宋体" w:eastAsia="宋体" w:cs="宋体"/>
          <w:b/>
          <w:bCs/>
          <w:sz w:val="24"/>
          <w:szCs w:val="24"/>
        </w:rPr>
        <w:t>第十一条  不可抗力事件处理</w:t>
      </w:r>
    </w:p>
    <w:p w14:paraId="0D5E6E46">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1．在合同有效期内，任何一方因不可抗力事件导致不能履行合同，则合同履行期可延长，其延长期与不可抗力影响期相同。</w:t>
      </w:r>
    </w:p>
    <w:p w14:paraId="6CFF0CCD">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2．不可抗力事件发生后，应立即通知对方，并寄送有关权威机构出具的证明。</w:t>
      </w:r>
    </w:p>
    <w:p w14:paraId="128A9A2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3．不可抗力事件延续15个日历日以上，双方应通过友好协商，确定是否继续履行合同。</w:t>
      </w:r>
    </w:p>
    <w:p w14:paraId="61A34CCF">
      <w:pPr>
        <w:spacing w:line="560" w:lineRule="exact"/>
        <w:ind w:firstLine="482" w:firstLineChars="200"/>
        <w:jc w:val="both"/>
        <w:rPr>
          <w:rFonts w:hint="eastAsia" w:ascii="宋体" w:hAnsi="宋体" w:eastAsia="宋体" w:cs="宋体"/>
          <w:b/>
          <w:bCs/>
          <w:sz w:val="24"/>
          <w:szCs w:val="24"/>
        </w:rPr>
      </w:pPr>
      <w:r>
        <w:rPr>
          <w:rFonts w:hint="eastAsia" w:ascii="宋体" w:hAnsi="宋体" w:eastAsia="宋体" w:cs="宋体"/>
          <w:b/>
          <w:bCs/>
          <w:sz w:val="24"/>
          <w:szCs w:val="24"/>
        </w:rPr>
        <w:t>第十二条  合同的变更和终止</w:t>
      </w:r>
    </w:p>
    <w:p w14:paraId="0DFC0D49">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除《中华人民共和国政府采购法》第49条、第50条第二款规定的情形外，本合同一经签订，甲乙双方不得擅自变更、中止或终止合同。</w:t>
      </w:r>
    </w:p>
    <w:p w14:paraId="2BF83950">
      <w:pPr>
        <w:spacing w:line="560" w:lineRule="exact"/>
        <w:ind w:firstLine="482" w:firstLineChars="200"/>
        <w:jc w:val="both"/>
        <w:rPr>
          <w:rFonts w:hint="eastAsia" w:ascii="宋体" w:hAnsi="宋体" w:eastAsia="宋体" w:cs="宋体"/>
          <w:b/>
          <w:bCs/>
          <w:sz w:val="24"/>
          <w:szCs w:val="24"/>
        </w:rPr>
      </w:pPr>
      <w:r>
        <w:rPr>
          <w:rFonts w:hint="eastAsia" w:ascii="宋体" w:hAnsi="宋体" w:eastAsia="宋体" w:cs="宋体"/>
          <w:b/>
          <w:bCs/>
          <w:sz w:val="24"/>
          <w:szCs w:val="24"/>
        </w:rPr>
        <w:t>第十三条  解决合同纠纷的方式</w:t>
      </w:r>
    </w:p>
    <w:p w14:paraId="7F6D020B">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1．在执行本合同中发生的或与本合同有关的争端，双方应通过友好协商解决，经协商在___天内不能达成协议时，则采取以下第___种方式解决争议：</w:t>
      </w:r>
    </w:p>
    <w:p w14:paraId="4EB14E1F">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（1）向甲方所在地有管辖权的人民法院提起诉讼；</w:t>
      </w:r>
    </w:p>
    <w:p w14:paraId="0AD1786A">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（2）向西安仲裁委员会按其仲裁规则申请仲裁。</w:t>
      </w:r>
    </w:p>
    <w:p w14:paraId="7DDEB795">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2．在仲裁期间，本合同应继续履行。</w:t>
      </w:r>
    </w:p>
    <w:p w14:paraId="37CE8299">
      <w:pPr>
        <w:spacing w:line="560" w:lineRule="exact"/>
        <w:ind w:firstLine="482" w:firstLineChars="200"/>
        <w:jc w:val="both"/>
        <w:rPr>
          <w:rFonts w:hint="eastAsia" w:ascii="宋体" w:hAnsi="宋体" w:eastAsia="宋体" w:cs="宋体"/>
          <w:b/>
          <w:bCs/>
          <w:sz w:val="24"/>
          <w:szCs w:val="24"/>
        </w:rPr>
      </w:pPr>
      <w:r>
        <w:rPr>
          <w:rFonts w:hint="eastAsia" w:ascii="宋体" w:hAnsi="宋体" w:eastAsia="宋体" w:cs="宋体"/>
          <w:b/>
          <w:bCs/>
          <w:sz w:val="24"/>
          <w:szCs w:val="24"/>
        </w:rPr>
        <w:t>第十四条  合同生效及其他</w:t>
      </w:r>
    </w:p>
    <w:p w14:paraId="0BAF5878">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1．合同经双方法定代表人（单位负责人）或授权委托代理人签名并加盖单位公章后生效。</w:t>
      </w:r>
    </w:p>
    <w:p w14:paraId="38880D77">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2．合同执行中涉及采购资金和采购内容修改或补充的，须经政府采购监管部门审批，并签书面补充协议报政府采购监督管理部门备案，方可作为主合同不可分割的一部分。</w:t>
      </w:r>
    </w:p>
    <w:p w14:paraId="05F8AC1B">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3．本合同一式陆份，自双方签章之日起起效。甲方贰份，乙方贰份，政府采购代理机构壹份，同级财政部门备案壹份，具有同等法律效力。</w:t>
      </w:r>
    </w:p>
    <w:p w14:paraId="35733DF2">
      <w:pPr>
        <w:spacing w:line="560" w:lineRule="exact"/>
        <w:ind w:firstLine="482" w:firstLineChars="200"/>
        <w:jc w:val="both"/>
        <w:rPr>
          <w:rFonts w:hint="eastAsia" w:ascii="宋体" w:hAnsi="宋体" w:eastAsia="宋体" w:cs="宋体"/>
          <w:b/>
          <w:bCs/>
          <w:sz w:val="24"/>
          <w:szCs w:val="24"/>
        </w:rPr>
      </w:pPr>
      <w:r>
        <w:rPr>
          <w:rFonts w:hint="eastAsia" w:ascii="宋体" w:hAnsi="宋体" w:eastAsia="宋体" w:cs="宋体"/>
          <w:b/>
          <w:bCs/>
          <w:sz w:val="24"/>
          <w:szCs w:val="24"/>
        </w:rPr>
        <w:t>第十五条  附件</w:t>
      </w:r>
    </w:p>
    <w:p w14:paraId="0F483D31">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1．项目招标文件</w:t>
      </w:r>
    </w:p>
    <w:p w14:paraId="3A0A2DB8">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2．项目修改澄清文件</w:t>
      </w:r>
    </w:p>
    <w:p w14:paraId="4837AA2A">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3．项目投标文件</w:t>
      </w:r>
    </w:p>
    <w:p w14:paraId="60990736">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4．成交通知书</w:t>
      </w:r>
    </w:p>
    <w:p w14:paraId="7A1AF8ED">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5．其他</w:t>
      </w:r>
    </w:p>
    <w:p w14:paraId="4D087AF7">
      <w:pPr>
        <w:spacing w:line="560" w:lineRule="exact"/>
        <w:ind w:firstLine="480" w:firstLineChars="200"/>
        <w:jc w:val="both"/>
        <w:rPr>
          <w:rFonts w:hint="eastAsia" w:ascii="宋体" w:hAnsi="宋体" w:eastAsia="宋体" w:cs="宋体"/>
          <w:sz w:val="24"/>
          <w:szCs w:val="24"/>
        </w:rPr>
      </w:pPr>
    </w:p>
    <w:p w14:paraId="58703496">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（以下无正文）</w:t>
      </w:r>
    </w:p>
    <w:p w14:paraId="34AB9B36">
      <w:pPr>
        <w:spacing w:line="560" w:lineRule="exact"/>
        <w:ind w:firstLine="480" w:firstLineChars="200"/>
        <w:jc w:val="both"/>
        <w:rPr>
          <w:rFonts w:hint="eastAsia" w:ascii="宋体" w:hAnsi="宋体" w:eastAsia="宋体" w:cs="宋体"/>
          <w:sz w:val="24"/>
          <w:szCs w:val="24"/>
        </w:rPr>
      </w:pPr>
    </w:p>
    <w:tbl>
      <w:tblPr>
        <w:tblStyle w:val="11"/>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2"/>
        <w:gridCol w:w="2672"/>
        <w:gridCol w:w="1762"/>
        <w:gridCol w:w="2672"/>
      </w:tblGrid>
      <w:tr w14:paraId="6C67A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737CB08C">
            <w:pPr>
              <w:jc w:val="center"/>
              <w:rPr>
                <w:rFonts w:hint="eastAsia" w:ascii="宋体" w:hAnsi="宋体" w:eastAsia="宋体" w:cs="宋体"/>
                <w:sz w:val="24"/>
                <w:szCs w:val="24"/>
              </w:rPr>
            </w:pPr>
            <w:r>
              <w:rPr>
                <w:rFonts w:hint="eastAsia" w:ascii="宋体" w:hAnsi="宋体" w:eastAsia="宋体" w:cs="宋体"/>
                <w:sz w:val="24"/>
                <w:szCs w:val="24"/>
              </w:rPr>
              <w:t>甲方</w:t>
            </w:r>
          </w:p>
          <w:p w14:paraId="7D063C0E">
            <w:pPr>
              <w:jc w:val="center"/>
              <w:rPr>
                <w:rFonts w:hint="eastAsia" w:ascii="宋体" w:hAnsi="宋体" w:eastAsia="宋体" w:cs="宋体"/>
                <w:sz w:val="24"/>
                <w:szCs w:val="24"/>
              </w:rPr>
            </w:pPr>
            <w:r>
              <w:rPr>
                <w:rFonts w:hint="eastAsia" w:ascii="宋体" w:hAnsi="宋体" w:eastAsia="宋体" w:cs="宋体"/>
                <w:sz w:val="24"/>
                <w:szCs w:val="24"/>
              </w:rPr>
              <w:t>（盖章）：</w:t>
            </w:r>
          </w:p>
        </w:tc>
        <w:tc>
          <w:tcPr>
            <w:tcW w:w="2494" w:type="dxa"/>
            <w:vAlign w:val="center"/>
          </w:tcPr>
          <w:p w14:paraId="13762BF6">
            <w:pPr>
              <w:jc w:val="center"/>
              <w:rPr>
                <w:rFonts w:hint="eastAsia" w:ascii="宋体" w:hAnsi="宋体" w:eastAsia="宋体" w:cs="宋体"/>
                <w:sz w:val="24"/>
                <w:szCs w:val="24"/>
              </w:rPr>
            </w:pPr>
          </w:p>
        </w:tc>
        <w:tc>
          <w:tcPr>
            <w:tcW w:w="1644" w:type="dxa"/>
            <w:vAlign w:val="center"/>
          </w:tcPr>
          <w:p w14:paraId="7934B6BB">
            <w:pPr>
              <w:jc w:val="center"/>
              <w:rPr>
                <w:rFonts w:hint="eastAsia" w:ascii="宋体" w:hAnsi="宋体" w:eastAsia="宋体" w:cs="宋体"/>
                <w:sz w:val="24"/>
                <w:szCs w:val="24"/>
              </w:rPr>
            </w:pPr>
            <w:r>
              <w:rPr>
                <w:rFonts w:hint="eastAsia" w:ascii="宋体" w:hAnsi="宋体" w:eastAsia="宋体" w:cs="宋体"/>
                <w:sz w:val="24"/>
                <w:szCs w:val="24"/>
              </w:rPr>
              <w:t>乙方</w:t>
            </w:r>
          </w:p>
          <w:p w14:paraId="4E9624B6">
            <w:pPr>
              <w:jc w:val="center"/>
              <w:rPr>
                <w:rFonts w:hint="eastAsia" w:ascii="宋体" w:hAnsi="宋体" w:eastAsia="宋体" w:cs="宋体"/>
                <w:sz w:val="24"/>
                <w:szCs w:val="24"/>
              </w:rPr>
            </w:pPr>
            <w:r>
              <w:rPr>
                <w:rFonts w:hint="eastAsia" w:ascii="宋体" w:hAnsi="宋体" w:eastAsia="宋体" w:cs="宋体"/>
                <w:sz w:val="24"/>
                <w:szCs w:val="24"/>
              </w:rPr>
              <w:t>（盖章）：</w:t>
            </w:r>
          </w:p>
        </w:tc>
        <w:tc>
          <w:tcPr>
            <w:tcW w:w="2494" w:type="dxa"/>
            <w:vAlign w:val="center"/>
          </w:tcPr>
          <w:p w14:paraId="000CD7F1">
            <w:pPr>
              <w:jc w:val="center"/>
              <w:rPr>
                <w:rFonts w:hint="eastAsia" w:ascii="宋体" w:hAnsi="宋体" w:eastAsia="宋体" w:cs="宋体"/>
                <w:sz w:val="24"/>
                <w:szCs w:val="24"/>
              </w:rPr>
            </w:pPr>
          </w:p>
        </w:tc>
      </w:tr>
      <w:tr w14:paraId="62AD7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3E6DFF07">
            <w:pPr>
              <w:jc w:val="center"/>
              <w:rPr>
                <w:rFonts w:hint="eastAsia" w:ascii="宋体" w:hAnsi="宋体" w:eastAsia="宋体" w:cs="宋体"/>
                <w:sz w:val="24"/>
                <w:szCs w:val="24"/>
              </w:rPr>
            </w:pPr>
            <w:r>
              <w:rPr>
                <w:rFonts w:hint="eastAsia" w:ascii="宋体" w:hAnsi="宋体" w:eastAsia="宋体" w:cs="宋体"/>
                <w:sz w:val="24"/>
                <w:szCs w:val="24"/>
              </w:rPr>
              <w:t>法定代表人</w:t>
            </w:r>
          </w:p>
          <w:p w14:paraId="0DD0264E">
            <w:pPr>
              <w:jc w:val="center"/>
              <w:rPr>
                <w:rFonts w:hint="eastAsia" w:ascii="宋体" w:hAnsi="宋体" w:eastAsia="宋体" w:cs="宋体"/>
                <w:sz w:val="24"/>
                <w:szCs w:val="24"/>
              </w:rPr>
            </w:pPr>
            <w:r>
              <w:rPr>
                <w:rFonts w:hint="eastAsia" w:ascii="宋体" w:hAnsi="宋体" w:eastAsia="宋体" w:cs="宋体"/>
                <w:sz w:val="24"/>
                <w:szCs w:val="24"/>
              </w:rPr>
              <w:t>（委托代理人）：</w:t>
            </w:r>
          </w:p>
        </w:tc>
        <w:tc>
          <w:tcPr>
            <w:tcW w:w="2494" w:type="dxa"/>
            <w:vAlign w:val="center"/>
          </w:tcPr>
          <w:p w14:paraId="2CD24109">
            <w:pPr>
              <w:jc w:val="center"/>
              <w:rPr>
                <w:rFonts w:hint="eastAsia" w:ascii="宋体" w:hAnsi="宋体" w:eastAsia="宋体" w:cs="宋体"/>
                <w:sz w:val="24"/>
                <w:szCs w:val="24"/>
              </w:rPr>
            </w:pPr>
          </w:p>
        </w:tc>
        <w:tc>
          <w:tcPr>
            <w:tcW w:w="1644" w:type="dxa"/>
            <w:vAlign w:val="center"/>
          </w:tcPr>
          <w:p w14:paraId="422B5A2B">
            <w:pPr>
              <w:jc w:val="center"/>
              <w:rPr>
                <w:rFonts w:hint="eastAsia" w:ascii="宋体" w:hAnsi="宋体" w:eastAsia="宋体" w:cs="宋体"/>
                <w:sz w:val="24"/>
                <w:szCs w:val="24"/>
              </w:rPr>
            </w:pPr>
            <w:r>
              <w:rPr>
                <w:rFonts w:hint="eastAsia" w:ascii="宋体" w:hAnsi="宋体" w:eastAsia="宋体" w:cs="宋体"/>
                <w:sz w:val="24"/>
                <w:szCs w:val="24"/>
              </w:rPr>
              <w:t>法定代表人</w:t>
            </w:r>
          </w:p>
          <w:p w14:paraId="3401CA86">
            <w:pPr>
              <w:jc w:val="center"/>
              <w:rPr>
                <w:rFonts w:hint="eastAsia" w:ascii="宋体" w:hAnsi="宋体" w:eastAsia="宋体" w:cs="宋体"/>
                <w:sz w:val="24"/>
                <w:szCs w:val="24"/>
              </w:rPr>
            </w:pPr>
            <w:r>
              <w:rPr>
                <w:rFonts w:hint="eastAsia" w:ascii="宋体" w:hAnsi="宋体" w:eastAsia="宋体" w:cs="宋体"/>
                <w:sz w:val="24"/>
                <w:szCs w:val="24"/>
              </w:rPr>
              <w:t>（委托代理人）：</w:t>
            </w:r>
          </w:p>
        </w:tc>
        <w:tc>
          <w:tcPr>
            <w:tcW w:w="2494" w:type="dxa"/>
            <w:vAlign w:val="center"/>
          </w:tcPr>
          <w:p w14:paraId="06A6C3CF">
            <w:pPr>
              <w:jc w:val="center"/>
              <w:rPr>
                <w:rFonts w:hint="eastAsia" w:ascii="宋体" w:hAnsi="宋体" w:eastAsia="宋体" w:cs="宋体"/>
                <w:sz w:val="24"/>
                <w:szCs w:val="24"/>
              </w:rPr>
            </w:pPr>
          </w:p>
        </w:tc>
      </w:tr>
      <w:tr w14:paraId="5DE3A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50C08229">
            <w:pPr>
              <w:jc w:val="center"/>
              <w:rPr>
                <w:rFonts w:hint="eastAsia" w:ascii="宋体" w:hAnsi="宋体" w:eastAsia="宋体" w:cs="宋体"/>
                <w:sz w:val="24"/>
                <w:szCs w:val="24"/>
              </w:rPr>
            </w:pPr>
            <w:r>
              <w:rPr>
                <w:rFonts w:hint="eastAsia" w:ascii="宋体" w:hAnsi="宋体" w:eastAsia="宋体" w:cs="宋体"/>
                <w:sz w:val="24"/>
                <w:szCs w:val="24"/>
              </w:rPr>
              <w:t>地    址：</w:t>
            </w:r>
          </w:p>
        </w:tc>
        <w:tc>
          <w:tcPr>
            <w:tcW w:w="2494" w:type="dxa"/>
            <w:vAlign w:val="center"/>
          </w:tcPr>
          <w:p w14:paraId="79CD80C4">
            <w:pPr>
              <w:jc w:val="center"/>
              <w:rPr>
                <w:rFonts w:hint="eastAsia" w:ascii="宋体" w:hAnsi="宋体" w:eastAsia="宋体" w:cs="宋体"/>
                <w:sz w:val="24"/>
                <w:szCs w:val="24"/>
              </w:rPr>
            </w:pPr>
          </w:p>
        </w:tc>
        <w:tc>
          <w:tcPr>
            <w:tcW w:w="1644" w:type="dxa"/>
            <w:vAlign w:val="center"/>
          </w:tcPr>
          <w:p w14:paraId="2D3E35BD">
            <w:pPr>
              <w:jc w:val="center"/>
              <w:rPr>
                <w:rFonts w:hint="eastAsia" w:ascii="宋体" w:hAnsi="宋体" w:eastAsia="宋体" w:cs="宋体"/>
                <w:sz w:val="24"/>
                <w:szCs w:val="24"/>
              </w:rPr>
            </w:pPr>
            <w:r>
              <w:rPr>
                <w:rFonts w:hint="eastAsia" w:ascii="宋体" w:hAnsi="宋体" w:eastAsia="宋体" w:cs="宋体"/>
                <w:sz w:val="24"/>
                <w:szCs w:val="24"/>
              </w:rPr>
              <w:t>地    址：</w:t>
            </w:r>
          </w:p>
        </w:tc>
        <w:tc>
          <w:tcPr>
            <w:tcW w:w="2494" w:type="dxa"/>
            <w:vAlign w:val="center"/>
          </w:tcPr>
          <w:p w14:paraId="65BD1B8D">
            <w:pPr>
              <w:jc w:val="center"/>
              <w:rPr>
                <w:rFonts w:hint="eastAsia" w:ascii="宋体" w:hAnsi="宋体" w:eastAsia="宋体" w:cs="宋体"/>
                <w:sz w:val="24"/>
                <w:szCs w:val="24"/>
              </w:rPr>
            </w:pPr>
          </w:p>
        </w:tc>
      </w:tr>
      <w:tr w14:paraId="5642F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15F73453">
            <w:pPr>
              <w:jc w:val="center"/>
              <w:rPr>
                <w:rFonts w:hint="eastAsia" w:ascii="宋体" w:hAnsi="宋体" w:eastAsia="宋体" w:cs="宋体"/>
                <w:sz w:val="24"/>
                <w:szCs w:val="24"/>
              </w:rPr>
            </w:pPr>
            <w:r>
              <w:rPr>
                <w:rFonts w:hint="eastAsia" w:ascii="宋体" w:hAnsi="宋体" w:eastAsia="宋体" w:cs="宋体"/>
                <w:sz w:val="24"/>
                <w:szCs w:val="24"/>
              </w:rPr>
              <w:t>开户银行：</w:t>
            </w:r>
          </w:p>
        </w:tc>
        <w:tc>
          <w:tcPr>
            <w:tcW w:w="2494" w:type="dxa"/>
            <w:vAlign w:val="center"/>
          </w:tcPr>
          <w:p w14:paraId="053885EA">
            <w:pPr>
              <w:jc w:val="center"/>
              <w:rPr>
                <w:rFonts w:hint="eastAsia" w:ascii="宋体" w:hAnsi="宋体" w:eastAsia="宋体" w:cs="宋体"/>
                <w:sz w:val="24"/>
                <w:szCs w:val="24"/>
              </w:rPr>
            </w:pPr>
          </w:p>
        </w:tc>
        <w:tc>
          <w:tcPr>
            <w:tcW w:w="1644" w:type="dxa"/>
            <w:vAlign w:val="center"/>
          </w:tcPr>
          <w:p w14:paraId="4169ACBB">
            <w:pPr>
              <w:jc w:val="center"/>
              <w:rPr>
                <w:rFonts w:hint="eastAsia" w:ascii="宋体" w:hAnsi="宋体" w:eastAsia="宋体" w:cs="宋体"/>
                <w:sz w:val="24"/>
                <w:szCs w:val="24"/>
              </w:rPr>
            </w:pPr>
            <w:r>
              <w:rPr>
                <w:rFonts w:hint="eastAsia" w:ascii="宋体" w:hAnsi="宋体" w:eastAsia="宋体" w:cs="宋体"/>
                <w:sz w:val="24"/>
                <w:szCs w:val="24"/>
              </w:rPr>
              <w:t>开户银行：</w:t>
            </w:r>
          </w:p>
        </w:tc>
        <w:tc>
          <w:tcPr>
            <w:tcW w:w="2494" w:type="dxa"/>
            <w:vAlign w:val="center"/>
          </w:tcPr>
          <w:p w14:paraId="158FE0E3">
            <w:pPr>
              <w:jc w:val="center"/>
              <w:rPr>
                <w:rFonts w:hint="eastAsia" w:ascii="宋体" w:hAnsi="宋体" w:eastAsia="宋体" w:cs="宋体"/>
                <w:sz w:val="24"/>
                <w:szCs w:val="24"/>
              </w:rPr>
            </w:pPr>
          </w:p>
        </w:tc>
      </w:tr>
      <w:tr w14:paraId="70C18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64E050FF">
            <w:pPr>
              <w:jc w:val="center"/>
              <w:rPr>
                <w:rFonts w:hint="eastAsia" w:ascii="宋体" w:hAnsi="宋体" w:eastAsia="宋体" w:cs="宋体"/>
                <w:sz w:val="24"/>
                <w:szCs w:val="24"/>
              </w:rPr>
            </w:pPr>
            <w:r>
              <w:rPr>
                <w:rFonts w:hint="eastAsia" w:ascii="宋体" w:hAnsi="宋体" w:eastAsia="宋体" w:cs="宋体"/>
                <w:sz w:val="24"/>
                <w:szCs w:val="24"/>
              </w:rPr>
              <w:t>银行帐号：</w:t>
            </w:r>
          </w:p>
        </w:tc>
        <w:tc>
          <w:tcPr>
            <w:tcW w:w="2494" w:type="dxa"/>
            <w:vAlign w:val="center"/>
          </w:tcPr>
          <w:p w14:paraId="445FDCEC">
            <w:pPr>
              <w:jc w:val="center"/>
              <w:rPr>
                <w:rFonts w:hint="eastAsia" w:ascii="宋体" w:hAnsi="宋体" w:eastAsia="宋体" w:cs="宋体"/>
                <w:sz w:val="24"/>
                <w:szCs w:val="24"/>
              </w:rPr>
            </w:pPr>
          </w:p>
        </w:tc>
        <w:tc>
          <w:tcPr>
            <w:tcW w:w="1644" w:type="dxa"/>
            <w:vAlign w:val="center"/>
          </w:tcPr>
          <w:p w14:paraId="3EFBB541">
            <w:pPr>
              <w:jc w:val="center"/>
              <w:rPr>
                <w:rFonts w:hint="eastAsia" w:ascii="宋体" w:hAnsi="宋体" w:eastAsia="宋体" w:cs="宋体"/>
                <w:sz w:val="24"/>
                <w:szCs w:val="24"/>
              </w:rPr>
            </w:pPr>
            <w:r>
              <w:rPr>
                <w:rFonts w:hint="eastAsia" w:ascii="宋体" w:hAnsi="宋体" w:eastAsia="宋体" w:cs="宋体"/>
                <w:sz w:val="24"/>
                <w:szCs w:val="24"/>
              </w:rPr>
              <w:t>银行帐号：</w:t>
            </w:r>
          </w:p>
        </w:tc>
        <w:tc>
          <w:tcPr>
            <w:tcW w:w="2494" w:type="dxa"/>
            <w:vAlign w:val="center"/>
          </w:tcPr>
          <w:p w14:paraId="6CA9CC54">
            <w:pPr>
              <w:jc w:val="center"/>
              <w:rPr>
                <w:rFonts w:hint="eastAsia" w:ascii="宋体" w:hAnsi="宋体" w:eastAsia="宋体" w:cs="宋体"/>
                <w:sz w:val="24"/>
                <w:szCs w:val="24"/>
              </w:rPr>
            </w:pPr>
          </w:p>
        </w:tc>
      </w:tr>
      <w:tr w14:paraId="6955E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6311DF54">
            <w:pPr>
              <w:jc w:val="center"/>
              <w:rPr>
                <w:rFonts w:hint="eastAsia" w:ascii="宋体" w:hAnsi="宋体" w:eastAsia="宋体" w:cs="宋体"/>
                <w:sz w:val="24"/>
                <w:szCs w:val="24"/>
              </w:rPr>
            </w:pPr>
            <w:r>
              <w:rPr>
                <w:rFonts w:hint="eastAsia" w:ascii="宋体" w:hAnsi="宋体" w:eastAsia="宋体" w:cs="宋体"/>
                <w:sz w:val="24"/>
                <w:szCs w:val="24"/>
              </w:rPr>
              <w:t>电    话：</w:t>
            </w:r>
          </w:p>
        </w:tc>
        <w:tc>
          <w:tcPr>
            <w:tcW w:w="2494" w:type="dxa"/>
            <w:vAlign w:val="center"/>
          </w:tcPr>
          <w:p w14:paraId="71BFFBA1">
            <w:pPr>
              <w:jc w:val="center"/>
              <w:rPr>
                <w:rFonts w:hint="eastAsia" w:ascii="宋体" w:hAnsi="宋体" w:eastAsia="宋体" w:cs="宋体"/>
                <w:sz w:val="24"/>
                <w:szCs w:val="24"/>
              </w:rPr>
            </w:pPr>
          </w:p>
        </w:tc>
        <w:tc>
          <w:tcPr>
            <w:tcW w:w="1644" w:type="dxa"/>
            <w:vAlign w:val="center"/>
          </w:tcPr>
          <w:p w14:paraId="037B1E0E">
            <w:pPr>
              <w:jc w:val="center"/>
              <w:rPr>
                <w:rFonts w:hint="eastAsia" w:ascii="宋体" w:hAnsi="宋体" w:eastAsia="宋体" w:cs="宋体"/>
                <w:sz w:val="24"/>
                <w:szCs w:val="24"/>
              </w:rPr>
            </w:pPr>
            <w:r>
              <w:rPr>
                <w:rFonts w:hint="eastAsia" w:ascii="宋体" w:hAnsi="宋体" w:eastAsia="宋体" w:cs="宋体"/>
                <w:sz w:val="24"/>
                <w:szCs w:val="24"/>
              </w:rPr>
              <w:t>电    话：</w:t>
            </w:r>
          </w:p>
        </w:tc>
        <w:tc>
          <w:tcPr>
            <w:tcW w:w="2494" w:type="dxa"/>
            <w:vAlign w:val="center"/>
          </w:tcPr>
          <w:p w14:paraId="30037227">
            <w:pPr>
              <w:jc w:val="center"/>
              <w:rPr>
                <w:rFonts w:hint="eastAsia" w:ascii="宋体" w:hAnsi="宋体" w:eastAsia="宋体" w:cs="宋体"/>
                <w:sz w:val="24"/>
                <w:szCs w:val="24"/>
              </w:rPr>
            </w:pPr>
          </w:p>
        </w:tc>
      </w:tr>
      <w:tr w14:paraId="162F3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2338B13F">
            <w:pPr>
              <w:jc w:val="center"/>
              <w:rPr>
                <w:rFonts w:hint="eastAsia" w:ascii="宋体" w:hAnsi="宋体" w:eastAsia="宋体" w:cs="宋体"/>
                <w:sz w:val="24"/>
                <w:szCs w:val="24"/>
              </w:rPr>
            </w:pPr>
            <w:r>
              <w:rPr>
                <w:rFonts w:hint="eastAsia" w:ascii="宋体" w:hAnsi="宋体" w:eastAsia="宋体" w:cs="宋体"/>
                <w:sz w:val="24"/>
                <w:szCs w:val="24"/>
              </w:rPr>
              <w:t>传    真：</w:t>
            </w:r>
          </w:p>
        </w:tc>
        <w:tc>
          <w:tcPr>
            <w:tcW w:w="2494" w:type="dxa"/>
            <w:vAlign w:val="center"/>
          </w:tcPr>
          <w:p w14:paraId="0886A690">
            <w:pPr>
              <w:jc w:val="center"/>
              <w:rPr>
                <w:rFonts w:hint="eastAsia" w:ascii="宋体" w:hAnsi="宋体" w:eastAsia="宋体" w:cs="宋体"/>
                <w:sz w:val="24"/>
                <w:szCs w:val="24"/>
              </w:rPr>
            </w:pPr>
          </w:p>
        </w:tc>
        <w:tc>
          <w:tcPr>
            <w:tcW w:w="1644" w:type="dxa"/>
            <w:vAlign w:val="center"/>
          </w:tcPr>
          <w:p w14:paraId="5D346705">
            <w:pPr>
              <w:jc w:val="center"/>
              <w:rPr>
                <w:rFonts w:hint="eastAsia" w:ascii="宋体" w:hAnsi="宋体" w:eastAsia="宋体" w:cs="宋体"/>
                <w:sz w:val="24"/>
                <w:szCs w:val="24"/>
              </w:rPr>
            </w:pPr>
            <w:r>
              <w:rPr>
                <w:rFonts w:hint="eastAsia" w:ascii="宋体" w:hAnsi="宋体" w:eastAsia="宋体" w:cs="宋体"/>
                <w:sz w:val="24"/>
                <w:szCs w:val="24"/>
              </w:rPr>
              <w:t>传    真：</w:t>
            </w:r>
          </w:p>
        </w:tc>
        <w:tc>
          <w:tcPr>
            <w:tcW w:w="2494" w:type="dxa"/>
            <w:vAlign w:val="center"/>
          </w:tcPr>
          <w:p w14:paraId="19B89C66">
            <w:pPr>
              <w:jc w:val="center"/>
              <w:rPr>
                <w:rFonts w:hint="eastAsia" w:ascii="宋体" w:hAnsi="宋体" w:eastAsia="宋体" w:cs="宋体"/>
                <w:sz w:val="24"/>
                <w:szCs w:val="24"/>
              </w:rPr>
            </w:pPr>
          </w:p>
        </w:tc>
      </w:tr>
      <w:tr w14:paraId="045C0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vAlign w:val="center"/>
          </w:tcPr>
          <w:p w14:paraId="4F098F59">
            <w:pPr>
              <w:jc w:val="center"/>
              <w:rPr>
                <w:rFonts w:hint="eastAsia" w:ascii="宋体" w:hAnsi="宋体" w:eastAsia="宋体" w:cs="宋体"/>
                <w:sz w:val="24"/>
                <w:szCs w:val="24"/>
              </w:rPr>
            </w:pPr>
            <w:r>
              <w:rPr>
                <w:rFonts w:hint="eastAsia" w:ascii="宋体" w:hAnsi="宋体" w:eastAsia="宋体" w:cs="宋体"/>
                <w:sz w:val="24"/>
                <w:szCs w:val="24"/>
              </w:rPr>
              <w:t>签约日期：</w:t>
            </w:r>
          </w:p>
        </w:tc>
        <w:tc>
          <w:tcPr>
            <w:tcW w:w="2494" w:type="dxa"/>
            <w:vAlign w:val="center"/>
          </w:tcPr>
          <w:p w14:paraId="066E259A">
            <w:pPr>
              <w:jc w:val="center"/>
              <w:rPr>
                <w:rFonts w:hint="eastAsia" w:ascii="宋体" w:hAnsi="宋体" w:eastAsia="宋体" w:cs="宋体"/>
                <w:sz w:val="24"/>
                <w:szCs w:val="24"/>
              </w:rPr>
            </w:pPr>
            <w:r>
              <w:rPr>
                <w:rFonts w:hint="eastAsia" w:ascii="宋体" w:hAnsi="宋体" w:eastAsia="宋体" w:cs="宋体"/>
                <w:sz w:val="24"/>
                <w:szCs w:val="24"/>
              </w:rPr>
              <w:t>年 月 日</w:t>
            </w:r>
          </w:p>
        </w:tc>
        <w:tc>
          <w:tcPr>
            <w:tcW w:w="1644" w:type="dxa"/>
            <w:vAlign w:val="center"/>
          </w:tcPr>
          <w:p w14:paraId="720EBEC5">
            <w:pPr>
              <w:jc w:val="center"/>
              <w:rPr>
                <w:rFonts w:hint="eastAsia" w:ascii="宋体" w:hAnsi="宋体" w:eastAsia="宋体" w:cs="宋体"/>
                <w:sz w:val="24"/>
                <w:szCs w:val="24"/>
              </w:rPr>
            </w:pPr>
            <w:r>
              <w:rPr>
                <w:rFonts w:hint="eastAsia" w:ascii="宋体" w:hAnsi="宋体" w:eastAsia="宋体" w:cs="宋体"/>
                <w:sz w:val="24"/>
                <w:szCs w:val="24"/>
              </w:rPr>
              <w:t>签约日期：</w:t>
            </w:r>
          </w:p>
        </w:tc>
        <w:tc>
          <w:tcPr>
            <w:tcW w:w="2494" w:type="dxa"/>
            <w:vAlign w:val="center"/>
          </w:tcPr>
          <w:p w14:paraId="425E02A1">
            <w:pPr>
              <w:jc w:val="center"/>
              <w:rPr>
                <w:rFonts w:hint="eastAsia" w:ascii="宋体" w:hAnsi="宋体" w:eastAsia="宋体" w:cs="宋体"/>
                <w:sz w:val="24"/>
                <w:szCs w:val="24"/>
              </w:rPr>
            </w:pPr>
            <w:r>
              <w:rPr>
                <w:rFonts w:hint="eastAsia" w:ascii="宋体" w:hAnsi="宋体" w:eastAsia="宋体" w:cs="宋体"/>
                <w:sz w:val="24"/>
                <w:szCs w:val="24"/>
              </w:rPr>
              <w:t>年 月 日</w:t>
            </w:r>
          </w:p>
        </w:tc>
      </w:tr>
    </w:tbl>
    <w:p w14:paraId="3B110D54">
      <w:pPr>
        <w:rPr>
          <w:rFonts w:hint="eastAsia" w:ascii="宋体" w:hAnsi="宋体" w:eastAsia="宋体" w:cs="宋体"/>
          <w:sz w:val="24"/>
          <w:szCs w:val="24"/>
        </w:rPr>
      </w:pPr>
    </w:p>
    <w:p w14:paraId="2DEF16E5">
      <w:pPr>
        <w:rPr>
          <w:rFonts w:hint="eastAsia" w:ascii="宋体" w:hAnsi="宋体" w:eastAsia="宋体" w:cs="宋体"/>
          <w:color w:val="0000FF"/>
          <w:sz w:val="24"/>
          <w:szCs w:val="24"/>
          <w:lang w:val="en-US" w:eastAsia="zh-CN"/>
        </w:rPr>
      </w:pPr>
    </w:p>
    <w:p w14:paraId="531B8FBB">
      <w:pPr>
        <w:pStyle w:val="16"/>
        <w:rPr>
          <w:rFonts w:hint="eastAsia" w:ascii="宋体" w:hAnsi="宋体" w:eastAsia="宋体" w:cs="宋体"/>
          <w:sz w:val="24"/>
          <w:szCs w:val="24"/>
        </w:rPr>
      </w:pPr>
    </w:p>
    <w:p w14:paraId="31520B93"/>
    <w:sectPr>
      <w:pgSz w:w="11906" w:h="16838"/>
      <w:pgMar w:top="1440" w:right="1440" w:bottom="144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KSOF8235D1FC">
    <w:panose1 w:val="020B07030202040202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B1386"/>
    <w:rsid w:val="03F71AED"/>
    <w:rsid w:val="04F63055"/>
    <w:rsid w:val="064E4DC4"/>
    <w:rsid w:val="09AE3FC6"/>
    <w:rsid w:val="0B663A3D"/>
    <w:rsid w:val="12444714"/>
    <w:rsid w:val="12800AA8"/>
    <w:rsid w:val="155618F4"/>
    <w:rsid w:val="17BE4BAA"/>
    <w:rsid w:val="192D2EE4"/>
    <w:rsid w:val="1F8709FA"/>
    <w:rsid w:val="271D7FA2"/>
    <w:rsid w:val="2B6A3117"/>
    <w:rsid w:val="324923D3"/>
    <w:rsid w:val="39173F23"/>
    <w:rsid w:val="3A0564C1"/>
    <w:rsid w:val="3B7B608D"/>
    <w:rsid w:val="3D5F2635"/>
    <w:rsid w:val="41511340"/>
    <w:rsid w:val="41D41224"/>
    <w:rsid w:val="44C8323B"/>
    <w:rsid w:val="47835CCA"/>
    <w:rsid w:val="47E91B10"/>
    <w:rsid w:val="491F6E4F"/>
    <w:rsid w:val="518931E5"/>
    <w:rsid w:val="528865A1"/>
    <w:rsid w:val="54667951"/>
    <w:rsid w:val="54BD185D"/>
    <w:rsid w:val="54F64E7F"/>
    <w:rsid w:val="57681D54"/>
    <w:rsid w:val="5E2F1773"/>
    <w:rsid w:val="6295498D"/>
    <w:rsid w:val="62B9496B"/>
    <w:rsid w:val="646A35E7"/>
    <w:rsid w:val="66337D8F"/>
    <w:rsid w:val="670005AB"/>
    <w:rsid w:val="68472F67"/>
    <w:rsid w:val="69C362DB"/>
    <w:rsid w:val="6C367F3C"/>
    <w:rsid w:val="6D5071B3"/>
    <w:rsid w:val="71A94AA3"/>
    <w:rsid w:val="781A1E79"/>
    <w:rsid w:val="78965640"/>
    <w:rsid w:val="79EA1A55"/>
    <w:rsid w:val="7BE81A4F"/>
    <w:rsid w:val="7C3254B9"/>
    <w:rsid w:val="7DAF7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3"/>
    <w:qFormat/>
    <w:uiPriority w:val="0"/>
    <w:pPr>
      <w:spacing w:line="360" w:lineRule="auto"/>
      <w:jc w:val="center"/>
      <w:outlineLvl w:val="0"/>
    </w:pPr>
    <w:rPr>
      <w:rFonts w:ascii="方正小标宋_GBK" w:hAnsi="方正小标宋_GBK" w:eastAsia="宋体"/>
      <w:b/>
      <w:sz w:val="32"/>
      <w:szCs w:val="44"/>
    </w:rPr>
  </w:style>
  <w:style w:type="paragraph" w:styleId="3">
    <w:name w:val="heading 2"/>
    <w:basedOn w:val="1"/>
    <w:next w:val="1"/>
    <w:link w:val="14"/>
    <w:semiHidden/>
    <w:unhideWhenUsed/>
    <w:qFormat/>
    <w:uiPriority w:val="0"/>
    <w:pPr>
      <w:snapToGrid w:val="0"/>
      <w:spacing w:line="360" w:lineRule="auto"/>
      <w:ind w:right="142"/>
      <w:jc w:val="center"/>
      <w:outlineLvl w:val="1"/>
    </w:pPr>
    <w:rPr>
      <w:rFonts w:ascii="黑体" w:hAnsi="黑体" w:eastAsia="宋体" w:cs="黑体"/>
      <w:b/>
      <w:bCs/>
      <w:sz w:val="28"/>
      <w:szCs w:val="32"/>
      <w:lang w:val="zh-CN" w:bidi="zh-CN"/>
    </w:rPr>
  </w:style>
  <w:style w:type="paragraph" w:styleId="4">
    <w:name w:val="heading 3"/>
    <w:basedOn w:val="1"/>
    <w:next w:val="1"/>
    <w:link w:val="15"/>
    <w:semiHidden/>
    <w:unhideWhenUsed/>
    <w:qFormat/>
    <w:uiPriority w:val="0"/>
    <w:pPr>
      <w:keepNext/>
      <w:keepLines/>
      <w:spacing w:before="260" w:after="260" w:line="240" w:lineRule="auto"/>
      <w:outlineLvl w:val="2"/>
    </w:pPr>
    <w:rPr>
      <w:rFonts w:ascii="Calibri" w:hAnsi="Calibri" w:eastAsia="宋体" w:cs="Times New Roman"/>
      <w:b/>
      <w:bCs/>
      <w:kern w:val="2"/>
      <w:sz w:val="24"/>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6">
    <w:name w:val="Body Text"/>
    <w:basedOn w:val="1"/>
    <w:qFormat/>
    <w:uiPriority w:val="0"/>
    <w:pPr>
      <w:spacing w:after="120" w:afterLines="0" w:afterAutospacing="0"/>
    </w:pPr>
  </w:style>
  <w:style w:type="paragraph" w:styleId="7">
    <w:name w:val="Body Text Indent"/>
    <w:basedOn w:val="1"/>
    <w:qFormat/>
    <w:uiPriority w:val="0"/>
    <w:pPr>
      <w:spacing w:after="120" w:afterLines="0" w:afterAutospacing="0"/>
      <w:ind w:left="420" w:leftChars="200"/>
    </w:pPr>
  </w:style>
  <w:style w:type="paragraph" w:styleId="8">
    <w:name w:val="Body Text First Indent"/>
    <w:basedOn w:val="6"/>
    <w:qFormat/>
    <w:uiPriority w:val="0"/>
    <w:pPr>
      <w:ind w:firstLine="420" w:firstLineChars="100"/>
    </w:pPr>
  </w:style>
  <w:style w:type="paragraph" w:styleId="9">
    <w:name w:val="Body Text First Indent 2"/>
    <w:basedOn w:val="7"/>
    <w:qFormat/>
    <w:uiPriority w:val="0"/>
    <w:pPr>
      <w:ind w:firstLine="420" w:firstLineChars="200"/>
    </w:p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1 Char"/>
    <w:link w:val="2"/>
    <w:qFormat/>
    <w:uiPriority w:val="0"/>
    <w:rPr>
      <w:rFonts w:ascii="方正小标宋_GBK" w:hAnsi="方正小标宋_GBK" w:eastAsia="宋体"/>
      <w:b/>
      <w:kern w:val="2"/>
      <w:sz w:val="32"/>
    </w:rPr>
  </w:style>
  <w:style w:type="character" w:customStyle="1" w:styleId="14">
    <w:name w:val="标题 2 Char"/>
    <w:link w:val="3"/>
    <w:qFormat/>
    <w:uiPriority w:val="9"/>
    <w:rPr>
      <w:rFonts w:ascii="楷体" w:hAnsi="楷体" w:eastAsia="宋体" w:cs="Times New Roman"/>
      <w:b/>
      <w:bCs/>
      <w:kern w:val="2"/>
      <w:sz w:val="24"/>
      <w:szCs w:val="32"/>
      <w:lang w:val="zh-CN" w:eastAsia="zh-CN" w:bidi="zh-CN"/>
    </w:rPr>
  </w:style>
  <w:style w:type="character" w:customStyle="1" w:styleId="15">
    <w:name w:val="标题 3 Char"/>
    <w:link w:val="4"/>
    <w:qFormat/>
    <w:uiPriority w:val="0"/>
    <w:rPr>
      <w:rFonts w:ascii="Calibri" w:hAnsi="Calibri" w:eastAsia="宋体" w:cs="Times New Roman"/>
      <w:b/>
      <w:bCs/>
      <w:color w:val="000000"/>
      <w:kern w:val="2"/>
      <w:sz w:val="28"/>
      <w:szCs w:val="24"/>
      <w:shd w:val="clear" w:color="auto" w:fill="auto"/>
      <w:lang w:eastAsia="en-US" w:bidi="en-US"/>
    </w:rPr>
  </w:style>
  <w:style w:type="paragraph" w:customStyle="1" w:styleId="16">
    <w:name w:val="null3"/>
    <w:hidden/>
    <w:qFormat/>
    <w:uiPriority w:val="0"/>
    <w:rPr>
      <w:rFonts w:hint="eastAsia" w:asciiTheme="minorHAnsi" w:hAnsiTheme="minorHAnsi" w:eastAsiaTheme="minorEastAsia" w:cstheme="minorBidi"/>
      <w:lang w:val="en-US" w:eastAsia="zh-Hans" w:bidi="ar-SA"/>
    </w:rPr>
  </w:style>
  <w:style w:type="paragraph" w:customStyle="1" w:styleId="17">
    <w:name w:val="样式2"/>
    <w:basedOn w:val="18"/>
    <w:qFormat/>
    <w:uiPriority w:val="0"/>
    <w:pPr>
      <w:spacing w:line="560" w:lineRule="exact"/>
      <w:ind w:firstLine="643" w:firstLineChars="200"/>
      <w:jc w:val="both"/>
    </w:pPr>
    <w:rPr>
      <w:rFonts w:ascii="仿宋_GB2312" w:hAnsi="仿宋" w:eastAsia="仿宋_GB2312"/>
      <w:b/>
      <w:bCs/>
      <w:szCs w:val="32"/>
    </w:rPr>
  </w:style>
  <w:style w:type="paragraph" w:customStyle="1" w:styleId="18">
    <w:name w:val="@标题"/>
    <w:basedOn w:val="1"/>
    <w:next w:val="19"/>
    <w:qFormat/>
    <w:uiPriority w:val="0"/>
    <w:pPr>
      <w:keepNext/>
      <w:spacing w:before="50" w:beforeLines="50" w:after="50" w:afterLines="50"/>
      <w:jc w:val="center"/>
      <w:outlineLvl w:val="1"/>
    </w:pPr>
    <w:rPr>
      <w:rFonts w:ascii="Calibri" w:hAnsi="Calibri" w:eastAsia="黑体"/>
      <w:kern w:val="32"/>
      <w:sz w:val="32"/>
    </w:rPr>
  </w:style>
  <w:style w:type="paragraph" w:customStyle="1" w:styleId="19">
    <w:name w:val="@正文"/>
    <w:basedOn w:val="20"/>
    <w:qFormat/>
    <w:uiPriority w:val="0"/>
    <w:pPr>
      <w:wordWrap/>
      <w:spacing w:line="240" w:lineRule="auto"/>
      <w:ind w:firstLine="200" w:firstLineChars="200"/>
      <w:jc w:val="both"/>
    </w:pPr>
    <w:rPr>
      <w:rFonts w:ascii="Calibri" w:hAnsi="Calibri" w:eastAsia="宋体" w:cstheme="minorHAnsi"/>
      <w:color w:val="000000"/>
      <w:kern w:val="24"/>
      <w:sz w:val="24"/>
      <w:szCs w:val="24"/>
    </w:rPr>
  </w:style>
  <w:style w:type="paragraph" w:customStyle="1" w:styleId="20">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2065</Words>
  <Characters>2251</Characters>
  <Lines>0</Lines>
  <Paragraphs>0</Paragraphs>
  <TotalTime>0</TotalTime>
  <ScaleCrop>false</ScaleCrop>
  <LinksUpToDate>false</LinksUpToDate>
  <CharactersWithSpaces>2309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2022-05-20T01:08:00Z</dcterms:created>
  <dc:creator>Administrator</dc:creator>
  <cp:lastModifiedBy>马倩</cp:lastModifiedBy>
  <dcterms:modified xsi:type="dcterms:W3CDTF">2026-07-03T09:20:55Z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145AA331C0E3454381DAE12B74F13A48</vt:lpwstr>
  </property>
  <property fmtid="{D5CDD505-2E9C-101B-9397-08002B2CF9AE}" pid="4" name="KSOTemplateDocerSaveRecord">
    <vt:lpwstr>eyJoZGlkIjoiNGJkNDU3MWU2YWFlZTdkZWNhNTQ2ZTRmNmI3N2MxMGEiLCJ1c2VySWQiOiIzOTI2Mzc2MDAifQ==</vt:lpwstr>
  </property>
</Properties>
</file>