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版本号：DHY-2026-0609.1B120260706001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儿童玩具采购项目(二次)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DHY-2026-0609.1B1</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儿童玩具采购项目(二次)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DHY-2026-0609.1B1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儿童玩具采购项目(二次)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儿童福利院2026年度儿童玩具采购项目，包括但不限于益智启蒙类（适配全年龄段，锻炼专注力、思维能力）、精细动作&amp;手工类（锻炼手部协调，适合日常活动课）、角色扮演&amp;情感陪伴类（安抚情绪、培养社交能力）、运动体能&amp;户外游戏类（院内活动、课间锻炼使用）、音乐感官&amp;早教类（低龄儿童、特殊儿童适用）、休闲棋牌&amp;桌面游戏类（室内集体活动、课余休闲）、休闲趣味类（低风险、易收纳、耐用耐造）、电子学习产品类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书：法定代表人参加谈判提供法定代表人身份证明（附法定代表人身份证复印件），委托代理人参加谈判提供法定代表人授权委托书（附法定代表人、委托代理人身份证复印件）；</w:t>
      </w:r>
    </w:p>
    <w:p>
      <w:pPr>
        <w:pStyle w:val="null3"/>
      </w:pPr>
      <w:r>
        <w:rPr>
          <w:rFonts w:ascii="仿宋_GB2312" w:hAnsi="仿宋_GB2312" w:cs="仿宋_GB2312" w:eastAsia="仿宋_GB2312"/>
        </w:rPr>
        <w:t>3、财务要求：提供2024年度或2025年度经审计的财务报告（包含审计报告和审计报告中所涉及的财务报表和报表附注），②可提供2025年度供应商完整的全套财务报表（应当包括资产负债表、利润表、现金流量表、所有者权益变动表），③可提供截至响应文件提交截止日一年内银行出具的资信证明（以上三种形式的资料提供任何一种即可）。</w:t>
      </w:r>
    </w:p>
    <w:p>
      <w:pPr>
        <w:pStyle w:val="null3"/>
      </w:pPr>
      <w:r>
        <w:rPr>
          <w:rFonts w:ascii="仿宋_GB2312" w:hAnsi="仿宋_GB2312" w:cs="仿宋_GB2312" w:eastAsia="仿宋_GB2312"/>
        </w:rPr>
        <w:t>4、纳税证明：提供响应时间前一年内已缴纳的至少一个月的纳税证明或完税证明，依法免税的单位应提供相关证明材料。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5、社保证明：提供响应时间前一年内已缴存的至少一个月的社会保障资金缴存单据或社保机构开具的社会保险参保缴费情况证明，依法不需要缴纳社会保障资金的单位应提供相关证明材料。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7、书面声明：参加本次政府采购活动前三年内，在经营活动中没有重大违法记录的书面声明。</w:t>
      </w:r>
    </w:p>
    <w:p>
      <w:pPr>
        <w:pStyle w:val="null3"/>
      </w:pPr>
      <w:r>
        <w:rPr>
          <w:rFonts w:ascii="仿宋_GB2312" w:hAnsi="仿宋_GB2312" w:cs="仿宋_GB2312" w:eastAsia="仿宋_GB2312"/>
        </w:rPr>
        <w:t>8、本项目不接受联合体响应：本项目不接受联合体响应，单位负责人为同一人或者存在直接控股、管理关系的不同供应商，不得参加同一合同项下的政府采购活动，提供非联合体响应书面声明函。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029-86315084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029-86636985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发的《招标代理服务收费管理暂行办法》（计价格[2002]1980号）和《关于招标代理服务收费有关问题的通知》（发改办价格[2003]857号）的有关规定执行。由中标单位在领取中标通知书时一次性向招标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西安市儿童福利院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陕西鼎慧源工程项目管理有限公司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联系人：姜伟</w:t>
      </w:r>
    </w:p>
    <w:p>
      <w:pPr>
        <w:pStyle w:val="null3"/>
      </w:pPr>
      <w:r>
        <w:rPr>
          <w:rFonts w:ascii="仿宋_GB2312" w:hAnsi="仿宋_GB2312" w:cs="仿宋_GB2312" w:eastAsia="仿宋_GB2312"/>
        </w:rPr>
        <w:t>联系电话：029-86636985</w:t>
      </w:r>
    </w:p>
    <w:p>
      <w:pPr>
        <w:pStyle w:val="null3"/>
      </w:pPr>
      <w:r>
        <w:rPr>
          <w:rFonts w:ascii="仿宋_GB2312" w:hAnsi="仿宋_GB2312" w:cs="仿宋_GB2312" w:eastAsia="仿宋_GB2312"/>
        </w:rPr>
        <w:t>地址：陕西省西安市未央区北二环太华北路立交东北角百寰国际27层2708室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福利院2026年度儿童玩具采购项目，包括但不限于益智启蒙类（适配全年龄段，锻炼专注力、思维能力）、精细动作&amp;手工类（锻炼手部协调，适合日常活动课）、角色扮演&amp;情感陪伴类（安抚情绪、培养社交能力）、运动体能&amp;户外游戏类（院内活动、课间锻炼使用）、音乐感官&amp;早教类（低龄儿童、特殊儿童适用）、休闲棋牌&amp;桌面游戏类（室内集体活动、课余休闲）、休闲趣味类（低风险、易收纳、耐用耐造）、电子学习产品类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448,000.00</w:t>
      </w:r>
    </w:p>
    <w:p>
      <w:pPr>
        <w:pStyle w:val="null3"/>
      </w:pPr>
      <w:r>
        <w:rPr>
          <w:rFonts w:ascii="仿宋_GB2312" w:hAnsi="仿宋_GB2312" w:cs="仿宋_GB2312" w:eastAsia="仿宋_GB2312"/>
        </w:rPr>
        <w:t>采购包最高限价（元）: 448,000.00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儿童玩具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标的名称：儿童玩具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一、采购内容</w:t>
            </w:r>
          </w:p>
          <w:p>
            <w:pPr>
              <w:pStyle w:val="null3"/>
              <w:ind w:firstLine="420"/>
              <w:jc w:val="left"/>
            </w:pPr>
            <w:r>
              <w:rPr>
                <w:rFonts w:ascii="仿宋_GB2312" w:hAnsi="仿宋_GB2312" w:cs="仿宋_GB2312" w:eastAsia="仿宋_GB2312"/>
                <w:sz w:val="21"/>
              </w:rPr>
              <w:t>1、项目名称：儿童玩具采购项目</w:t>
            </w:r>
          </w:p>
          <w:p>
            <w:pPr>
              <w:pStyle w:val="null3"/>
              <w:ind w:firstLine="420"/>
              <w:jc w:val="left"/>
            </w:pPr>
            <w:r>
              <w:rPr>
                <w:rFonts w:ascii="仿宋_GB2312" w:hAnsi="仿宋_GB2312" w:cs="仿宋_GB2312" w:eastAsia="仿宋_GB2312"/>
                <w:sz w:val="21"/>
              </w:rPr>
              <w:t>2、采购内容：包括但不限于益智启蒙类（适配全年龄段，锻炼专注力、思维能力）、精细动作&amp;手工类（锻炼手部协调，适合日常活动课）、角色扮演&amp;情感陪伴类（安抚情绪、培养社交能力）、运动体能&amp;户外游戏类（院内活动、课间锻炼使用）、音乐感官&amp;早教类（低龄儿童、特殊儿童适用）、休闲棋牌&amp;桌面游戏类（室内集体活动、课余休闲）、休闲趣味类（低风险、易收纳、耐用耐造）、电子学习产品类等。</w:t>
            </w:r>
          </w:p>
          <w:p>
            <w:pPr>
              <w:pStyle w:val="null3"/>
              <w:ind w:firstLine="420"/>
              <w:jc w:val="left"/>
            </w:pPr>
            <w:r>
              <w:rPr>
                <w:rFonts w:ascii="仿宋_GB2312" w:hAnsi="仿宋_GB2312" w:cs="仿宋_GB2312" w:eastAsia="仿宋_GB2312"/>
                <w:sz w:val="21"/>
              </w:rPr>
              <w:t>3、执行标准：（1）、GB 6675-2014；（2）、GB 19865-2005；（3）、GB 26387-2011；（4）、GB 24613-2009；（5）、GB/T 9832-2007；（6）、GB 14746-2006《儿童自行车安全要求》；（7）、GB/T 17541-1998《学习机通用规范》；（8）、GB/T 42565-2023《信息技术、玩具软件、安全要求》。</w:t>
            </w:r>
          </w:p>
          <w:p>
            <w:pPr>
              <w:pStyle w:val="null3"/>
              <w:ind w:firstLine="420"/>
              <w:jc w:val="left"/>
            </w:pPr>
            <w:r>
              <w:rPr>
                <w:rFonts w:ascii="仿宋_GB2312" w:hAnsi="仿宋_GB2312" w:cs="仿宋_GB2312" w:eastAsia="仿宋_GB2312"/>
                <w:sz w:val="21"/>
              </w:rPr>
              <w:t>4、其他要求：（1）</w:t>
            </w:r>
            <w:r>
              <w:rPr>
                <w:rFonts w:ascii="仿宋_GB2312" w:hAnsi="仿宋_GB2312" w:cs="仿宋_GB2312" w:eastAsia="仿宋_GB2312"/>
                <w:sz w:val="21"/>
              </w:rPr>
              <w:t>安全标准：符合国家</w:t>
            </w:r>
            <w:r>
              <w:rPr>
                <w:rFonts w:ascii="仿宋_GB2312" w:hAnsi="仿宋_GB2312" w:cs="仿宋_GB2312" w:eastAsia="仿宋_GB2312"/>
                <w:sz w:val="21"/>
              </w:rPr>
              <w:t>3C认证，无细小零件、无尖锐边角、无易碎部件；</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材质要求：环保实木、食品级软胶、加厚</w:t>
            </w:r>
            <w:r>
              <w:rPr>
                <w:rFonts w:ascii="仿宋_GB2312" w:hAnsi="仿宋_GB2312" w:cs="仿宋_GB2312" w:eastAsia="仿宋_GB2312"/>
                <w:sz w:val="21"/>
              </w:rPr>
              <w:t>ABS、无毒布艺，易擦拭消毒；</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风险规避：杜绝弹射类、强光高音声光、小型危险零件、劣质毛绒玩具；</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管理适配：耐磨损、易清洗、方便收纳、适合集体儿童共同使用。</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玩具折扣定价依据如下：</w:t>
            </w:r>
          </w:p>
          <w:p>
            <w:pPr>
              <w:pStyle w:val="null3"/>
              <w:ind w:firstLine="420"/>
              <w:jc w:val="left"/>
            </w:pPr>
            <w:r>
              <w:rPr>
                <w:rFonts w:ascii="仿宋_GB2312" w:hAnsi="仿宋_GB2312" w:cs="仿宋_GB2312" w:eastAsia="仿宋_GB2312"/>
                <w:sz w:val="21"/>
              </w:rPr>
              <w:t>通过西安市丹尼尔奥莱国际商城、西北轻工批发市场的三家经营商对应品目进行询价，以对应品目询价的平均价格为准。实际结算费用</w:t>
            </w:r>
            <w:r>
              <w:rPr>
                <w:rFonts w:ascii="仿宋_GB2312" w:hAnsi="仿宋_GB2312" w:cs="仿宋_GB2312" w:eastAsia="仿宋_GB2312"/>
                <w:sz w:val="21"/>
              </w:rPr>
              <w:t>=玩具费用*实际配送数量*折扣（玩具单品结算价不可高于玩具单品市场价）。</w:t>
            </w:r>
          </w:p>
          <w:p>
            <w:pPr>
              <w:pStyle w:val="null3"/>
              <w:ind w:firstLine="420"/>
              <w:jc w:val="left"/>
            </w:pPr>
            <w:r>
              <w:rPr>
                <w:rFonts w:ascii="仿宋_GB2312" w:hAnsi="仿宋_GB2312" w:cs="仿宋_GB2312" w:eastAsia="仿宋_GB2312"/>
                <w:sz w:val="21"/>
              </w:rPr>
              <w:t>本次报价形式为报价上浮</w:t>
            </w:r>
            <w:r>
              <w:rPr>
                <w:rFonts w:ascii="仿宋_GB2312" w:hAnsi="仿宋_GB2312" w:cs="仿宋_GB2312" w:eastAsia="仿宋_GB2312"/>
                <w:sz w:val="21"/>
                <w:u w:val="single"/>
              </w:rPr>
              <w:t xml:space="preserve">  </w:t>
            </w:r>
            <w:r>
              <w:rPr>
                <w:rFonts w:ascii="仿宋_GB2312" w:hAnsi="仿宋_GB2312" w:cs="仿宋_GB2312" w:eastAsia="仿宋_GB2312"/>
                <w:sz w:val="21"/>
              </w:rPr>
              <w:t>%；备注：上浮指折扣率(例上浮80%，指在原价基础上按8折计算)。</w:t>
            </w:r>
          </w:p>
          <w:p>
            <w:pPr>
              <w:pStyle w:val="null3"/>
              <w:jc w:val="left"/>
            </w:pPr>
            <w:r>
              <w:rPr>
                <w:rFonts w:ascii="仿宋_GB2312" w:hAnsi="仿宋_GB2312" w:cs="仿宋_GB2312" w:eastAsia="仿宋_GB2312"/>
                <w:sz w:val="21"/>
              </w:rPr>
              <w:t>三、付款条件：合同签订后支付预付款</w:t>
            </w:r>
            <w:r>
              <w:rPr>
                <w:rFonts w:ascii="仿宋_GB2312" w:hAnsi="仿宋_GB2312" w:cs="仿宋_GB2312" w:eastAsia="仿宋_GB2312"/>
                <w:sz w:val="21"/>
              </w:rPr>
              <w:t>，</w:t>
            </w:r>
            <w:r>
              <w:rPr>
                <w:rFonts w:ascii="仿宋_GB2312" w:hAnsi="仿宋_GB2312" w:cs="仿宋_GB2312" w:eastAsia="仿宋_GB2312"/>
                <w:sz w:val="21"/>
              </w:rPr>
              <w:t>达到付款条件起</w:t>
            </w:r>
            <w:r>
              <w:rPr>
                <w:rFonts w:ascii="仿宋_GB2312" w:hAnsi="仿宋_GB2312" w:cs="仿宋_GB2312" w:eastAsia="仿宋_GB2312"/>
                <w:sz w:val="21"/>
              </w:rPr>
              <w:t>7日内，支付合同总金额的30.00%。分批次供货，预付款金额抵扣完后不足部分据实结算。在接收到采购人通知每批货物实际采购清单后，15天内交货并经采购人验收合格后据实结算。</w:t>
            </w:r>
          </w:p>
          <w:p>
            <w:pPr>
              <w:pStyle w:val="null3"/>
              <w:jc w:val="left"/>
            </w:pPr>
            <w:r>
              <w:rPr>
                <w:rFonts w:ascii="仿宋_GB2312" w:hAnsi="仿宋_GB2312" w:cs="仿宋_GB2312" w:eastAsia="仿宋_GB2312"/>
                <w:sz w:val="21"/>
              </w:rPr>
              <w:t>四、交货条件</w:t>
            </w:r>
          </w:p>
          <w:p>
            <w:pPr>
              <w:pStyle w:val="null3"/>
              <w:ind w:firstLine="420"/>
              <w:jc w:val="left"/>
            </w:pPr>
            <w:r>
              <w:rPr>
                <w:rFonts w:ascii="仿宋_GB2312" w:hAnsi="仿宋_GB2312" w:cs="仿宋_GB2312" w:eastAsia="仿宋_GB2312"/>
                <w:sz w:val="21"/>
              </w:rPr>
              <w:t>1.交货地点：甲方指定地点。</w:t>
            </w:r>
          </w:p>
          <w:p>
            <w:pPr>
              <w:pStyle w:val="null3"/>
              <w:ind w:firstLine="420"/>
              <w:jc w:val="left"/>
            </w:pPr>
            <w:r>
              <w:rPr>
                <w:rFonts w:ascii="仿宋_GB2312" w:hAnsi="仿宋_GB2312" w:cs="仿宋_GB2312" w:eastAsia="仿宋_GB2312"/>
                <w:sz w:val="21"/>
              </w:rPr>
              <w:t>2.交货期：接到甲方订单之日起15日内交货。</w:t>
            </w:r>
          </w:p>
          <w:p>
            <w:pPr>
              <w:pStyle w:val="null3"/>
              <w:ind w:firstLine="420"/>
              <w:jc w:val="left"/>
            </w:pPr>
            <w:r>
              <w:rPr>
                <w:rFonts w:ascii="仿宋_GB2312" w:hAnsi="仿宋_GB2312" w:cs="仿宋_GB2312" w:eastAsia="仿宋_GB2312"/>
                <w:sz w:val="21"/>
              </w:rPr>
              <w:t>3.供货期：自合同签订之日起至2026年12月31日，按需配送。</w:t>
            </w:r>
          </w:p>
          <w:p>
            <w:pPr>
              <w:pStyle w:val="null3"/>
              <w:ind w:firstLine="420"/>
              <w:jc w:val="left"/>
            </w:pPr>
            <w:r>
              <w:rPr>
                <w:rFonts w:ascii="仿宋_GB2312" w:hAnsi="仿宋_GB2312" w:cs="仿宋_GB2312" w:eastAsia="仿宋_GB2312"/>
                <w:sz w:val="21"/>
              </w:rPr>
              <w:t>4.质保期：（电动玩具）2年。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自合同签订之日起至2026年12月31日，按需配送。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预付款，合同签订后支付预付款，达到付款条件起7日内，支付合同总金额的30.00%，达到付款条件起7个工作日内，支付合同总金额的30.0%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进度款，分批次供货，预付款金额抵扣完后不足部分据实结算。在接收到甲方通知每批货物实际采购清单后，15天内交货并经甲方验收合格后据实结算，达到付款条件起60个工作日内，支付合同总金额的70.0%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乙双方根据合同要求，进行外观验收，确认产地、规格、型号和数量。验收内容包括但不限于货物的名称、规格、数量、质量、外观包装等。验收合格的，甲方应签署《验收合格单》，验收不作为产品质量合格的最终依据；验收不合格的，甲方有权拒收货物，并在5个工作日内以书面形式向乙方提出具体的问题及整改要求，乙方需在收到通知后的5个工作日内进行处理，直至验收合格。 2.乙方向甲方提交货物实施过程中的所有资料。以便甲方日后管理和维护。 3.验收依据： 3.1采购文件、响应文件； 3.2本合同； 3.3国家相应的标准、规范。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乙方承诺所提供的产品必须是符合国家相关标准的合格产品，进货渠道正常，并具备正规的产品注册证登记表、生产许可证，配送时须提供配送批次产品的合格证明资料、检测报告、卫生安全评价报告等。 2.包装及其他要求：符合出厂要求、包装完整无破损；包装标识清楚，配送产品必须为全新未拆封产品且渠道合法。 3.售后服务响应时间（质保期内）：售后服务响应不得超出8小时，制定解决方案。如在48小时内无法修复，则提供部件冗余服务或采取应急措施，提供相同产品或不低于故障产品规格档次的备用产品供采购人使用，以确保货物的正常使用。质保期：（电动玩具）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乙方未按合同要求提供货物或质量不能满足招标技术要求，乙方应在接到甲方通知后的3个工作日内免费更换或补足符合要求的产品，由此产生的一切费用由乙方承担；否则，甲方有权解除合同，合同自书面解除通知送达（即使拒收）乙方之日起解除，并对乙方的违约行为报监管机构进行相应的处罚，乙方应当赔偿甲方该总货款的30%的违约金。 3.乙方不能按期交货，每延迟一天，乙方应偿付甲方总货款的1%的迟延违约金，违约金可累计计算。超过30天未交货，甲方有权解除合同，合同自书面解除通知送达（即使拒收）乙方之日起解除，乙方应赔偿甲方总货款的30%作为违约金。 4.乙方所交付货物不符合其投标承诺，存在偷工减料、以次充好情形的，甲方要求更换一次后仍不符合约定的，甲方有权解除采购合同，并将有关情况上报政府采购监管部门处理。 5.在使用期间因产品质量问题（包括但不限于材料本身存在缺陷、性能不达标、无法正常发挥使用功能等）引起三次以上投诉，甲方有权要求乙方对该产品进行免费调换，调换后如还发生同类问题，甲方随时有权单方面解除合同，合同自书面解除通知送达（即使拒收）乙方之日起解除，乙方应当赔偿甲方该总货款的30%的违约金。 6.有下列情形之一的，甲方可以解除合同： 6.1因不可抗力致使不能实现合同目的； 6.2在履行期限届满之前，乙方明确表示或者以自己的行为表明不履行主要债务； 6.3乙方迟延履行主要债务，经催告后在合理期限内仍未履行； 6.4乙方迟延履行债务或者有其他违约行为致使不能实现合同目的； 6.5乙方违反本合同约定。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1、落实的政府采购政策：（1）《政府采购促进中小企业发展管理办法》（财库〔2020〕46号）；（2）《关于进一步加大政府采购支持中小企业力度的通知》（财库〔2022〕19号）；（3）《财政部 司法部关于政府采购支持监狱企业发展有关问题的通知》（财库〔2014〕68号）；（4）《国务院办公厅关于建立政府强制采购节能产品制度的通知》（国办发〔2007〕51号）；（5）《财政部 民政部 中国残疾人联合会关于促进残疾人就业政府采购政策的通知》（财库〔2017〕141号）；（6）《财政部 发展改革委 生态环境部 市场监管总局关于调整优化节能产品、环境标志产品政府采购执行机制的通知》（财库〔2019〕9号）；（7）《关于印发环境标志产品政府采购品目清单的通知》（财库〔2019〕18号）；（8）《关于印发节能产品政府采购品目清单的通知》（财库〔2019〕19号）；（9）陕西省财政厅关于进一步加强政府绿色采购有关问题的通知--陕财办采〔2021〕29号；（10）《财政部 农业农村部 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陕西省财政厅关于落实政府采购支持中小企业政策有关事项的通知-陕财办采函〔2022〕10号 （14）陕西省财政厅 中国人民银行西安分行关于深入推进政府采购信用融资业务的通知-陕财办采〔2023〕5号 （15）《国务院办公厅关于在政府采购中实施本国产品标准及相关政策的通知》（国办发〔2025〕34号） （16）《关于推动解决政府采购异常低价问题的通知》（财库〔2026〕2号）（17）其他需要落实的政府采购政策（如有最新颁布的政府采购政策，按最新的文件执行）。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经审计的财务报告（包含审计报告和审计报告中所涉及的财务报表和报表附注），②可提供2025年度供应商完整的全套财务报表（应当包括资产负债表、利润表、现金流量表、所有者权益变动表），③可提供截至响应文件提交截止日一年内银行出具的资信证明（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法定代表人参加谈判提供法定代表人身份证明（附法定代表人身份证复印件），委托代理人参加谈判提供法定代表人授权委托书（附法定代表人、委托代理人身份证复印件）；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或2025年度经审计的财务报告（包含审计报告和审计报告中所涉及的财务报表和报表附注），②可提供2025年度供应商完整的全套财务报表（应当包括资产负债表、利润表、现金流量表、所有者权益变动表），③可提供截至响应文件提交截止日一年内银行出具的资信证明（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w:t>
            </w:r>
          </w:p>
        </w:tc>
        <w:tc>
          <w:tcPr>
            <w:tcW w:type="dxa" w:w="3322"/>
          </w:tcPr>
          <w:p>
            <w:pPr>
              <w:pStyle w:val="null3"/>
            </w:pPr>
            <w:r>
              <w:rPr>
                <w:rFonts w:ascii="仿宋_GB2312" w:hAnsi="仿宋_GB2312" w:cs="仿宋_GB2312" w:eastAsia="仿宋_GB2312"/>
              </w:rPr>
              <w:t>本项目不接受联合体响应，单位负责人为同一人或者存在直接控股、管理关系的不同供应商，不得参加同一合同项下的政府采购活动，提供非联合体响应书面声明函。</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报价表 响应函 技术条款响应偏离表.docx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产品技术参数表 商务应答表 报价表 响应函 技术条款响应偏离表.docx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技术条款响应偏离表.docx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详见附件：合同文本(6.17).docx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