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版本号：政采-铜川市-2026-00492.1B120260817001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道路交通管理信息化运维保障项目(二次)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政采-铜川市-2026-00492.1B1</w:t>
      </w:r>
      <w:r>
        <w:br/>
      </w:r>
      <w:r>
        <w:br/>
      </w:r>
      <w:r>
        <w:br/>
      </w:r>
    </w:p>
    <w:p>
      <w:pPr>
        <w:pStyle w:val="null3"/>
        <w:jc w:val="center"/>
        <w:outlineLvl w:val="5"/>
      </w:pPr>
      <w:r>
        <w:rPr>
          <w:rFonts w:ascii="仿宋_GB2312" w:hAnsi="仿宋_GB2312" w:cs="仿宋_GB2312" w:eastAsia="仿宋_GB2312"/>
          <w:sz w:val="15"/>
          <w:b/>
        </w:rPr>
        <w:t>铜川市公安局交通警察支队</w:t>
      </w:r>
    </w:p>
    <w:p>
      <w:pPr>
        <w:pStyle w:val="null3"/>
        <w:jc w:val="center"/>
        <w:outlineLvl w:val="5"/>
      </w:pPr>
      <w:r>
        <w:rPr>
          <w:rFonts w:ascii="仿宋_GB2312" w:hAnsi="仿宋_GB2312" w:cs="仿宋_GB2312" w:eastAsia="仿宋_GB2312"/>
          <w:sz w:val="15"/>
          <w:b/>
        </w:rPr>
        <w:t>中轩项目管理有限公司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铜川市公安局交通警察支队</w:t>
      </w:r>
      <w:r>
        <w:rPr>
          <w:rFonts w:ascii="仿宋_GB2312" w:hAnsi="仿宋_GB2312" w:cs="仿宋_GB2312" w:eastAsia="仿宋_GB2312"/>
        </w:rPr>
        <w:t>委托，拟对</w:t>
      </w:r>
      <w:r>
        <w:rPr>
          <w:rFonts w:ascii="仿宋_GB2312" w:hAnsi="仿宋_GB2312" w:cs="仿宋_GB2312" w:eastAsia="仿宋_GB2312"/>
        </w:rPr>
        <w:t>道路交通管理信息化运维保障项目(二次)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政采-铜川市-2026-00492.1B1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道路交通管理信息化运维保障项目(二次)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做好信息系统相关的机房、主机设备、业务系统、数据库和存储设备及其他信息系统的运行维护与安全防范服务，交通信号机控制路口信号灯及其附属设施的维护服务。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采购包1（道路交通管理信息化运维保障项目）：属于专门面向中小企业采购。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2、财务状况报告：提供具有财务审计资质单位出具的近三年度财务审计报告（成立时间至协商时间不足一年的可提供成立后 任意时段的资产负债表）或响应文件递交截止时间前六个月内其基本账户银行出具的资信证明（附基本账户证明）或政府采购信用担保机构出具的协商担保函；供应商需在项目电子化交易系统中按要求上传相应证明文件并进行电子签章。</w:t>
      </w:r>
    </w:p>
    <w:p>
      <w:pPr>
        <w:pStyle w:val="null3"/>
      </w:pPr>
      <w:r>
        <w:rPr>
          <w:rFonts w:ascii="仿宋_GB2312" w:hAnsi="仿宋_GB2312" w:cs="仿宋_GB2312" w:eastAsia="仿宋_GB2312"/>
        </w:rPr>
        <w:t>3、税收交纳证明：提供响应文件递交截止时间前一年内任意一个月的缴费凭据（依法免税的供应商应提供相关文件证明）；供应商需在项目电子化交易系统中按要求上传相应证明文件并进行电子签章。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交纳证明：提供响应文件递交截止时间前一年内任意一个月的社保缴费凭据或社保机构开具的社会保险参保缴费情况证明（依法不需要缴纳社会保障资金的供应商应提供相关证明）；供应商需在项目电子化交易系统中按要求上传相应证明文件并进行电子签章。</w:t>
      </w:r>
    </w:p>
    <w:p>
      <w:pPr>
        <w:pStyle w:val="null3"/>
      </w:pPr>
      <w:r>
        <w:rPr>
          <w:rFonts w:ascii="仿宋_GB2312" w:hAnsi="仿宋_GB2312" w:cs="仿宋_GB2312" w:eastAsia="仿宋_GB2312"/>
        </w:rPr>
        <w:t>5、承诺、说明及书面声明：1、提供具有履行本合同所必需的设备和专业技术能力的说明及承诺；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法定代表人授权书/法定代表人身份证明：法定代表人参与协商时需提供法定代表人身份证复印件；被授权人参与协商时需提供法定代表人授权委托书；供应商需在项目电子化交易系统中按要求上传相应证明文件并进行电子签章。</w:t>
      </w:r>
    </w:p>
    <w:p>
      <w:pPr>
        <w:pStyle w:val="null3"/>
      </w:pPr>
      <w:r>
        <w:rPr>
          <w:rFonts w:ascii="仿宋_GB2312" w:hAnsi="仿宋_GB2312" w:cs="仿宋_GB2312" w:eastAsia="仿宋_GB2312"/>
        </w:rPr>
        <w:t>7、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铜川市公安局交通警察支队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铜川市耀州区正阳路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铜川市公安局交通警察支队经办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18992989608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闫晓颖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13468798104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采购包1：1,192,521.00元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采购包1：1,192,521.00元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的通知（计价格〔2002〕1980号）、《国家发展和改⾰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铜川市公安局交通警察支队</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铜川市公安局交通警察支队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供应商将在采购项⽬实施过程中采⽤⾃有或者第三⽅知识成果的，使⽤该知识成果后，供应商需提供开发接⼝和开发⼿册等技术资料，并承诺提供⽆限期⽀持，采购⼈享有使⽤权（含采购⼈委托第三⽅在该项⽬后续开发的使⽤权）。三、若采⽤成交供应商所不拥有的知识产权，则在响应报价中必须包括合法使⽤该知识产权的相关费⽤。</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联系人：闫晓颖</w:t>
      </w:r>
    </w:p>
    <w:p>
      <w:pPr>
        <w:pStyle w:val="null3"/>
      </w:pPr>
      <w:r>
        <w:rPr>
          <w:rFonts w:ascii="仿宋_GB2312" w:hAnsi="仿宋_GB2312" w:cs="仿宋_GB2312" w:eastAsia="仿宋_GB2312"/>
        </w:rPr>
        <w:t>联系电话：13468798104</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做好信息系统相关的机房、主机设备、业务系统、数据库和存储设备及其他信息系统的运行维护与安全防范服务，交通信号机控制路口信号灯及其附属设施的维护服务。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1,192,521.00</w:t>
      </w:r>
    </w:p>
    <w:p>
      <w:pPr>
        <w:pStyle w:val="null3"/>
      </w:pPr>
      <w:r>
        <w:rPr>
          <w:rFonts w:ascii="仿宋_GB2312" w:hAnsi="仿宋_GB2312" w:cs="仿宋_GB2312" w:eastAsia="仿宋_GB2312"/>
        </w:rPr>
        <w:t>采购包最高限价（元）: 1,192,521.00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铜川市公安局交通警察支队道路交通管理信息化运维保障项目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1,192,521.00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标的名称：铜川市公安局交通警察支队道路交通管理信息化运维保障项目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53"/>
              <w:gridCol w:w="437"/>
              <w:gridCol w:w="579"/>
              <w:gridCol w:w="1913"/>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项目类别</w:t>
                  </w:r>
                </w:p>
              </w:tc>
              <w:tc>
                <w:tcPr>
                  <w:tcW w:type="dxa" w:w="24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项目名称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信息化运维</w:t>
                  </w: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人员工资</w:t>
                  </w:r>
                </w:p>
              </w:tc>
              <w:tc>
                <w:tcPr>
                  <w:tcW w:type="dxa" w:w="1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软件工程师</w:t>
                  </w:r>
                  <w:r>
                    <w:rPr>
                      <w:rFonts w:ascii="仿宋_GB2312" w:hAnsi="仿宋_GB2312" w:cs="仿宋_GB2312" w:eastAsia="仿宋_GB2312"/>
                      <w:sz w:val="22"/>
                      <w:color w:val="000000"/>
                    </w:rPr>
                    <w:t>3人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硬件工程师</w:t>
                  </w:r>
                  <w:r>
                    <w:rPr>
                      <w:rFonts w:ascii="仿宋_GB2312" w:hAnsi="仿宋_GB2312" w:cs="仿宋_GB2312" w:eastAsia="仿宋_GB2312"/>
                      <w:sz w:val="22"/>
                      <w:color w:val="000000"/>
                    </w:rPr>
                    <w:t>3人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7"/>
                  <w:vMerge/>
                  <w:tcBorders>
                    <w:top w:val="none" w:color="000000" w:sz="4"/>
                    <w:left w:val="none" w:color="000000" w:sz="4"/>
                    <w:bottom w:val="single" w:color="000000" w:sz="4"/>
                    <w:right w:val="single" w:color="000000" w:sz="4"/>
                  </w:tcBorders>
                </w:tcP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设施租赁及辅材费用</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高空作业设施费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其他工具及设施租赁费：顶管机、马路切割机、套丝机、熔纤机、施工围挡等。</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辅材费：电源线、网线、设备跳线、线管、熔纤盒等。</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37"/>
                  <w:vMerge/>
                  <w:tcBorders>
                    <w:top w:val="none" w:color="000000" w:sz="4"/>
                    <w:left w:val="none" w:color="000000" w:sz="4"/>
                    <w:bottom w:val="single" w:color="000000" w:sz="4"/>
                    <w:right w:val="single" w:color="000000" w:sz="4"/>
                  </w:tcBorders>
                </w:tcP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车辆使用费用</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燃油费、运输费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通行费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车辆维修、保养费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37"/>
                  <w:vMerge/>
                  <w:tcBorders>
                    <w:top w:val="none" w:color="000000" w:sz="4"/>
                    <w:left w:val="none" w:color="000000" w:sz="4"/>
                    <w:bottom w:val="single" w:color="000000" w:sz="4"/>
                    <w:right w:val="single" w:color="000000" w:sz="4"/>
                  </w:tcBorders>
                </w:tcP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重保活动支持费用</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“护网”行动支持费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两会活动支持费用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国庆活动支持费用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37"/>
                  <w:vMerge/>
                  <w:tcBorders>
                    <w:top w:val="none" w:color="000000" w:sz="4"/>
                    <w:left w:val="non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春节活动支持费用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37"/>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前端设备用电费用</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暂列金额电费</w:t>
                  </w:r>
                  <w:r>
                    <w:rPr>
                      <w:rFonts w:ascii="仿宋_GB2312" w:hAnsi="仿宋_GB2312" w:cs="仿宋_GB2312" w:eastAsia="仿宋_GB2312"/>
                      <w:sz w:val="22"/>
                      <w:color w:val="000000"/>
                    </w:rPr>
                    <w:t>10万，据实结算。</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信号灯运维</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人员工资</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信号灯运维人员：项目经理</w:t>
                  </w:r>
                  <w:r>
                    <w:rPr>
                      <w:rFonts w:ascii="仿宋_GB2312" w:hAnsi="仿宋_GB2312" w:cs="仿宋_GB2312" w:eastAsia="仿宋_GB2312"/>
                      <w:sz w:val="22"/>
                      <w:color w:val="000000"/>
                    </w:rPr>
                    <w:t>1人、软件运维工程师1人、硬件运维工程师1人、项目资料员1人以及驾驶员1人</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37"/>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燃油费</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信号灯运维燃油费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37"/>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车辆维修及保养</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信号灯运维车辆维修及保养费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37"/>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特种车辆租赁使用费</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信号灯运维特种车辆租赁使用费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37"/>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信号优化</w:t>
                  </w:r>
                </w:p>
              </w:tc>
              <w:tc>
                <w:tcPr>
                  <w:tcW w:type="dxa" w:w="1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信号灯运维信号优化费</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进度款，合同签订并验收合格后支付，达到付款条件起30个工作日内，支付合同总金额的50.0%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进度款，第四季度支付，达到付款条件起30个工作日内，支付合同总金额的50.0%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符合国家级相关行业标准。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中标供应商通过项目电子化交易系统获取中标通知书后三日内需向代理机构提交三份与电子交易化系统投标文件一致并胶装成册的纸质投标文件。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近三年度财务审计报告（成立时间至协商时间不足一年的可提供成立后任意时段的资产负债表）或响应文件递交截止时间前六个月内其基本账户银行出具的资信证明（附基本账户证明）或政府采购信用担保机构出具的协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提供具有财务审计资质单位出具的近三年度财务审计报告（成立时间至协商时间不足一年的可提供成立后 任意时段的资产负债表）或响应文件递交截止时间前六个月内其基本账户银行出具的资信证明（附基本账户证明）或政府采购信用担保机构出具的协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法定代表人参与协商时需提供法定代表人身份证复印件；被授权人参与协商时需提供法定代表人授权委托书；供应商需在项目电子化交易系统中按要求上传相应证明文件并进行电子签章。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响应总报价</w:t>
            </w:r>
          </w:p>
        </w:tc>
        <w:tc>
          <w:tcPr>
            <w:tcW w:type="dxa" w:w="3322"/>
          </w:tcPr>
          <w:p>
            <w:pPr>
              <w:pStyle w:val="null3"/>
            </w:pPr>
            <w:r>
              <w:rPr>
                <w:rFonts w:ascii="仿宋_GB2312" w:hAnsi="仿宋_GB2312" w:cs="仿宋_GB2312" w:eastAsia="仿宋_GB2312"/>
              </w:rPr>
              <w:t>总报价唯⼀且未超过采购预算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符合采购⽂件要求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供应商必须按照采购⽂件的规定和要求在响应⽂件中指定的⻚⾯落款处加盖公章或由法定代表⼈或授权⼈签名（或盖章），其余⻚⾯逐⻚盖公章，否则将作为⽆效响应⽂件处理。招标⽂件凡是要求法定代表⼈签名或盖章之处，⾮法⼈单位的负责⼈参照执⾏</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法定代表人身份证明书.docx 残疾人福利性单位声明函 服务方案 标的清单 其他资料.docx 响应函 法定代表人授权委托书.docx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