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26D0B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center"/>
        <w:rPr>
          <w:rStyle w:val="7"/>
          <w:b/>
          <w:bCs/>
          <w:i w:val="0"/>
          <w:iCs w:val="0"/>
          <w:caps w:val="0"/>
          <w:color w:val="auto"/>
          <w:spacing w:val="0"/>
          <w:sz w:val="21"/>
          <w:szCs w:val="21"/>
          <w:bdr w:val="none" w:color="auto" w:sz="0" w:space="0"/>
          <w:shd w:val="clear" w:fill="FFFFFF"/>
        </w:rPr>
      </w:pPr>
      <w:r>
        <w:rPr>
          <w:rFonts w:ascii="微软雅黑" w:hAnsi="微软雅黑" w:eastAsia="微软雅黑" w:cs="微软雅黑"/>
          <w:b/>
          <w:bCs/>
          <w:i w:val="0"/>
          <w:iCs w:val="0"/>
          <w:caps w:val="0"/>
          <w:color w:val="auto"/>
          <w:spacing w:val="0"/>
          <w:sz w:val="36"/>
          <w:szCs w:val="36"/>
          <w:shd w:val="clear" w:fill="FFFFFF"/>
        </w:rPr>
        <w:t>府谷县136家工业固废渣场林草地占用数据调查分析技术服务费竞争性磋商公告</w:t>
      </w:r>
    </w:p>
    <w:p w14:paraId="3982534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7"/>
          <w:b/>
          <w:bCs/>
          <w:i w:val="0"/>
          <w:iCs w:val="0"/>
          <w:caps w:val="0"/>
          <w:color w:val="auto"/>
          <w:spacing w:val="0"/>
          <w:sz w:val="21"/>
          <w:szCs w:val="21"/>
          <w:bdr w:val="none" w:color="auto" w:sz="0" w:space="0"/>
          <w:shd w:val="clear" w:fill="FFFFFF"/>
        </w:rPr>
      </w:pPr>
    </w:p>
    <w:p w14:paraId="4ED8373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项目概况</w:t>
      </w:r>
    </w:p>
    <w:p w14:paraId="26FEF35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bdr w:val="none" w:color="auto" w:sz="0" w:space="0"/>
          <w:shd w:val="clear" w:fill="FFFFFF"/>
        </w:rPr>
        <w:t>府谷县136家工业固废渣场林草地占用数据调查分析技术服务费</w:t>
      </w:r>
      <w:r>
        <w:rPr>
          <w:rFonts w:hint="eastAsia" w:ascii="微软雅黑" w:hAnsi="微软雅黑" w:eastAsia="微软雅黑" w:cs="微软雅黑"/>
          <w:i w:val="0"/>
          <w:iCs w:val="0"/>
          <w:caps w:val="0"/>
          <w:color w:val="auto"/>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auto"/>
          <w:spacing w:val="0"/>
          <w:sz w:val="21"/>
          <w:szCs w:val="21"/>
          <w:bdr w:val="none" w:color="auto" w:sz="0" w:space="0"/>
          <w:shd w:val="clear" w:fill="FFFFFF"/>
        </w:rPr>
        <w:t>全国公共资源交易中心平台登录（陕西省）使用CA锁投标确认后自行下载</w:t>
      </w:r>
      <w:r>
        <w:rPr>
          <w:rFonts w:hint="eastAsia" w:ascii="微软雅黑" w:hAnsi="微软雅黑" w:eastAsia="微软雅黑" w:cs="微软雅黑"/>
          <w:i w:val="0"/>
          <w:iCs w:val="0"/>
          <w:caps w:val="0"/>
          <w:color w:val="auto"/>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2026年07月21日 15时00分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（北京时间）前提交响应文件。</w:t>
      </w:r>
    </w:p>
    <w:p w14:paraId="3E32974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一、项目基本情况</w:t>
      </w:r>
    </w:p>
    <w:p w14:paraId="5B14564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项目编号：ZCSP-府谷县-2026-00890</w:t>
      </w:r>
    </w:p>
    <w:p w14:paraId="0590FD9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项目名称：府谷县136家工业固废渣场林草地占用数据调查分析技术服务费</w:t>
      </w:r>
    </w:p>
    <w:p w14:paraId="77436B3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采购方式：竞争性磋商</w:t>
      </w:r>
    </w:p>
    <w:p w14:paraId="05032CB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预算金额：965,000.00元</w:t>
      </w:r>
    </w:p>
    <w:p w14:paraId="2C73527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采购需求：</w:t>
      </w:r>
    </w:p>
    <w:p w14:paraId="393BAD3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合同包1(府谷县136家工业固废渣场林草地占用数据调查分析技术服务费):</w:t>
      </w:r>
    </w:p>
    <w:p w14:paraId="64DB749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合同包预算金额：965,000.00元</w:t>
      </w:r>
      <w:bookmarkStart w:id="0" w:name="_GoBack"/>
      <w:bookmarkEnd w:id="0"/>
    </w:p>
    <w:p w14:paraId="23DCED5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合同包最高限价：965,000.00元</w:t>
      </w:r>
    </w:p>
    <w:tbl>
      <w:tblPr>
        <w:tblStyle w:val="5"/>
        <w:tblW w:w="929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38"/>
        <w:gridCol w:w="896"/>
        <w:gridCol w:w="3246"/>
        <w:gridCol w:w="1344"/>
        <w:gridCol w:w="1017"/>
        <w:gridCol w:w="1957"/>
      </w:tblGrid>
      <w:tr w14:paraId="6322AE6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757" w:hRule="atLeast"/>
          <w:tblHeader/>
        </w:trPr>
        <w:tc>
          <w:tcPr>
            <w:tcW w:w="11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2A65B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品目号</w:t>
            </w:r>
          </w:p>
        </w:tc>
        <w:tc>
          <w:tcPr>
            <w:tcW w:w="13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9D3DB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品目名称</w:t>
            </w:r>
          </w:p>
        </w:tc>
        <w:tc>
          <w:tcPr>
            <w:tcW w:w="23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A1AA8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采购标的</w:t>
            </w:r>
          </w:p>
        </w:tc>
        <w:tc>
          <w:tcPr>
            <w:tcW w:w="13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B82A1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数量（单位）</w:t>
            </w:r>
          </w:p>
        </w:tc>
        <w:tc>
          <w:tcPr>
            <w:tcW w:w="13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1E3DD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技术规格、参数及要求</w:t>
            </w:r>
          </w:p>
        </w:tc>
        <w:tc>
          <w:tcPr>
            <w:tcW w:w="18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38AFD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品目预算(元)</w:t>
            </w:r>
          </w:p>
        </w:tc>
      </w:tr>
      <w:tr w14:paraId="2D2531B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397"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BC732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25DB0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其他林业服务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7D1E7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府谷县136家工业固废渣场林草地占用数据调查分析技术服务费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F4719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E7098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A6B94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965,000.00</w:t>
            </w:r>
          </w:p>
        </w:tc>
      </w:tr>
    </w:tbl>
    <w:p w14:paraId="5511DD6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本合同包不接受联合体投标</w:t>
      </w:r>
    </w:p>
    <w:p w14:paraId="6D5227C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合同履行期限：30日历天。</w:t>
      </w:r>
    </w:p>
    <w:p w14:paraId="56E25D4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二、申请人的资格要求：</w:t>
      </w:r>
    </w:p>
    <w:p w14:paraId="4BBDE8F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1.满足《中华人民共和国政府采购法》第二十二条规定;</w:t>
      </w:r>
    </w:p>
    <w:p w14:paraId="4DA25E3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2.落实政府采购政策需满足的资格要求：</w:t>
      </w:r>
    </w:p>
    <w:p w14:paraId="0B78348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合同包1(府谷县136家工业固废渣场林草地占用数据调查分析技术服务费)落实政府采购政策需满足的资格要求如下:</w:t>
      </w:r>
    </w:p>
    <w:p w14:paraId="20C8B99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①、《政府采购促进中小企业发展管理办法》（财库〔2020〕46号）； </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②、《三部门联合发布关于促进残疾人就业政府采购政策的通知》（财库[2017] 141号）； </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③、《财政部司法部关于政府采购支持监狱企业发展有关问题的通知》（财库〔2014〕68号）；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④、《国务院办公厅关于建立政府强制采购节能产品制度的通知》（国办发[2007]51号）； </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⑤、《财政部发展改革委生态环境部市场监管总局关于调整优化节能产品、环境标志产品政府采购执行机制的通知》（财库〔2019〕9号）；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⑥、《陕西省中小企业政府采购信用融资办法》（陕财办采〔2018〕23号）；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⑦、《关于进一步加大政府采购支持中小企业力度的通知》（财库〔2022〕19号）；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⑧、落实其它相关政策。</w:t>
      </w:r>
    </w:p>
    <w:p w14:paraId="04F6C39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3.本项目的特定资格要求：</w:t>
      </w:r>
    </w:p>
    <w:p w14:paraId="042D360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合同包1(府谷县136家工业固废渣场林草地占用数据调查分析技术服务费)特定资格要求如下:</w:t>
      </w:r>
    </w:p>
    <w:p w14:paraId="4D551AD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①、供应商应具有独立承担民事责任能力的法人、其他组织或自然人。企业法人应提供合法有效的统一社会信用代码的营业执照（附营业执照2025年企业年度报告书）；其他组织应提供合法登记证明文件；自然人应提供身份证；</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②、供应商应具备林业调查规划设计乙级（含乙级）及以上资质；</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③、拟派项目负责人需具备林学、森林资源调查、草原规划、林业工程相关专业高级及以上职称证书以及社保经办机构出具的2026年5月、6月或7月份至少一个月的本企业社保缴纳证明材料（五险一金其中一项即可，应可查询）；</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④、财务状况报告：财务状况良好，提供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⑤、税收缴纳证明：提供2025年7月至今已缴纳的至少一个月的纳税证明材料或完税证明，依法免税的单位应提供相关证明材料；</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⑥、社会保障资金缴纳证明：提供2025年7月至今已缴纳的至少一个月的社会保障资金缴存单据或社保机构开具的社会保险参保缴费情况证明。依法不需要缴纳社会保障资金的供应商应提供相关文件证明；</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⑦、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⑧、书面声明：参加本次政府采购活动前三年内在经营活动中没有重大违法记录的书面声明函；</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⑨、本项目不接受联合体磋商，单位负责人为同一人或存在直接控股、管理关系的不同单位，不得同时参加本项目政府采购活动，提供《供应商企业关系关联承诺书》；</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⑩、履约能力：供应商需提供具有履行合同所必需的设备和专业技术能力的承诺函；</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⑪、供应商需提供榆林市政府采购服务类项目供应商信用承诺书、投标人信用承诺书、投标人委托代理人员信用承诺书以及在“信用中国（陕西榆林）”网站上传附件后的网页截图；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⑫、投标保证金：本项目采用投标信用承诺书代替投标保证金的形式，供应商需提供投标信用承诺书及在“信用中国（陕西榆林）”网站上传附件后的网页截图；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⑬、本项目非专门面向中小企业采购。本项目采购标的对应的中小企业划分标准所属行业为其他未列明行业。</w:t>
      </w:r>
    </w:p>
    <w:p w14:paraId="516DF67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三、获取采购文件</w:t>
      </w:r>
    </w:p>
    <w:p w14:paraId="1254291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2026年07月09日 至 2026年07月15日 ，每天上午 08:00:00 至 12:00:00 ，下午 15:00:00 至 17:00:00 （北京时间）</w:t>
      </w:r>
    </w:p>
    <w:p w14:paraId="653184D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途径：</w:t>
      </w:r>
      <w:r>
        <w:rPr>
          <w:rFonts w:hint="eastAsia" w:ascii="微软雅黑" w:hAnsi="微软雅黑" w:eastAsia="微软雅黑" w:cs="微软雅黑"/>
          <w:i w:val="0"/>
          <w:iCs w:val="0"/>
          <w:caps w:val="0"/>
          <w:color w:val="auto"/>
          <w:spacing w:val="0"/>
          <w:sz w:val="21"/>
          <w:szCs w:val="21"/>
          <w:bdr w:val="none" w:color="auto" w:sz="0" w:space="0"/>
          <w:shd w:val="clear" w:fill="FFFFFF"/>
        </w:rPr>
        <w:t>全国公共资源交易中心平台登录（陕西省）使用CA锁投标确认后自行下载</w:t>
      </w:r>
    </w:p>
    <w:p w14:paraId="4CA392F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方式：</w:t>
      </w:r>
      <w:r>
        <w:rPr>
          <w:rFonts w:hint="eastAsia" w:ascii="微软雅黑" w:hAnsi="微软雅黑" w:eastAsia="微软雅黑" w:cs="微软雅黑"/>
          <w:i w:val="0"/>
          <w:iCs w:val="0"/>
          <w:caps w:val="0"/>
          <w:color w:val="auto"/>
          <w:spacing w:val="0"/>
          <w:sz w:val="21"/>
          <w:szCs w:val="21"/>
          <w:bdr w:val="none" w:color="auto" w:sz="0" w:space="0"/>
          <w:shd w:val="clear" w:fill="FFFFFF"/>
        </w:rPr>
        <w:t>在线获取</w:t>
      </w:r>
    </w:p>
    <w:p w14:paraId="6F5D27E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售价：</w:t>
      </w:r>
      <w:r>
        <w:rPr>
          <w:rFonts w:hint="eastAsia" w:ascii="微软雅黑" w:hAnsi="微软雅黑" w:eastAsia="微软雅黑" w:cs="微软雅黑"/>
          <w:i w:val="0"/>
          <w:iCs w:val="0"/>
          <w:caps w:val="0"/>
          <w:color w:val="auto"/>
          <w:spacing w:val="0"/>
          <w:sz w:val="21"/>
          <w:szCs w:val="21"/>
          <w:bdr w:val="none" w:color="auto" w:sz="0" w:space="0"/>
          <w:shd w:val="clear" w:fill="FFFFFF"/>
        </w:rPr>
        <w:t> 0元</w:t>
      </w:r>
    </w:p>
    <w:p w14:paraId="5157D14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四、响应文件提交</w:t>
      </w:r>
    </w:p>
    <w:p w14:paraId="4F26615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截止时间：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2026年07月21日 15时00分00秒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w:t>
      </w:r>
    </w:p>
    <w:p w14:paraId="40EC106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地点：</w:t>
      </w:r>
      <w:r>
        <w:rPr>
          <w:rFonts w:hint="eastAsia" w:ascii="微软雅黑" w:hAnsi="微软雅黑" w:eastAsia="微软雅黑" w:cs="微软雅黑"/>
          <w:i w:val="0"/>
          <w:iCs w:val="0"/>
          <w:caps w:val="0"/>
          <w:color w:val="auto"/>
          <w:spacing w:val="0"/>
          <w:sz w:val="21"/>
          <w:szCs w:val="21"/>
          <w:bdr w:val="none" w:color="auto" w:sz="0" w:space="0"/>
          <w:shd w:val="clear" w:fill="FFFFFF"/>
        </w:rPr>
        <w:t>府谷县新区盛尚嘉宴酒店大厅西边电梯上 5 楼 8561 室</w:t>
      </w:r>
    </w:p>
    <w:p w14:paraId="2BD8A3B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五、开启</w:t>
      </w:r>
    </w:p>
    <w:p w14:paraId="39FBC6C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2026年07月21日 15时00分00秒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w:t>
      </w:r>
    </w:p>
    <w:p w14:paraId="1A0335F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地点：</w:t>
      </w:r>
      <w:r>
        <w:rPr>
          <w:rFonts w:hint="eastAsia" w:ascii="微软雅黑" w:hAnsi="微软雅黑" w:eastAsia="微软雅黑" w:cs="微软雅黑"/>
          <w:i w:val="0"/>
          <w:iCs w:val="0"/>
          <w:caps w:val="0"/>
          <w:color w:val="auto"/>
          <w:spacing w:val="0"/>
          <w:sz w:val="21"/>
          <w:szCs w:val="21"/>
          <w:bdr w:val="none" w:color="auto" w:sz="0" w:space="0"/>
          <w:shd w:val="clear" w:fill="FFFFFF"/>
        </w:rPr>
        <w:t>府谷县新区盛尚嘉宴酒店大厅西边电梯上 5 楼 8561 室</w:t>
      </w:r>
    </w:p>
    <w:p w14:paraId="6D68B61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六、公告期限</w:t>
      </w:r>
    </w:p>
    <w:p w14:paraId="7D70C25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auto"/>
          <w:spacing w:val="0"/>
          <w:sz w:val="21"/>
          <w:szCs w:val="21"/>
          <w:bdr w:val="none" w:color="auto" w:sz="0" w:space="0"/>
          <w:shd w:val="clear" w:fill="FFFFFF"/>
        </w:rPr>
        <w:t>3</w:t>
      </w:r>
      <w:r>
        <w:rPr>
          <w:rFonts w:hint="eastAsia" w:ascii="微软雅黑" w:hAnsi="微软雅黑" w:eastAsia="微软雅黑" w:cs="微软雅黑"/>
          <w:i w:val="0"/>
          <w:iCs w:val="0"/>
          <w:caps w:val="0"/>
          <w:color w:val="auto"/>
          <w:spacing w:val="0"/>
          <w:sz w:val="21"/>
          <w:szCs w:val="21"/>
          <w:bdr w:val="none" w:color="auto" w:sz="0" w:space="0"/>
          <w:shd w:val="clear" w:fill="FFFFFF"/>
        </w:rPr>
        <w:t>个工作日。</w:t>
      </w:r>
    </w:p>
    <w:p w14:paraId="4EBF0F7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七、其他补充事宜</w:t>
      </w:r>
    </w:p>
    <w:p w14:paraId="6CAD068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 1、自本公告发布之日起5个工作日。</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  2、供应商可登录全国公共资源交易中心平台（陕西省）（http://www.sxggzyjy.cn/）,选择“电子交易平台-政府采购交易系统-企业端进行登录，登录后选择“交易乙方”身份进入供应商界面进行投标确认并免费下载竞争性磋商文件。</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  3、办理CA锁方式（仅供参考）：榆林市市民大厦，联系电话：0912-3452148。</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  4、请供应商按照陕西省财政厅关于政府采购供应商注册登记有关事项的通知中的要求，通过陕西省政府采购网（http://www.ccgp-shaanxi.gov.cn/）注册登记加入陕西省政府采购供应商库。</w:t>
      </w:r>
    </w:p>
    <w:p w14:paraId="415DE04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八、对本次招标提出询问，请按以下方式联系。</w:t>
      </w:r>
    </w:p>
    <w:p w14:paraId="46E4EDC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1.采购人信息</w:t>
      </w:r>
    </w:p>
    <w:p w14:paraId="73282A2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府谷县林业局本级</w:t>
      </w:r>
    </w:p>
    <w:p w14:paraId="4BEB0CF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府谷县新区国土大楼9楼</w:t>
      </w:r>
    </w:p>
    <w:p w14:paraId="5DBE3E0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0912-8736579</w:t>
      </w:r>
    </w:p>
    <w:p w14:paraId="71D4502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2.采购代理机构信息</w:t>
      </w:r>
    </w:p>
    <w:p w14:paraId="3E170F2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信宏工程咨询有限公司</w:t>
      </w:r>
    </w:p>
    <w:p w14:paraId="362C2E4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府谷县新区盛尚嘉宴酒店大厅西边电梯上 5 楼 8561 室</w:t>
      </w:r>
    </w:p>
    <w:p w14:paraId="1458CBC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0912-8733111</w:t>
      </w:r>
    </w:p>
    <w:p w14:paraId="077928C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3.项目联系方式</w:t>
      </w:r>
    </w:p>
    <w:p w14:paraId="52335D5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auto"/>
          <w:spacing w:val="0"/>
          <w:sz w:val="21"/>
          <w:szCs w:val="21"/>
          <w:bdr w:val="none" w:color="auto" w:sz="0" w:space="0"/>
          <w:shd w:val="clear" w:fill="FFFFFF"/>
        </w:rPr>
        <w:t>刘工</w:t>
      </w:r>
    </w:p>
    <w:p w14:paraId="4D133EE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电话：</w:t>
      </w:r>
      <w:r>
        <w:rPr>
          <w:rFonts w:hint="eastAsia" w:ascii="微软雅黑" w:hAnsi="微软雅黑" w:eastAsia="微软雅黑" w:cs="微软雅黑"/>
          <w:i w:val="0"/>
          <w:iCs w:val="0"/>
          <w:caps w:val="0"/>
          <w:color w:val="auto"/>
          <w:spacing w:val="0"/>
          <w:sz w:val="21"/>
          <w:szCs w:val="21"/>
          <w:bdr w:val="none" w:color="auto" w:sz="0" w:space="0"/>
          <w:shd w:val="clear" w:fill="FFFFFF"/>
        </w:rPr>
        <w:t>0912-8733111</w:t>
      </w:r>
    </w:p>
    <w:p w14:paraId="6DD6D87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信宏工程咨询有限公司</w:t>
      </w:r>
    </w:p>
    <w:p w14:paraId="2B2C1DCB">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0350DB"/>
    <w:rsid w:val="270350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2026-07-08T08:22:00Z</dcterms:created>
  <dc:creator>k</dc:creator>
  <cp:lastModifiedBy>k</cp:lastModifiedBy>
  <dcterms:modified xsi:type="dcterms:W3CDTF">2026-07-08T08:24:18Z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BF6BA648EA1D4FB08E39A4344E3427C3_11</vt:lpwstr>
  </property>
  <property fmtid="{D5CDD505-2E9C-101B-9397-08002B2CF9AE}" pid="4" name="KSOTemplateDocerSaveRecord">
    <vt:lpwstr>eyJoZGlkIjoiZjMyNGMzNDBjYWFjY2IwZTU5MjFlYmZjYjJhOWNkMDUiLCJ1c2VySWQiOiI2MTUyMzY4NzQifQ==</vt:lpwstr>
  </property>
</Properties>
</file>