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83CBD6">
      <w:pPr>
        <w:autoSpaceDE w:val="0"/>
        <w:autoSpaceDN w:val="0"/>
        <w:adjustRightInd w:val="0"/>
        <w:snapToGrid w:val="0"/>
        <w:spacing w:line="360" w:lineRule="auto"/>
        <w:jc w:val="left"/>
        <w:rPr>
          <w:rFonts w:eastAsia="仿宋_GB2312"/>
          <w:b/>
          <w:bCs/>
          <w:color w:val="auto"/>
          <w:sz w:val="30"/>
          <w:szCs w:val="30"/>
          <w:highlight w:val="none"/>
          <w:lang w:val="zh-CN"/>
        </w:rPr>
      </w:pPr>
    </w:p>
    <w:p w14:paraId="5229F509">
      <w:pPr>
        <w:autoSpaceDE w:val="0"/>
        <w:autoSpaceDN w:val="0"/>
        <w:adjustRightInd w:val="0"/>
        <w:snapToGrid w:val="0"/>
        <w:spacing w:line="360" w:lineRule="auto"/>
        <w:jc w:val="left"/>
        <w:rPr>
          <w:rFonts w:ascii="仿宋_GB2312" w:eastAsia="仿宋_GB2312"/>
          <w:b/>
          <w:bCs/>
          <w:color w:val="auto"/>
          <w:sz w:val="30"/>
          <w:szCs w:val="30"/>
          <w:highlight w:val="none"/>
          <w:lang w:val="zh-CN"/>
        </w:rPr>
      </w:pPr>
      <w:r>
        <w:rPr>
          <w:rFonts w:eastAsia="仿宋_GB2312"/>
          <w:b/>
          <w:bCs/>
          <w:color w:val="auto"/>
          <w:sz w:val="30"/>
          <w:szCs w:val="30"/>
          <w:highlight w:val="none"/>
          <w:lang w:val="zh-CN"/>
        </w:rPr>
        <w:t>政</w:t>
      </w:r>
      <w:r>
        <w:rPr>
          <w:rFonts w:hint="eastAsia" w:ascii="仿宋_GB2312" w:eastAsia="仿宋_GB2312"/>
          <w:b/>
          <w:bCs/>
          <w:color w:val="auto"/>
          <w:sz w:val="30"/>
          <w:szCs w:val="30"/>
          <w:highlight w:val="none"/>
          <w:lang w:val="zh-CN"/>
        </w:rPr>
        <w:t>府采购项目</w:t>
      </w:r>
    </w:p>
    <w:p w14:paraId="03D484DC">
      <w:pPr>
        <w:autoSpaceDE w:val="0"/>
        <w:autoSpaceDN w:val="0"/>
        <w:adjustRightInd w:val="0"/>
        <w:snapToGrid w:val="0"/>
        <w:spacing w:line="360" w:lineRule="auto"/>
        <w:jc w:val="left"/>
        <w:rPr>
          <w:rFonts w:ascii="仿宋_GB2312" w:eastAsia="仿宋_GB2312"/>
          <w:b/>
          <w:bCs/>
          <w:color w:val="auto"/>
          <w:sz w:val="30"/>
          <w:szCs w:val="30"/>
          <w:highlight w:val="none"/>
          <w:lang w:val="zh-CN"/>
        </w:rPr>
      </w:pPr>
      <w:r>
        <w:rPr>
          <w:rFonts w:hint="eastAsia" w:ascii="仿宋_GB2312" w:eastAsia="仿宋_GB2312"/>
          <w:b/>
          <w:bCs/>
          <w:color w:val="auto"/>
          <w:sz w:val="30"/>
          <w:szCs w:val="30"/>
          <w:highlight w:val="none"/>
          <w:lang w:val="zh-CN"/>
        </w:rPr>
        <w:t>采购项目编号</w:t>
      </w:r>
      <w:r>
        <w:rPr>
          <w:rFonts w:hint="eastAsia" w:ascii="仿宋_GB2312" w:eastAsia="仿宋_GB2312"/>
          <w:b/>
          <w:bCs/>
          <w:color w:val="auto"/>
          <w:sz w:val="30"/>
          <w:szCs w:val="30"/>
          <w:highlight w:val="none"/>
          <w:lang w:val="zh-CN" w:eastAsia="zh-CN"/>
        </w:rPr>
        <w:t>：SCZC2026-CS-1644/001</w:t>
      </w:r>
    </w:p>
    <w:p w14:paraId="5FAE4383">
      <w:pPr>
        <w:tabs>
          <w:tab w:val="left" w:pos="5670"/>
        </w:tabs>
        <w:autoSpaceDE w:val="0"/>
        <w:autoSpaceDN w:val="0"/>
        <w:adjustRightInd w:val="0"/>
        <w:snapToGrid w:val="0"/>
        <w:spacing w:line="360" w:lineRule="auto"/>
        <w:jc w:val="center"/>
        <w:rPr>
          <w:rFonts w:eastAsia="仿宋_GB2312"/>
          <w:color w:val="auto"/>
          <w:sz w:val="30"/>
          <w:szCs w:val="30"/>
          <w:highlight w:val="none"/>
        </w:rPr>
      </w:pPr>
    </w:p>
    <w:p w14:paraId="6C3F216D">
      <w:pPr>
        <w:tabs>
          <w:tab w:val="left" w:pos="5670"/>
        </w:tabs>
        <w:autoSpaceDE w:val="0"/>
        <w:autoSpaceDN w:val="0"/>
        <w:adjustRightInd w:val="0"/>
        <w:snapToGrid w:val="0"/>
        <w:spacing w:line="360" w:lineRule="auto"/>
        <w:jc w:val="center"/>
        <w:rPr>
          <w:rFonts w:eastAsia="仿宋_GB2312"/>
          <w:color w:val="auto"/>
          <w:sz w:val="32"/>
          <w:szCs w:val="32"/>
          <w:highlight w:val="none"/>
        </w:rPr>
      </w:pPr>
      <w:r>
        <w:rPr>
          <w:rFonts w:eastAsia="仿宋_GB2312"/>
          <w:color w:val="auto"/>
          <w:sz w:val="32"/>
          <w:szCs w:val="32"/>
          <w:highlight w:val="none"/>
        </w:rPr>
        <w:t xml:space="preserve"> </w:t>
      </w:r>
    </w:p>
    <w:p w14:paraId="7190298D">
      <w:pPr>
        <w:tabs>
          <w:tab w:val="left" w:pos="5670"/>
        </w:tabs>
        <w:autoSpaceDE w:val="0"/>
        <w:autoSpaceDN w:val="0"/>
        <w:adjustRightInd w:val="0"/>
        <w:snapToGrid w:val="0"/>
        <w:spacing w:line="360" w:lineRule="auto"/>
        <w:jc w:val="center"/>
        <w:rPr>
          <w:rFonts w:eastAsia="仿宋_GB2312"/>
          <w:color w:val="auto"/>
          <w:sz w:val="32"/>
          <w:szCs w:val="32"/>
          <w:highlight w:val="none"/>
        </w:rPr>
      </w:pPr>
    </w:p>
    <w:p w14:paraId="25430AAE">
      <w:pPr>
        <w:autoSpaceDE w:val="0"/>
        <w:autoSpaceDN w:val="0"/>
        <w:adjustRightInd w:val="0"/>
        <w:snapToGrid w:val="0"/>
        <w:spacing w:line="360" w:lineRule="auto"/>
        <w:jc w:val="center"/>
        <w:rPr>
          <w:rFonts w:hint="eastAsia" w:eastAsia="仿宋_GB2312"/>
          <w:b/>
          <w:bCs/>
          <w:color w:val="auto"/>
          <w:sz w:val="44"/>
          <w:szCs w:val="44"/>
          <w:highlight w:val="none"/>
          <w:lang w:eastAsia="zh-CN"/>
        </w:rPr>
      </w:pPr>
      <w:r>
        <w:rPr>
          <w:rFonts w:hint="eastAsia" w:eastAsia="仿宋_GB2312"/>
          <w:b/>
          <w:bCs/>
          <w:color w:val="auto"/>
          <w:sz w:val="44"/>
          <w:szCs w:val="44"/>
          <w:highlight w:val="none"/>
          <w:lang w:val="en-US" w:eastAsia="zh-CN"/>
        </w:rPr>
        <w:t>沣东新城安保服务采购项目</w:t>
      </w:r>
    </w:p>
    <w:p w14:paraId="379CBDC6">
      <w:pPr>
        <w:tabs>
          <w:tab w:val="left" w:pos="5670"/>
        </w:tabs>
        <w:autoSpaceDE w:val="0"/>
        <w:autoSpaceDN w:val="0"/>
        <w:adjustRightInd w:val="0"/>
        <w:snapToGrid w:val="0"/>
        <w:spacing w:line="360" w:lineRule="auto"/>
        <w:jc w:val="center"/>
        <w:rPr>
          <w:rFonts w:eastAsia="仿宋_GB2312"/>
          <w:b/>
          <w:bCs/>
          <w:color w:val="auto"/>
          <w:sz w:val="36"/>
          <w:szCs w:val="36"/>
          <w:highlight w:val="none"/>
          <w:lang w:val="zh-CN"/>
        </w:rPr>
      </w:pPr>
    </w:p>
    <w:p w14:paraId="21C5E880">
      <w:pPr>
        <w:tabs>
          <w:tab w:val="left" w:pos="5670"/>
        </w:tabs>
        <w:autoSpaceDE w:val="0"/>
        <w:autoSpaceDN w:val="0"/>
        <w:adjustRightInd w:val="0"/>
        <w:snapToGrid w:val="0"/>
        <w:spacing w:line="360" w:lineRule="auto"/>
        <w:jc w:val="center"/>
        <w:rPr>
          <w:rFonts w:eastAsia="仿宋_GB2312"/>
          <w:b/>
          <w:bCs/>
          <w:color w:val="auto"/>
          <w:sz w:val="52"/>
          <w:szCs w:val="52"/>
          <w:highlight w:val="none"/>
          <w:lang w:val="zh-CN"/>
        </w:rPr>
      </w:pPr>
    </w:p>
    <w:p w14:paraId="35B6F95D">
      <w:pPr>
        <w:tabs>
          <w:tab w:val="left" w:pos="5670"/>
        </w:tabs>
        <w:autoSpaceDE w:val="0"/>
        <w:autoSpaceDN w:val="0"/>
        <w:adjustRightInd w:val="0"/>
        <w:snapToGrid w:val="0"/>
        <w:spacing w:line="360" w:lineRule="auto"/>
        <w:jc w:val="center"/>
        <w:rPr>
          <w:rFonts w:eastAsia="仿宋_GB2312"/>
          <w:b/>
          <w:bCs/>
          <w:color w:val="auto"/>
          <w:sz w:val="52"/>
          <w:szCs w:val="52"/>
          <w:highlight w:val="none"/>
          <w:lang w:val="zh-CN"/>
        </w:rPr>
      </w:pPr>
      <w:r>
        <w:rPr>
          <w:rFonts w:eastAsia="仿宋_GB2312"/>
          <w:b/>
          <w:bCs/>
          <w:color w:val="auto"/>
          <w:sz w:val="52"/>
          <w:szCs w:val="52"/>
          <w:highlight w:val="none"/>
          <w:lang w:val="zh-CN"/>
        </w:rPr>
        <w:t>竞争性磋商文</w:t>
      </w:r>
      <w:bookmarkStart w:id="515" w:name="_GoBack"/>
      <w:bookmarkEnd w:id="515"/>
      <w:r>
        <w:rPr>
          <w:rFonts w:eastAsia="仿宋_GB2312"/>
          <w:b/>
          <w:bCs/>
          <w:color w:val="auto"/>
          <w:sz w:val="52"/>
          <w:szCs w:val="52"/>
          <w:highlight w:val="none"/>
          <w:lang w:val="zh-CN"/>
        </w:rPr>
        <w:t>件</w:t>
      </w:r>
    </w:p>
    <w:p w14:paraId="2099BB2E">
      <w:pPr>
        <w:tabs>
          <w:tab w:val="left" w:pos="5670"/>
        </w:tabs>
        <w:autoSpaceDE w:val="0"/>
        <w:autoSpaceDN w:val="0"/>
        <w:adjustRightInd w:val="0"/>
        <w:snapToGrid w:val="0"/>
        <w:spacing w:line="360" w:lineRule="auto"/>
        <w:jc w:val="center"/>
        <w:rPr>
          <w:rFonts w:eastAsia="仿宋_GB2312"/>
          <w:color w:val="auto"/>
          <w:sz w:val="50"/>
          <w:szCs w:val="50"/>
          <w:highlight w:val="none"/>
        </w:rPr>
      </w:pPr>
    </w:p>
    <w:p w14:paraId="5BFAC7DD">
      <w:pPr>
        <w:tabs>
          <w:tab w:val="left" w:pos="5670"/>
        </w:tabs>
        <w:autoSpaceDE w:val="0"/>
        <w:autoSpaceDN w:val="0"/>
        <w:adjustRightInd w:val="0"/>
        <w:snapToGrid w:val="0"/>
        <w:spacing w:line="360" w:lineRule="auto"/>
        <w:jc w:val="center"/>
        <w:rPr>
          <w:rFonts w:eastAsia="仿宋_GB2312"/>
          <w:color w:val="auto"/>
          <w:sz w:val="50"/>
          <w:szCs w:val="50"/>
          <w:highlight w:val="none"/>
        </w:rPr>
      </w:pPr>
    </w:p>
    <w:p w14:paraId="4F90A504">
      <w:pPr>
        <w:tabs>
          <w:tab w:val="left" w:pos="5670"/>
        </w:tabs>
        <w:autoSpaceDE w:val="0"/>
        <w:autoSpaceDN w:val="0"/>
        <w:adjustRightInd w:val="0"/>
        <w:snapToGrid w:val="0"/>
        <w:spacing w:line="360" w:lineRule="auto"/>
        <w:jc w:val="center"/>
        <w:rPr>
          <w:rFonts w:eastAsia="仿宋_GB2312"/>
          <w:b/>
          <w:bCs/>
          <w:color w:val="auto"/>
          <w:sz w:val="30"/>
          <w:szCs w:val="30"/>
          <w:highlight w:val="none"/>
        </w:rPr>
      </w:pPr>
    </w:p>
    <w:p w14:paraId="246A62D4">
      <w:pPr>
        <w:tabs>
          <w:tab w:val="left" w:pos="5670"/>
        </w:tabs>
        <w:autoSpaceDE w:val="0"/>
        <w:autoSpaceDN w:val="0"/>
        <w:adjustRightInd w:val="0"/>
        <w:snapToGrid w:val="0"/>
        <w:spacing w:line="360" w:lineRule="auto"/>
        <w:jc w:val="center"/>
        <w:rPr>
          <w:rFonts w:eastAsia="仿宋_GB2312"/>
          <w:b/>
          <w:bCs/>
          <w:color w:val="auto"/>
          <w:sz w:val="30"/>
          <w:szCs w:val="30"/>
          <w:highlight w:val="none"/>
        </w:rPr>
      </w:pPr>
    </w:p>
    <w:p w14:paraId="27401380">
      <w:pPr>
        <w:pStyle w:val="22"/>
        <w:rPr>
          <w:rFonts w:ascii="Times New Roman" w:hAnsi="Times New Roman" w:eastAsia="仿宋_GB2312"/>
          <w:b/>
          <w:bCs/>
          <w:color w:val="auto"/>
          <w:sz w:val="30"/>
          <w:szCs w:val="30"/>
          <w:highlight w:val="none"/>
        </w:rPr>
      </w:pPr>
    </w:p>
    <w:p w14:paraId="44206DCA">
      <w:pPr>
        <w:pStyle w:val="22"/>
        <w:rPr>
          <w:rFonts w:ascii="Times New Roman" w:hAnsi="Times New Roman" w:eastAsia="仿宋_GB2312"/>
          <w:b/>
          <w:bCs/>
          <w:color w:val="auto"/>
          <w:sz w:val="30"/>
          <w:szCs w:val="30"/>
          <w:highlight w:val="none"/>
        </w:rPr>
      </w:pPr>
    </w:p>
    <w:p w14:paraId="58ADA5C4">
      <w:pPr>
        <w:pStyle w:val="22"/>
        <w:rPr>
          <w:rFonts w:ascii="Times New Roman" w:hAnsi="Times New Roman" w:eastAsia="仿宋_GB2312"/>
          <w:b/>
          <w:bCs/>
          <w:color w:val="auto"/>
          <w:sz w:val="30"/>
          <w:szCs w:val="30"/>
          <w:highlight w:val="none"/>
        </w:rPr>
      </w:pPr>
    </w:p>
    <w:p w14:paraId="4D549040">
      <w:pPr>
        <w:tabs>
          <w:tab w:val="left" w:pos="5670"/>
        </w:tabs>
        <w:autoSpaceDE w:val="0"/>
        <w:autoSpaceDN w:val="0"/>
        <w:adjustRightInd w:val="0"/>
        <w:snapToGrid w:val="0"/>
        <w:spacing w:line="360" w:lineRule="auto"/>
        <w:jc w:val="center"/>
        <w:rPr>
          <w:rFonts w:eastAsia="仿宋_GB2312"/>
          <w:b/>
          <w:bCs/>
          <w:color w:val="auto"/>
          <w:sz w:val="30"/>
          <w:szCs w:val="30"/>
          <w:highlight w:val="none"/>
        </w:rPr>
      </w:pPr>
      <w:r>
        <w:rPr>
          <w:rFonts w:eastAsia="仿宋_GB2312"/>
          <w:b/>
          <w:bCs/>
          <w:color w:val="auto"/>
          <w:sz w:val="30"/>
          <w:szCs w:val="30"/>
          <w:highlight w:val="none"/>
          <w:lang w:val="zh-CN"/>
        </w:rPr>
        <w:t xml:space="preserve"> 陕西省采购招标有限责任公司</w:t>
      </w:r>
      <w:r>
        <w:rPr>
          <w:rFonts w:eastAsia="仿宋_GB2312"/>
          <w:b/>
          <w:bCs/>
          <w:color w:val="auto"/>
          <w:sz w:val="30"/>
          <w:szCs w:val="30"/>
          <w:highlight w:val="none"/>
        </w:rPr>
        <w:t xml:space="preserve"> </w:t>
      </w:r>
    </w:p>
    <w:p w14:paraId="10D2B176">
      <w:pPr>
        <w:tabs>
          <w:tab w:val="left" w:pos="5460"/>
        </w:tabs>
        <w:autoSpaceDE w:val="0"/>
        <w:autoSpaceDN w:val="0"/>
        <w:adjustRightInd w:val="0"/>
        <w:snapToGrid w:val="0"/>
        <w:spacing w:line="360" w:lineRule="auto"/>
        <w:jc w:val="center"/>
        <w:rPr>
          <w:rFonts w:eastAsia="仿宋_GB2312"/>
          <w:color w:val="auto"/>
          <w:sz w:val="32"/>
          <w:szCs w:val="32"/>
          <w:highlight w:val="none"/>
        </w:rPr>
      </w:pPr>
      <w:r>
        <w:rPr>
          <w:rFonts w:eastAsia="仿宋_GB2312"/>
          <w:b/>
          <w:bCs/>
          <w:color w:val="auto"/>
          <w:sz w:val="30"/>
          <w:szCs w:val="30"/>
          <w:highlight w:val="none"/>
          <w:lang w:val="zh-CN"/>
        </w:rPr>
        <w:t>二</w:t>
      </w:r>
      <w:r>
        <w:rPr>
          <w:rFonts w:ascii="仿宋" w:hAnsi="仿宋" w:eastAsia="仿宋"/>
          <w:b/>
          <w:bCs/>
          <w:color w:val="auto"/>
          <w:sz w:val="30"/>
          <w:szCs w:val="30"/>
          <w:highlight w:val="none"/>
          <w:lang w:val="zh-CN"/>
        </w:rPr>
        <w:t>〇</w:t>
      </w:r>
      <w:r>
        <w:rPr>
          <w:rFonts w:hint="eastAsia" w:eastAsia="仿宋_GB2312"/>
          <w:b/>
          <w:bCs/>
          <w:color w:val="auto"/>
          <w:sz w:val="30"/>
          <w:szCs w:val="30"/>
          <w:highlight w:val="none"/>
        </w:rPr>
        <w:t>二</w:t>
      </w:r>
      <w:r>
        <w:rPr>
          <w:rFonts w:hint="eastAsia" w:eastAsia="仿宋_GB2312"/>
          <w:b/>
          <w:bCs/>
          <w:color w:val="auto"/>
          <w:sz w:val="30"/>
          <w:szCs w:val="30"/>
          <w:highlight w:val="none"/>
          <w:lang w:val="en-US" w:eastAsia="zh-CN"/>
        </w:rPr>
        <w:t>六</w:t>
      </w:r>
      <w:r>
        <w:rPr>
          <w:rFonts w:eastAsia="仿宋_GB2312"/>
          <w:b/>
          <w:bCs/>
          <w:color w:val="auto"/>
          <w:sz w:val="30"/>
          <w:szCs w:val="30"/>
          <w:highlight w:val="none"/>
          <w:lang w:val="zh-CN"/>
        </w:rPr>
        <w:t>年</w:t>
      </w:r>
      <w:r>
        <w:rPr>
          <w:rFonts w:hint="eastAsia" w:eastAsia="仿宋_GB2312"/>
          <w:b/>
          <w:bCs/>
          <w:color w:val="auto"/>
          <w:sz w:val="30"/>
          <w:szCs w:val="30"/>
          <w:highlight w:val="none"/>
          <w:lang w:val="en-US" w:eastAsia="zh-CN"/>
        </w:rPr>
        <w:t>六</w:t>
      </w:r>
      <w:r>
        <w:rPr>
          <w:rFonts w:eastAsia="仿宋_GB2312"/>
          <w:b/>
          <w:bCs/>
          <w:color w:val="auto"/>
          <w:sz w:val="30"/>
          <w:szCs w:val="30"/>
          <w:highlight w:val="none"/>
          <w:lang w:val="zh-CN"/>
        </w:rPr>
        <w:t>月</w:t>
      </w:r>
    </w:p>
    <w:p w14:paraId="009E1B9F">
      <w:pPr>
        <w:rPr>
          <w:rFonts w:eastAsia="仿宋_GB2312"/>
          <w:color w:val="auto"/>
          <w:sz w:val="32"/>
          <w:szCs w:val="32"/>
          <w:highlight w:val="none"/>
        </w:rPr>
      </w:pPr>
      <w:r>
        <w:rPr>
          <w:rFonts w:eastAsia="仿宋_GB2312"/>
          <w:color w:val="auto"/>
          <w:sz w:val="32"/>
          <w:szCs w:val="32"/>
          <w:highlight w:val="none"/>
        </w:rPr>
        <w:br w:type="page"/>
      </w:r>
    </w:p>
    <w:p w14:paraId="21312B4E">
      <w:pPr>
        <w:pStyle w:val="22"/>
        <w:rPr>
          <w:rFonts w:ascii="Times New Roman" w:hAnsi="Times New Roman"/>
          <w:color w:val="auto"/>
          <w:highlight w:val="none"/>
        </w:rPr>
        <w:sectPr>
          <w:headerReference r:id="rId4" w:type="first"/>
          <w:headerReference r:id="rId3" w:type="default"/>
          <w:footerReference r:id="rId5" w:type="even"/>
          <w:pgSz w:w="11906" w:h="16838"/>
          <w:pgMar w:top="1440" w:right="1083" w:bottom="1440" w:left="1083" w:header="851" w:footer="992" w:gutter="0"/>
          <w:pgNumType w:start="0"/>
          <w:cols w:space="720" w:num="1"/>
          <w:titlePg/>
          <w:docGrid w:linePitch="312" w:charSpace="0"/>
        </w:sectPr>
      </w:pPr>
    </w:p>
    <w:p w14:paraId="5628BDD9">
      <w:pPr>
        <w:pStyle w:val="5"/>
        <w:ind w:firstLine="0" w:firstLineChars="0"/>
        <w:jc w:val="center"/>
        <w:rPr>
          <w:rFonts w:eastAsia="仿宋_GB2312"/>
          <w:b/>
          <w:color w:val="auto"/>
          <w:sz w:val="32"/>
          <w:szCs w:val="32"/>
          <w:highlight w:val="none"/>
        </w:rPr>
      </w:pPr>
      <w:r>
        <w:rPr>
          <w:rFonts w:eastAsia="仿宋_GB2312"/>
          <w:b/>
          <w:color w:val="auto"/>
          <w:sz w:val="32"/>
          <w:szCs w:val="32"/>
          <w:highlight w:val="none"/>
        </w:rPr>
        <w:t>目  录</w:t>
      </w:r>
    </w:p>
    <w:p w14:paraId="17FB57C6">
      <w:pPr>
        <w:pStyle w:val="35"/>
        <w:keepNext w:val="0"/>
        <w:keepLines w:val="0"/>
        <w:pageBreakBefore w:val="0"/>
        <w:tabs>
          <w:tab w:val="right" w:leader="dot" w:pos="8306"/>
          <w:tab w:val="clear" w:pos="9344"/>
        </w:tabs>
        <w:kinsoku/>
        <w:wordWrap/>
        <w:overflowPunct/>
        <w:topLinePunct w:val="0"/>
        <w:autoSpaceDE/>
        <w:autoSpaceDN/>
        <w:bidi w:val="0"/>
        <w:spacing w:before="0" w:after="0" w:line="360" w:lineRule="auto"/>
        <w:textAlignment w:val="auto"/>
        <w:rPr>
          <w:rFonts w:hint="eastAsia" w:ascii="仿宋" w:hAnsi="仿宋" w:eastAsia="仿宋" w:cs="仿宋"/>
          <w:color w:val="auto"/>
          <w:sz w:val="28"/>
          <w:szCs w:val="28"/>
          <w:highlight w:val="none"/>
        </w:rPr>
      </w:pPr>
      <w:r>
        <w:rPr>
          <w:rFonts w:hint="eastAsia" w:ascii="仿宋" w:hAnsi="仿宋" w:eastAsia="仿宋" w:cs="仿宋"/>
          <w:b w:val="0"/>
          <w:bCs w:val="0"/>
          <w:color w:val="auto"/>
          <w:sz w:val="28"/>
          <w:szCs w:val="28"/>
          <w:highlight w:val="none"/>
        </w:rPr>
        <w:fldChar w:fldCharType="begin"/>
      </w:r>
      <w:r>
        <w:rPr>
          <w:rFonts w:hint="eastAsia" w:ascii="仿宋" w:hAnsi="仿宋" w:eastAsia="仿宋" w:cs="仿宋"/>
          <w:b w:val="0"/>
          <w:bCs w:val="0"/>
          <w:color w:val="auto"/>
          <w:sz w:val="28"/>
          <w:szCs w:val="28"/>
          <w:highlight w:val="none"/>
        </w:rPr>
        <w:instrText xml:space="preserve"> TOC \o "1-2" \h \z \u </w:instrText>
      </w:r>
      <w:r>
        <w:rPr>
          <w:rFonts w:hint="eastAsia" w:ascii="仿宋" w:hAnsi="仿宋" w:eastAsia="仿宋" w:cs="仿宋"/>
          <w:b w:val="0"/>
          <w:bCs w:val="0"/>
          <w:color w:val="auto"/>
          <w:sz w:val="28"/>
          <w:szCs w:val="28"/>
          <w:highlight w:val="none"/>
        </w:rPr>
        <w:fldChar w:fldCharType="separate"/>
      </w:r>
      <w:r>
        <w:rPr>
          <w:rFonts w:hint="eastAsia" w:ascii="仿宋" w:hAnsi="仿宋" w:eastAsia="仿宋" w:cs="仿宋"/>
          <w:bCs w:val="0"/>
          <w:color w:val="auto"/>
          <w:sz w:val="28"/>
          <w:szCs w:val="28"/>
          <w:highlight w:val="none"/>
        </w:rPr>
        <w:fldChar w:fldCharType="begin"/>
      </w:r>
      <w:r>
        <w:rPr>
          <w:rFonts w:hint="eastAsia" w:ascii="仿宋" w:hAnsi="仿宋" w:eastAsia="仿宋" w:cs="仿宋"/>
          <w:bCs w:val="0"/>
          <w:color w:val="auto"/>
          <w:sz w:val="28"/>
          <w:szCs w:val="28"/>
          <w:highlight w:val="none"/>
        </w:rPr>
        <w:instrText xml:space="preserve"> HYPERLINK \l _Toc1107 </w:instrText>
      </w:r>
      <w:r>
        <w:rPr>
          <w:rFonts w:hint="eastAsia" w:ascii="仿宋" w:hAnsi="仿宋" w:eastAsia="仿宋" w:cs="仿宋"/>
          <w:bCs w:val="0"/>
          <w:color w:val="auto"/>
          <w:sz w:val="28"/>
          <w:szCs w:val="28"/>
          <w:highlight w:val="none"/>
        </w:rPr>
        <w:fldChar w:fldCharType="separate"/>
      </w:r>
      <w:r>
        <w:rPr>
          <w:rFonts w:hint="eastAsia" w:ascii="仿宋" w:hAnsi="仿宋" w:eastAsia="仿宋" w:cs="仿宋"/>
          <w:color w:val="auto"/>
          <w:sz w:val="28"/>
          <w:szCs w:val="28"/>
          <w:highlight w:val="none"/>
        </w:rPr>
        <w:t>第一章  磋商公告</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_Toc1107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rPr>
        <w:fldChar w:fldCharType="end"/>
      </w:r>
      <w:r>
        <w:rPr>
          <w:rFonts w:hint="eastAsia" w:ascii="仿宋" w:hAnsi="仿宋" w:eastAsia="仿宋" w:cs="仿宋"/>
          <w:bCs w:val="0"/>
          <w:color w:val="auto"/>
          <w:sz w:val="28"/>
          <w:szCs w:val="28"/>
          <w:highlight w:val="none"/>
        </w:rPr>
        <w:fldChar w:fldCharType="end"/>
      </w:r>
    </w:p>
    <w:p w14:paraId="18B816FF">
      <w:pPr>
        <w:pStyle w:val="35"/>
        <w:keepNext w:val="0"/>
        <w:keepLines w:val="0"/>
        <w:pageBreakBefore w:val="0"/>
        <w:tabs>
          <w:tab w:val="right" w:leader="dot" w:pos="8306"/>
          <w:tab w:val="clear" w:pos="9344"/>
        </w:tabs>
        <w:kinsoku/>
        <w:wordWrap/>
        <w:overflowPunct/>
        <w:topLinePunct w:val="0"/>
        <w:autoSpaceDE/>
        <w:autoSpaceDN/>
        <w:bidi w:val="0"/>
        <w:spacing w:before="0" w:after="0" w:line="360" w:lineRule="auto"/>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_Toc10957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第二章  供应商须知</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_Toc10957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6</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14:paraId="21DAA290">
      <w:pPr>
        <w:pStyle w:val="40"/>
        <w:keepNext w:val="0"/>
        <w:keepLines w:val="0"/>
        <w:pageBreakBefore w:val="0"/>
        <w:tabs>
          <w:tab w:val="right" w:leader="dot" w:pos="8306"/>
        </w:tabs>
        <w:kinsoku/>
        <w:wordWrap/>
        <w:overflowPunct/>
        <w:topLinePunct w:val="0"/>
        <w:autoSpaceDE/>
        <w:autoSpaceDN/>
        <w:bidi w:val="0"/>
        <w:spacing w:line="360" w:lineRule="auto"/>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_Toc1149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（一）供应商须知前附表</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_Toc1149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6</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14:paraId="11CEC287">
      <w:pPr>
        <w:pStyle w:val="40"/>
        <w:keepNext w:val="0"/>
        <w:keepLines w:val="0"/>
        <w:pageBreakBefore w:val="0"/>
        <w:tabs>
          <w:tab w:val="right" w:leader="dot" w:pos="8306"/>
        </w:tabs>
        <w:kinsoku/>
        <w:wordWrap/>
        <w:overflowPunct/>
        <w:topLinePunct w:val="0"/>
        <w:autoSpaceDE/>
        <w:autoSpaceDN/>
        <w:bidi w:val="0"/>
        <w:spacing w:line="360" w:lineRule="auto"/>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_Toc1409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（二）供应商须知</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_Toc1409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8</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14:paraId="45319D9E">
      <w:pPr>
        <w:pStyle w:val="40"/>
        <w:keepNext w:val="0"/>
        <w:keepLines w:val="0"/>
        <w:pageBreakBefore w:val="0"/>
        <w:tabs>
          <w:tab w:val="right" w:leader="dot" w:pos="8306"/>
        </w:tabs>
        <w:kinsoku/>
        <w:wordWrap/>
        <w:overflowPunct/>
        <w:topLinePunct w:val="0"/>
        <w:autoSpaceDE/>
        <w:autoSpaceDN/>
        <w:bidi w:val="0"/>
        <w:spacing w:line="360" w:lineRule="auto"/>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_Toc14314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一、总  则</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_Toc14314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8</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14:paraId="0D232060">
      <w:pPr>
        <w:pStyle w:val="40"/>
        <w:keepNext w:val="0"/>
        <w:keepLines w:val="0"/>
        <w:pageBreakBefore w:val="0"/>
        <w:tabs>
          <w:tab w:val="right" w:leader="dot" w:pos="8306"/>
        </w:tabs>
        <w:kinsoku/>
        <w:wordWrap/>
        <w:overflowPunct/>
        <w:topLinePunct w:val="0"/>
        <w:autoSpaceDE/>
        <w:autoSpaceDN/>
        <w:bidi w:val="0"/>
        <w:spacing w:line="360" w:lineRule="auto"/>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_Toc8516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二、磋商文件说明</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_Toc8516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9</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14:paraId="4805D5E1">
      <w:pPr>
        <w:pStyle w:val="40"/>
        <w:keepNext w:val="0"/>
        <w:keepLines w:val="0"/>
        <w:pageBreakBefore w:val="0"/>
        <w:tabs>
          <w:tab w:val="right" w:leader="dot" w:pos="8306"/>
        </w:tabs>
        <w:kinsoku/>
        <w:wordWrap/>
        <w:overflowPunct/>
        <w:topLinePunct w:val="0"/>
        <w:autoSpaceDE/>
        <w:autoSpaceDN/>
        <w:bidi w:val="0"/>
        <w:spacing w:line="360" w:lineRule="auto"/>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_Toc16549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三、响应文件的编写</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_Toc16549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10</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14:paraId="3F2ACED4">
      <w:pPr>
        <w:pStyle w:val="40"/>
        <w:keepNext w:val="0"/>
        <w:keepLines w:val="0"/>
        <w:pageBreakBefore w:val="0"/>
        <w:tabs>
          <w:tab w:val="right" w:leader="dot" w:pos="8306"/>
        </w:tabs>
        <w:kinsoku/>
        <w:wordWrap/>
        <w:overflowPunct/>
        <w:topLinePunct w:val="0"/>
        <w:autoSpaceDE/>
        <w:autoSpaceDN/>
        <w:bidi w:val="0"/>
        <w:spacing w:line="360" w:lineRule="auto"/>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_Toc30883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四、响应文件的</w:t>
      </w:r>
      <w:r>
        <w:rPr>
          <w:rFonts w:hint="eastAsia" w:ascii="仿宋" w:hAnsi="仿宋" w:eastAsia="仿宋" w:cs="仿宋"/>
          <w:color w:val="auto"/>
          <w:sz w:val="28"/>
          <w:szCs w:val="28"/>
          <w:highlight w:val="none"/>
          <w:lang w:val="en-US" w:eastAsia="zh-CN"/>
        </w:rPr>
        <w:t>加密</w:t>
      </w:r>
      <w:r>
        <w:rPr>
          <w:rFonts w:hint="eastAsia" w:ascii="仿宋" w:hAnsi="仿宋" w:eastAsia="仿宋" w:cs="仿宋"/>
          <w:color w:val="auto"/>
          <w:sz w:val="28"/>
          <w:szCs w:val="28"/>
          <w:highlight w:val="none"/>
        </w:rPr>
        <w:t>和递交</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_Toc30883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13</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14:paraId="69B95662">
      <w:pPr>
        <w:pStyle w:val="40"/>
        <w:keepNext w:val="0"/>
        <w:keepLines w:val="0"/>
        <w:pageBreakBefore w:val="0"/>
        <w:tabs>
          <w:tab w:val="right" w:leader="dot" w:pos="8306"/>
        </w:tabs>
        <w:kinsoku/>
        <w:wordWrap/>
        <w:overflowPunct/>
        <w:topLinePunct w:val="0"/>
        <w:autoSpaceDE/>
        <w:autoSpaceDN/>
        <w:bidi w:val="0"/>
        <w:spacing w:line="360" w:lineRule="auto"/>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_Toc21748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五、评审与磋商</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_Toc21748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14</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14:paraId="5947C9AF">
      <w:pPr>
        <w:pStyle w:val="40"/>
        <w:keepNext w:val="0"/>
        <w:keepLines w:val="0"/>
        <w:pageBreakBefore w:val="0"/>
        <w:tabs>
          <w:tab w:val="right" w:leader="dot" w:pos="8306"/>
        </w:tabs>
        <w:kinsoku/>
        <w:wordWrap/>
        <w:overflowPunct/>
        <w:topLinePunct w:val="0"/>
        <w:autoSpaceDE/>
        <w:autoSpaceDN/>
        <w:bidi w:val="0"/>
        <w:spacing w:line="360" w:lineRule="auto"/>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_Toc7954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六、确定成交单位、授予合同</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_Toc7954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19</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14:paraId="2CD80142">
      <w:pPr>
        <w:pStyle w:val="35"/>
        <w:keepNext w:val="0"/>
        <w:keepLines w:val="0"/>
        <w:pageBreakBefore w:val="0"/>
        <w:tabs>
          <w:tab w:val="right" w:leader="dot" w:pos="8306"/>
          <w:tab w:val="clear" w:pos="9344"/>
        </w:tabs>
        <w:kinsoku/>
        <w:wordWrap/>
        <w:overflowPunct/>
        <w:topLinePunct w:val="0"/>
        <w:autoSpaceDE/>
        <w:autoSpaceDN/>
        <w:bidi w:val="0"/>
        <w:spacing w:before="0" w:after="0" w:line="360" w:lineRule="auto"/>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_Toc8116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第三章  评审办法和标准</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_Toc8116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27</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14:paraId="45E58CEF">
      <w:pPr>
        <w:pStyle w:val="35"/>
        <w:keepNext w:val="0"/>
        <w:keepLines w:val="0"/>
        <w:pageBreakBefore w:val="0"/>
        <w:tabs>
          <w:tab w:val="right" w:leader="dot" w:pos="8306"/>
          <w:tab w:val="clear" w:pos="9344"/>
        </w:tabs>
        <w:kinsoku/>
        <w:wordWrap/>
        <w:overflowPunct/>
        <w:topLinePunct w:val="0"/>
        <w:autoSpaceDE/>
        <w:autoSpaceDN/>
        <w:bidi w:val="0"/>
        <w:spacing w:before="0" w:after="0" w:line="360" w:lineRule="auto"/>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_Toc15821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第四章  拟签订的合同文本</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_Toc15821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37</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14:paraId="6A869F6C">
      <w:pPr>
        <w:pStyle w:val="35"/>
        <w:keepNext w:val="0"/>
        <w:keepLines w:val="0"/>
        <w:pageBreakBefore w:val="0"/>
        <w:tabs>
          <w:tab w:val="right" w:leader="dot" w:pos="8306"/>
          <w:tab w:val="clear" w:pos="9344"/>
        </w:tabs>
        <w:kinsoku/>
        <w:wordWrap/>
        <w:overflowPunct/>
        <w:topLinePunct w:val="0"/>
        <w:autoSpaceDE/>
        <w:autoSpaceDN/>
        <w:bidi w:val="0"/>
        <w:spacing w:before="0" w:after="0" w:line="360" w:lineRule="auto"/>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_Toc24029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第五章  采购内容及要求</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_Toc24029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40</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14:paraId="7919D0CE">
      <w:pPr>
        <w:pStyle w:val="35"/>
        <w:keepNext w:val="0"/>
        <w:keepLines w:val="0"/>
        <w:pageBreakBefore w:val="0"/>
        <w:tabs>
          <w:tab w:val="right" w:leader="dot" w:pos="8306"/>
          <w:tab w:val="clear" w:pos="9344"/>
        </w:tabs>
        <w:kinsoku/>
        <w:wordWrap/>
        <w:overflowPunct/>
        <w:topLinePunct w:val="0"/>
        <w:autoSpaceDE/>
        <w:autoSpaceDN/>
        <w:bidi w:val="0"/>
        <w:spacing w:before="0" w:after="0" w:line="360" w:lineRule="auto"/>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_Toc5559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第六章  磋商响应文件格式</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_Toc5559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42</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14:paraId="1546D85A">
      <w:pPr>
        <w:keepNext w:val="0"/>
        <w:keepLines w:val="0"/>
        <w:pageBreakBefore w:val="0"/>
        <w:tabs>
          <w:tab w:val="center" w:pos="4677"/>
          <w:tab w:val="left" w:pos="5040"/>
        </w:tabs>
        <w:kinsoku/>
        <w:wordWrap/>
        <w:overflowPunct/>
        <w:topLinePunct w:val="0"/>
        <w:autoSpaceDE/>
        <w:autoSpaceDN/>
        <w:bidi w:val="0"/>
        <w:adjustRightInd w:val="0"/>
        <w:snapToGrid w:val="0"/>
        <w:spacing w:line="360" w:lineRule="auto"/>
        <w:jc w:val="left"/>
        <w:textAlignment w:val="auto"/>
        <w:rPr>
          <w:rFonts w:eastAsia="仿宋_GB2312"/>
          <w:color w:val="auto"/>
          <w:szCs w:val="20"/>
          <w:highlight w:val="none"/>
        </w:rPr>
      </w:pPr>
      <w:r>
        <w:rPr>
          <w:rFonts w:hint="eastAsia" w:ascii="仿宋" w:hAnsi="仿宋" w:eastAsia="仿宋" w:cs="仿宋"/>
          <w:color w:val="auto"/>
          <w:sz w:val="28"/>
          <w:szCs w:val="28"/>
          <w:highlight w:val="none"/>
        </w:rPr>
        <w:fldChar w:fldCharType="end"/>
      </w:r>
      <w:r>
        <w:rPr>
          <w:rFonts w:eastAsia="仿宋_GB2312"/>
          <w:color w:val="auto"/>
          <w:szCs w:val="20"/>
          <w:highlight w:val="none"/>
        </w:rPr>
        <w:br w:type="page"/>
      </w:r>
    </w:p>
    <w:p w14:paraId="20138ADF">
      <w:pPr>
        <w:pStyle w:val="22"/>
        <w:rPr>
          <w:rFonts w:ascii="Times New Roman" w:hAnsi="Times New Roman"/>
          <w:color w:val="auto"/>
          <w:highlight w:val="none"/>
        </w:rPr>
        <w:sectPr>
          <w:footerReference r:id="rId7" w:type="first"/>
          <w:footerReference r:id="rId6" w:type="default"/>
          <w:pgSz w:w="11906" w:h="16838"/>
          <w:pgMar w:top="1440" w:right="1800" w:bottom="1440" w:left="1800" w:header="851" w:footer="992" w:gutter="0"/>
          <w:cols w:space="720" w:num="1"/>
          <w:titlePg/>
          <w:docGrid w:linePitch="312" w:charSpace="0"/>
        </w:sectPr>
      </w:pPr>
    </w:p>
    <w:p w14:paraId="4B90D033">
      <w:pPr>
        <w:pStyle w:val="46"/>
        <w:spacing w:line="360" w:lineRule="auto"/>
        <w:rPr>
          <w:rStyle w:val="207"/>
          <w:rFonts w:ascii="Times New Roman" w:hAnsi="Times New Roman" w:eastAsia="宋体"/>
          <w:color w:val="auto"/>
          <w:sz w:val="36"/>
          <w:szCs w:val="36"/>
          <w:highlight w:val="none"/>
        </w:rPr>
      </w:pPr>
      <w:bookmarkStart w:id="0" w:name="_Toc21755"/>
      <w:bookmarkStart w:id="1" w:name="_Toc58504445"/>
      <w:bookmarkStart w:id="2" w:name="_Toc1107"/>
      <w:bookmarkStart w:id="3" w:name="_Toc415499894"/>
      <w:bookmarkStart w:id="4" w:name="_Toc500747187"/>
      <w:bookmarkStart w:id="5" w:name="_Toc53722839"/>
      <w:bookmarkStart w:id="6" w:name="_Toc503063420"/>
      <w:bookmarkStart w:id="7" w:name="_Toc177995472"/>
      <w:bookmarkStart w:id="8" w:name="_Toc177817333"/>
      <w:bookmarkStart w:id="9" w:name="_Toc500746964"/>
      <w:bookmarkStart w:id="10" w:name="_Toc70687138"/>
      <w:bookmarkStart w:id="11" w:name="_Toc492955413"/>
      <w:bookmarkStart w:id="12" w:name="_Toc176882541"/>
      <w:bookmarkStart w:id="13" w:name="_Toc500747060"/>
      <w:bookmarkStart w:id="14" w:name="_Toc499711041"/>
      <w:bookmarkStart w:id="15" w:name="_Toc499711882"/>
      <w:bookmarkStart w:id="16" w:name="_Toc496324577"/>
      <w:bookmarkStart w:id="17" w:name="_Toc177189234"/>
      <w:bookmarkStart w:id="18" w:name="_Toc385992325"/>
      <w:bookmarkStart w:id="19" w:name="_Toc385992324"/>
      <w:r>
        <w:rPr>
          <w:rStyle w:val="207"/>
          <w:rFonts w:ascii="Times New Roman" w:hAnsi="Times New Roman" w:eastAsia="宋体"/>
          <w:color w:val="auto"/>
          <w:sz w:val="36"/>
          <w:szCs w:val="36"/>
          <w:highlight w:val="none"/>
        </w:rPr>
        <w:t>第一章  磋商公告</w:t>
      </w:r>
      <w:bookmarkEnd w:id="0"/>
      <w:bookmarkEnd w:id="1"/>
      <w:bookmarkEnd w:id="2"/>
      <w:bookmarkEnd w:id="3"/>
    </w:p>
    <w:p w14:paraId="6CD78806">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项目概况</w:t>
      </w:r>
    </w:p>
    <w:p w14:paraId="4D352AA3">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沣东新城安保服务采购项目采购项目的潜在供应商应在全国公共资源交易平台（陕西省·西咸新区）（http://ggzyjy.xixianxinqu.gov.cn/）获取采购文件，并于 2026年07月06日 09时30分 （北京时间）前提交响应文件。</w:t>
      </w:r>
    </w:p>
    <w:p w14:paraId="3B9A1444">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一、项目基本情况</w:t>
      </w:r>
    </w:p>
    <w:p w14:paraId="319823A6">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项目编号：SCZC2026-CS-1644-001</w:t>
      </w:r>
    </w:p>
    <w:p w14:paraId="5638935E">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项目名称：沣东新城安保服务采购项目</w:t>
      </w:r>
    </w:p>
    <w:p w14:paraId="29B060F3">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采购方式：竞争性磋商</w:t>
      </w:r>
    </w:p>
    <w:p w14:paraId="7316FDE2">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预算金额：465,000.00元</w:t>
      </w:r>
    </w:p>
    <w:p w14:paraId="29B52B83">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采购需求：</w:t>
      </w:r>
    </w:p>
    <w:p w14:paraId="1BCA9491">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合同包1(沣东新城安保服务采购项目):</w:t>
      </w:r>
    </w:p>
    <w:p w14:paraId="5957F4CD">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合同包预算金额：465,000.00元</w:t>
      </w:r>
    </w:p>
    <w:p w14:paraId="5B544FB4">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合同包最高限价：465,000.00元</w:t>
      </w:r>
    </w:p>
    <w:tbl>
      <w:tblPr>
        <w:tblStyle w:val="50"/>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91"/>
        <w:gridCol w:w="1839"/>
        <w:gridCol w:w="1154"/>
        <w:gridCol w:w="1519"/>
        <w:gridCol w:w="2273"/>
        <w:gridCol w:w="1634"/>
      </w:tblGrid>
      <w:tr w14:paraId="646B2CE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3DD1AE1">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品目号</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6B1C6D">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品目名称</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8743D85">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采购标的</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C48ACC9">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数量（单位）</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EB685A8">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技术规格、参数及要求</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A98503A">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品目预算(元)</w:t>
            </w:r>
          </w:p>
        </w:tc>
      </w:tr>
      <w:tr w14:paraId="12DCF82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7844139">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7CE6B9">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其他安全保护服务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5C6FB6C">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465000</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EC7AA5F">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E39D48">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3879270">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465,000.00</w:t>
            </w:r>
          </w:p>
        </w:tc>
      </w:tr>
    </w:tbl>
    <w:p w14:paraId="4E53D6BA">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本合同包不接受联合体投标</w:t>
      </w:r>
    </w:p>
    <w:p w14:paraId="2D74E6F2">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合同履行期限：自合同签订后1年</w:t>
      </w:r>
    </w:p>
    <w:p w14:paraId="7531A34D">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二、申请人的资格要求：</w:t>
      </w:r>
    </w:p>
    <w:p w14:paraId="5341DB4D">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1.满足《中华人民共和国政府采购法》第二十二条规定;</w:t>
      </w:r>
    </w:p>
    <w:p w14:paraId="6610BFCE">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2.落实政府采购政策需满足的资格要求：</w:t>
      </w:r>
    </w:p>
    <w:p w14:paraId="2F10F48D">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合同包1(沣东新城安保服务采购项目)落实政府采购政策需满足的资格要求如下:</w:t>
      </w:r>
    </w:p>
    <w:p w14:paraId="7A8E5CD6">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本项目为专门面向小微企业的项目，供应商应为小微企业、监狱企业或残疾人福利性单位</w:t>
      </w:r>
    </w:p>
    <w:p w14:paraId="57A1CAD9">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3.本项目的特定资格要求：</w:t>
      </w:r>
    </w:p>
    <w:p w14:paraId="171857D9">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合同包1(沣东新城安保服务采购项目)特定资格要求如下:</w:t>
      </w:r>
    </w:p>
    <w:p w14:paraId="3A45BF7F">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3.1根据《陕西省西咸新区财政金融局关于全面推行政府采购供应商基本资格条件承诺制的通知》（陕西咸财金发〔2023〕119号），供应商须提供基本资格条件承诺函；</w:t>
      </w:r>
      <w:r>
        <w:rPr>
          <w:rFonts w:hint="eastAsia" w:ascii="仿宋_GB2312" w:hAnsi="仿宋_GB2312" w:eastAsia="仿宋_GB2312" w:cs="仿宋_GB2312"/>
          <w:color w:val="auto"/>
          <w:sz w:val="24"/>
          <w:szCs w:val="24"/>
          <w:highlight w:val="none"/>
        </w:rPr>
        <w:br w:type="textWrapping"/>
      </w:r>
      <w:r>
        <w:rPr>
          <w:rFonts w:hint="eastAsia" w:ascii="仿宋_GB2312" w:hAnsi="仿宋_GB2312" w:eastAsia="仿宋_GB2312" w:cs="仿宋_GB2312"/>
          <w:color w:val="auto"/>
          <w:sz w:val="24"/>
          <w:szCs w:val="24"/>
          <w:highlight w:val="none"/>
        </w:rPr>
        <w:t>3.2供应商不得存在下列情形之一：</w:t>
      </w:r>
      <w:r>
        <w:rPr>
          <w:rFonts w:hint="eastAsia" w:ascii="仿宋_GB2312" w:hAnsi="仿宋_GB2312" w:eastAsia="仿宋_GB2312" w:cs="仿宋_GB2312"/>
          <w:color w:val="auto"/>
          <w:sz w:val="24"/>
          <w:szCs w:val="24"/>
          <w:highlight w:val="none"/>
        </w:rPr>
        <w:br w:type="textWrapping"/>
      </w:r>
      <w:r>
        <w:rPr>
          <w:rFonts w:hint="eastAsia" w:ascii="仿宋_GB2312" w:hAnsi="仿宋_GB2312" w:eastAsia="仿宋_GB2312" w:cs="仿宋_GB2312"/>
          <w:color w:val="auto"/>
          <w:sz w:val="24"/>
          <w:szCs w:val="24"/>
          <w:highlight w:val="none"/>
        </w:rPr>
        <w:t>（1）单位负责人为同一人或者存在直接控股、管理关系的不同供应商，不得参加同一合同项下的政府采购活动；</w:t>
      </w:r>
      <w:r>
        <w:rPr>
          <w:rFonts w:hint="eastAsia" w:ascii="仿宋_GB2312" w:hAnsi="仿宋_GB2312" w:eastAsia="仿宋_GB2312" w:cs="仿宋_GB2312"/>
          <w:color w:val="auto"/>
          <w:sz w:val="24"/>
          <w:szCs w:val="24"/>
          <w:highlight w:val="none"/>
        </w:rPr>
        <w:br w:type="textWrapping"/>
      </w:r>
      <w:r>
        <w:rPr>
          <w:rFonts w:hint="eastAsia" w:ascii="仿宋_GB2312" w:hAnsi="仿宋_GB2312" w:eastAsia="仿宋_GB2312" w:cs="仿宋_GB2312"/>
          <w:color w:val="auto"/>
          <w:sz w:val="24"/>
          <w:szCs w:val="24"/>
          <w:highlight w:val="none"/>
        </w:rPr>
        <w:t>（2）为本项目提供整体设计、规范编制或者项目管理、监理、检测等服务的供应商，不得再参加该采购项目的其他采购活动；</w:t>
      </w:r>
      <w:r>
        <w:rPr>
          <w:rFonts w:hint="eastAsia" w:ascii="仿宋_GB2312" w:hAnsi="仿宋_GB2312" w:eastAsia="仿宋_GB2312" w:cs="仿宋_GB2312"/>
          <w:color w:val="auto"/>
          <w:sz w:val="24"/>
          <w:szCs w:val="24"/>
          <w:highlight w:val="none"/>
        </w:rPr>
        <w:br w:type="textWrapping"/>
      </w:r>
      <w:r>
        <w:rPr>
          <w:rFonts w:hint="eastAsia" w:ascii="仿宋_GB2312" w:hAnsi="仿宋_GB2312" w:eastAsia="仿宋_GB2312" w:cs="仿宋_GB2312"/>
          <w:color w:val="auto"/>
          <w:sz w:val="24"/>
          <w:szCs w:val="24"/>
          <w:highlight w:val="none"/>
        </w:rPr>
        <w:t>3.3供应商应授权合法的人员参加磋商，其中法定代表人（或单位负责人）直接参加磋商的，须出具法定代表人（或单位负责人）身份证明，并与营业执照上信息一致。委托代理人参加磋商的，须出具法定代表人（或单位负责人）身份证明、授权委托书及授权代表在本单位缴纳养老保险证明。</w:t>
      </w:r>
      <w:r>
        <w:rPr>
          <w:rFonts w:hint="eastAsia" w:ascii="仿宋_GB2312" w:hAnsi="仿宋_GB2312" w:eastAsia="仿宋_GB2312" w:cs="仿宋_GB2312"/>
          <w:color w:val="auto"/>
          <w:sz w:val="24"/>
          <w:szCs w:val="24"/>
          <w:highlight w:val="none"/>
        </w:rPr>
        <w:br w:type="textWrapping"/>
      </w:r>
      <w:r>
        <w:rPr>
          <w:rFonts w:hint="eastAsia" w:ascii="仿宋_GB2312" w:hAnsi="仿宋_GB2312" w:eastAsia="仿宋_GB2312" w:cs="仿宋_GB2312"/>
          <w:color w:val="auto"/>
          <w:sz w:val="24"/>
          <w:szCs w:val="24"/>
          <w:highlight w:val="none"/>
        </w:rPr>
        <w:t>3.4供应商应提供公安机关颁发的保安服务许可证；陕西省外供应商还须出具承诺书（承诺书形式不限），承诺自承接本项目之日起30日内向采购人所在地设区的市级人民政府公安机关备案。</w:t>
      </w:r>
    </w:p>
    <w:p w14:paraId="6DDB7212">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三、获取采购文件</w:t>
      </w:r>
    </w:p>
    <w:p w14:paraId="1E95165A">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时间： 2026年06月26日 至 2026年07月02日 ，每天上午 00:00:00 至 12:00:00 ，下午 12:00:00 至 23:59:59 （北京时间）</w:t>
      </w:r>
    </w:p>
    <w:p w14:paraId="656DEE1A">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途径：全国公共资源交易平台（陕西省·西咸新区）（http://ggzyjy.xixianxinqu.gov.cn/）</w:t>
      </w:r>
    </w:p>
    <w:p w14:paraId="56377777">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方式：在线获取</w:t>
      </w:r>
    </w:p>
    <w:p w14:paraId="15828694">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售价： 0元</w:t>
      </w:r>
    </w:p>
    <w:p w14:paraId="04851CC7">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四、响应文件提交</w:t>
      </w:r>
    </w:p>
    <w:p w14:paraId="5493E7EF">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截止时间： 2026年07月06日 09时30分00秒 （北京时间）</w:t>
      </w:r>
    </w:p>
    <w:p w14:paraId="4DBD008F">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地点：全国公共资源交易平台（陕西省·西咸新区）（http://ggzyjy.xixianxinqu.gov.cn/）</w:t>
      </w:r>
    </w:p>
    <w:p w14:paraId="03FE3F0C">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五、开启</w:t>
      </w:r>
    </w:p>
    <w:p w14:paraId="6227071D">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时间： 2026年07月06日 09时30分00秒 （北京时间）</w:t>
      </w:r>
    </w:p>
    <w:p w14:paraId="6C47196B">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地点：全国公共资源交易平台（陕西省·西咸新区）-电子交易平台-西咸新区公共资源交易不见面开标系统</w:t>
      </w:r>
    </w:p>
    <w:p w14:paraId="28921631">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六、公告期限</w:t>
      </w:r>
    </w:p>
    <w:p w14:paraId="55DE66F1">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自本公告发布之日起3个工作日。</w:t>
      </w:r>
    </w:p>
    <w:p w14:paraId="250E7B9D">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七、其他补充事宜</w:t>
      </w:r>
    </w:p>
    <w:p w14:paraId="39B8F87A">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1、落实政府采购政策：</w:t>
      </w:r>
    </w:p>
    <w:p w14:paraId="26F395DE">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1.1《关于进一步加大政府采购支持中小企业力度的通知》（财库〔2022〕19号）、《政府采购促进中小企业发展管理办法》（财库〔2020〕46号）、《财政部 司法部关于政府采购支持监狱企业发展有关问题的通知》（财库〔2014〕68号）、《关于促进残疾人就业政府采购政策的通知》（财库〔2017〕141号）。</w:t>
      </w:r>
    </w:p>
    <w:p w14:paraId="5D6250A3">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1.2《国务院办公厅关于建立政府强制采购节能产品制度的通知》（国办发〔2007〕51号）、《财政部 发展改革委 生态环境部 市场监管总局关于调整优化节能产品、环境标志产品政府采购执行机制的通知》（财库〔2019〕9号）、《关于印发环境标志产品政府采购品目清单的通知》（财库〔2019〕18号）、《关于印发节能产品政府采购品目清单的通知》（财库〔2019〕19号）。</w:t>
      </w:r>
    </w:p>
    <w:p w14:paraId="07E33A9C">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1.3《关于运用政府采购政策支持乡村产业振兴的通知》（财库〔2021〕19 号）、《关于印发&lt;关于深入开展政府采购脱贫地区农副产品工作推进乡村产业振兴的实施意见&gt;的通知》（财库〔2021〕20 号）。</w:t>
      </w:r>
    </w:p>
    <w:p w14:paraId="1FE706B6">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1.4《国家互联网信息办公室 工业和信息化部 公安部 财政部 国家认证认可监督管理委员会关于调整网络安全专用产品安全管理有关事项的公告》（2023年第1号）。</w:t>
      </w:r>
    </w:p>
    <w:p w14:paraId="083803B1">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1.5《陕西省财政厅关于加快推进我省中小企业政府采购信用融资工作的通知》（陕财办采〔2020〕15 号）、《陕西省财政厅关于印发&lt;陕西省中小企业政府采购信用融资办法&gt;的通知》（陕财办采〔2018〕23 号）。</w:t>
      </w:r>
    </w:p>
    <w:p w14:paraId="19D87376">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1.6《关于扩大政府采购支持绿色建材促进建筑品质提升政策实施范围的通知》（财库〔2022〕35号）、《财政部办公厅 住房城乡建设部办公厅 工业和信息化部办公厅关于印发&lt;政府采购支持绿色建材促进建筑品质提升政策项目实施指南&gt;的通知》（ 财办库〔2023〕52号）。</w:t>
      </w:r>
    </w:p>
    <w:p w14:paraId="5C4B779A">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1.7《国务院办公厅关于在政府采购中实施本国产品标准及相关政策的通知》（国办发〔2025〕34号）。</w:t>
      </w:r>
    </w:p>
    <w:p w14:paraId="7CA0D9F9">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若享受以上政策优惠的企业，提供相应声明函或品目清单范围内产品的有效认证证书或相关证明。</w:t>
      </w:r>
    </w:p>
    <w:p w14:paraId="2C5F651D">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2.开标形式：本项目将采用“不见面开标”形式。操作说明详见平台〖首页·〉服务指南·〉下载专区〗中的《西咸新区公共资源交易政府采购不见面开标大厅供应商操作手册》。</w:t>
      </w:r>
    </w:p>
    <w:p w14:paraId="6F73B1A7">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3.其他</w:t>
      </w:r>
    </w:p>
    <w:p w14:paraId="03E29AE6">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3.1 办理CA认证:电子交易平台现已接入陕西 CA、深圳 CA、西部 CA、北京CA四家数字证书公司,各供应商在交易过程中登录系统、加密/解密响应文件、文件签章等均可使用上述四家CA公司签发的数字证书。办理须知及所需资料详见:http://www.sxggzyjy.cn/fwzn/004003/20220701/6972fe02-f996-4928-951e-545dab02e53c.html</w:t>
      </w:r>
    </w:p>
    <w:p w14:paraId="2C117BEB">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3.2 请供应商务必及时下载项目磋商文件并做好备份,否则会影响响应文件编制及后续投标活动。</w:t>
      </w:r>
    </w:p>
    <w:p w14:paraId="2313946D">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3.3 提交响应文件截止时间前，供应商应随时留意【陕西省政府采购网】、【全国公共资源交易平台（陕西省·西咸新区）】上可能发布的变更公告。若本项目提供有变更文件的，供应商应登录企业端后，从〖项目流程·〉项目管理·〉答疑文件下载〗获取更新后的电子招标文件（*.SXSCF），使用旧版电子招标文件制作的电子响应文件（*.SXSTF），系统将拒绝接收。</w:t>
      </w:r>
    </w:p>
    <w:p w14:paraId="69ACB7B5">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3.4 提交响应文件的方式：从全国公共资源交易平台（陕西省·西咸新区）〖首页·〉电子交易平台·〉陕西政府采购交易系统·〉企业端〗登录，登录后切换到〖我的项目〗模块，依次点选〖项目流程·〉项目管理·〉上传投标文件〗上传加密后的电子响应文件（*.SXSTF），逾期提交的，系统将拒绝接收。</w:t>
      </w:r>
    </w:p>
    <w:p w14:paraId="353E51B5">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3.5按照陕西省财政厅《关于政府采购供应商注册登记有关事项的通知》中的要求,供应商应通过陕西省政府采购网(http://www.ccgp-shaanxi.gov.cn/)注册登记 ,加入陕西省政府采购供应商库。</w:t>
      </w:r>
    </w:p>
    <w:p w14:paraId="2307C3F9">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八、对本次招标提出询问，请按以下方式联系。</w:t>
      </w:r>
    </w:p>
    <w:p w14:paraId="16E822CF">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1.采购人信息</w:t>
      </w:r>
    </w:p>
    <w:p w14:paraId="1F746E05">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名称：陕西省西咸新区沣东新城管理委员会</w:t>
      </w:r>
    </w:p>
    <w:p w14:paraId="6061334B">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地址：西安市长安区红光路沣东大道沣东城市广场（经办单位：陕西省西咸新区沣东新城党群工作中心）</w:t>
      </w:r>
    </w:p>
    <w:p w14:paraId="76AB524B">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联系方式：029-89115425</w:t>
      </w:r>
    </w:p>
    <w:p w14:paraId="60213D18">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2.采购代理机构信息</w:t>
      </w:r>
    </w:p>
    <w:p w14:paraId="222DC213">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名称：陕西省采购招标有限责任公司</w:t>
      </w:r>
    </w:p>
    <w:p w14:paraId="1312EF85">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地址：西安市高新区锦业路1号都市之门C座9层</w:t>
      </w:r>
    </w:p>
    <w:p w14:paraId="350AD7CD">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联系方式：029-85257505</w:t>
      </w:r>
    </w:p>
    <w:p w14:paraId="4C65D266">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3.项目联系方式</w:t>
      </w:r>
    </w:p>
    <w:p w14:paraId="2CFC77EB">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项目联系人：李峻豪、田婧、王莉</w:t>
      </w:r>
    </w:p>
    <w:p w14:paraId="52EC007B">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电话：029-85257505</w:t>
      </w:r>
    </w:p>
    <w:p w14:paraId="16372624">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right"/>
        <w:textAlignment w:val="baseline"/>
        <w:outlineLvl w:val="9"/>
        <w:rPr>
          <w:rFonts w:hint="eastAsia" w:ascii="仿宋_GB2312" w:hAnsi="仿宋_GB2312" w:eastAsia="仿宋_GB2312" w:cs="仿宋_GB2312"/>
          <w:color w:val="auto"/>
          <w:sz w:val="24"/>
          <w:szCs w:val="24"/>
          <w:highlight w:val="none"/>
        </w:rPr>
      </w:pPr>
    </w:p>
    <w:p w14:paraId="2A321025">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right"/>
        <w:textAlignment w:val="baseline"/>
        <w:outlineLvl w:val="9"/>
        <w:rPr>
          <w:rFonts w:hint="eastAsia" w:ascii="仿宋_GB2312" w:hAnsi="仿宋_GB2312" w:eastAsia="仿宋_GB2312" w:cs="仿宋_GB2312"/>
          <w:color w:val="auto"/>
          <w:sz w:val="24"/>
          <w:szCs w:val="24"/>
          <w:highlight w:val="none"/>
        </w:rPr>
      </w:pPr>
    </w:p>
    <w:p w14:paraId="3FC310A9">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right"/>
        <w:textAlignment w:val="baseline"/>
        <w:outlineLvl w:val="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陕西省采购招标有限责任公司</w:t>
      </w:r>
    </w:p>
    <w:p w14:paraId="725CCB28">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right"/>
        <w:textAlignment w:val="baseline"/>
        <w:outlineLvl w:val="9"/>
        <w:rPr>
          <w:rStyle w:val="207"/>
          <w:rFonts w:ascii="Times New Roman" w:hAnsi="Times New Roman" w:eastAsia="宋体"/>
          <w:color w:val="auto"/>
          <w:sz w:val="36"/>
          <w:szCs w:val="36"/>
          <w:highlight w:val="none"/>
        </w:rPr>
      </w:pPr>
      <w:r>
        <w:rPr>
          <w:rFonts w:hint="eastAsia" w:ascii="仿宋_GB2312" w:hAnsi="仿宋_GB2312" w:eastAsia="仿宋_GB2312" w:cs="仿宋_GB2312"/>
          <w:color w:val="auto"/>
          <w:sz w:val="24"/>
          <w:szCs w:val="24"/>
          <w:highlight w:val="none"/>
        </w:rPr>
        <w:t>202</w:t>
      </w:r>
      <w:r>
        <w:rPr>
          <w:rFonts w:hint="eastAsia" w:ascii="仿宋_GB2312" w:hAnsi="仿宋_GB2312" w:eastAsia="仿宋_GB2312" w:cs="仿宋_GB2312"/>
          <w:color w:val="auto"/>
          <w:sz w:val="24"/>
          <w:szCs w:val="24"/>
          <w:highlight w:val="none"/>
          <w:lang w:val="en-US" w:eastAsia="zh-CN"/>
        </w:rPr>
        <w:t>6</w:t>
      </w:r>
      <w:r>
        <w:rPr>
          <w:rFonts w:hint="eastAsia" w:ascii="仿宋_GB2312" w:hAnsi="仿宋_GB2312" w:eastAsia="仿宋_GB2312" w:cs="仿宋_GB2312"/>
          <w:color w:val="auto"/>
          <w:sz w:val="24"/>
          <w:szCs w:val="24"/>
          <w:highlight w:val="none"/>
        </w:rPr>
        <w:t>年</w:t>
      </w:r>
      <w:r>
        <w:rPr>
          <w:rFonts w:hint="eastAsia" w:ascii="仿宋_GB2312" w:hAnsi="仿宋_GB2312" w:eastAsia="仿宋_GB2312" w:cs="仿宋_GB2312"/>
          <w:color w:val="auto"/>
          <w:sz w:val="24"/>
          <w:szCs w:val="24"/>
          <w:highlight w:val="none"/>
          <w:lang w:val="en-US" w:eastAsia="zh-CN"/>
        </w:rPr>
        <w:t>06</w:t>
      </w:r>
      <w:r>
        <w:rPr>
          <w:rFonts w:hint="eastAsia" w:ascii="仿宋_GB2312" w:hAnsi="仿宋_GB2312" w:eastAsia="仿宋_GB2312" w:cs="仿宋_GB2312"/>
          <w:color w:val="auto"/>
          <w:sz w:val="24"/>
          <w:szCs w:val="24"/>
          <w:highlight w:val="none"/>
        </w:rPr>
        <w:t>月</w:t>
      </w:r>
      <w:r>
        <w:rPr>
          <w:rFonts w:hint="eastAsia" w:ascii="仿宋_GB2312" w:hAnsi="仿宋_GB2312" w:eastAsia="仿宋_GB2312" w:cs="仿宋_GB2312"/>
          <w:color w:val="auto"/>
          <w:sz w:val="24"/>
          <w:szCs w:val="24"/>
          <w:highlight w:val="none"/>
          <w:lang w:val="en-US" w:eastAsia="zh-CN"/>
        </w:rPr>
        <w:t>25</w:t>
      </w:r>
      <w:r>
        <w:rPr>
          <w:rFonts w:hint="eastAsia" w:ascii="仿宋_GB2312" w:hAnsi="仿宋_GB2312" w:eastAsia="仿宋_GB2312" w:cs="仿宋_GB2312"/>
          <w:color w:val="auto"/>
          <w:sz w:val="24"/>
          <w:szCs w:val="24"/>
          <w:highlight w:val="none"/>
        </w:rPr>
        <w:t>日</w:t>
      </w:r>
      <w:bookmarkEnd w:id="4"/>
      <w:bookmarkEnd w:id="5"/>
      <w:bookmarkEnd w:id="6"/>
      <w:bookmarkEnd w:id="7"/>
      <w:bookmarkEnd w:id="8"/>
      <w:bookmarkEnd w:id="9"/>
      <w:bookmarkEnd w:id="10"/>
      <w:bookmarkEnd w:id="11"/>
      <w:bookmarkEnd w:id="12"/>
      <w:bookmarkEnd w:id="13"/>
      <w:bookmarkEnd w:id="14"/>
      <w:bookmarkEnd w:id="15"/>
      <w:bookmarkEnd w:id="16"/>
      <w:bookmarkEnd w:id="17"/>
      <w:bookmarkStart w:id="20" w:name="_Toc249515389"/>
      <w:bookmarkStart w:id="21" w:name="_Toc415499895"/>
      <w:bookmarkStart w:id="22" w:name="_Toc249515277"/>
      <w:bookmarkStart w:id="23" w:name="_Toc184043011"/>
      <w:bookmarkStart w:id="24" w:name="_Toc230099796"/>
      <w:bookmarkStart w:id="25" w:name="_Toc232176271"/>
      <w:bookmarkStart w:id="26" w:name="_Toc256342142"/>
      <w:bookmarkStart w:id="27" w:name="_Toc249525158"/>
      <w:bookmarkStart w:id="28" w:name="_Toc21126"/>
      <w:bookmarkStart w:id="29" w:name="_Toc230583540"/>
      <w:bookmarkStart w:id="30" w:name="_Toc58504446"/>
      <w:bookmarkStart w:id="31" w:name="_Toc232395211"/>
      <w:bookmarkStart w:id="32" w:name="_Toc230013631"/>
      <w:bookmarkStart w:id="33" w:name="_Toc500746965"/>
      <w:bookmarkStart w:id="34" w:name="_Toc499711042"/>
      <w:bookmarkStart w:id="35" w:name="_Toc500747061"/>
      <w:bookmarkStart w:id="36" w:name="_Toc70687139"/>
      <w:bookmarkStart w:id="37" w:name="_Toc249525159"/>
      <w:bookmarkStart w:id="38" w:name="_Toc256342143"/>
      <w:bookmarkStart w:id="39" w:name="_Toc177995473"/>
      <w:bookmarkStart w:id="40" w:name="_Toc230099797"/>
      <w:bookmarkStart w:id="41" w:name="_Toc492955414"/>
      <w:bookmarkStart w:id="42" w:name="_Toc53722840"/>
      <w:bookmarkStart w:id="43" w:name="_Toc184043012"/>
      <w:bookmarkStart w:id="44" w:name="_Toc503063421"/>
      <w:bookmarkStart w:id="45" w:name="_Toc177817334"/>
      <w:bookmarkStart w:id="46" w:name="_Toc500747188"/>
      <w:bookmarkStart w:id="47" w:name="_Toc176882542"/>
      <w:bookmarkStart w:id="48" w:name="_Toc177189235"/>
      <w:bookmarkStart w:id="49" w:name="_Toc496324578"/>
      <w:bookmarkStart w:id="50" w:name="_Toc232395212"/>
      <w:bookmarkStart w:id="51" w:name="_Toc232176272"/>
      <w:bookmarkStart w:id="52" w:name="_Toc249515390"/>
      <w:bookmarkStart w:id="53" w:name="_Toc230583541"/>
      <w:bookmarkStart w:id="54" w:name="_Toc249515278"/>
      <w:bookmarkStart w:id="55" w:name="_Toc230013632"/>
      <w:bookmarkStart w:id="56" w:name="_Toc499711883"/>
      <w:r>
        <w:rPr>
          <w:rStyle w:val="207"/>
          <w:rFonts w:ascii="Times New Roman" w:hAnsi="Times New Roman" w:eastAsia="宋体"/>
          <w:color w:val="auto"/>
          <w:sz w:val="36"/>
          <w:szCs w:val="36"/>
          <w:highlight w:val="none"/>
        </w:rPr>
        <w:br w:type="page"/>
      </w:r>
    </w:p>
    <w:p w14:paraId="2CBD53D3">
      <w:pPr>
        <w:pStyle w:val="46"/>
        <w:spacing w:line="360" w:lineRule="auto"/>
        <w:rPr>
          <w:rStyle w:val="207"/>
          <w:rFonts w:ascii="Times New Roman" w:hAnsi="Times New Roman" w:eastAsia="宋体"/>
          <w:color w:val="auto"/>
          <w:sz w:val="36"/>
          <w:szCs w:val="36"/>
          <w:highlight w:val="none"/>
        </w:rPr>
      </w:pPr>
      <w:bookmarkStart w:id="57" w:name="_Toc10957"/>
      <w:r>
        <w:rPr>
          <w:rStyle w:val="207"/>
          <w:rFonts w:ascii="Times New Roman" w:hAnsi="Times New Roman" w:eastAsia="宋体"/>
          <w:color w:val="auto"/>
          <w:sz w:val="36"/>
          <w:szCs w:val="36"/>
          <w:highlight w:val="none"/>
        </w:rPr>
        <w:t>第二章  供应商须知</w:t>
      </w:r>
      <w:bookmarkEnd w:id="20"/>
      <w:bookmarkEnd w:id="21"/>
      <w:bookmarkEnd w:id="22"/>
      <w:bookmarkEnd w:id="23"/>
      <w:bookmarkEnd w:id="24"/>
      <w:bookmarkEnd w:id="25"/>
      <w:bookmarkEnd w:id="26"/>
      <w:bookmarkEnd w:id="27"/>
      <w:bookmarkEnd w:id="28"/>
      <w:bookmarkEnd w:id="29"/>
      <w:bookmarkEnd w:id="30"/>
      <w:bookmarkEnd w:id="31"/>
      <w:bookmarkEnd w:id="32"/>
      <w:bookmarkEnd w:id="57"/>
    </w:p>
    <w:p w14:paraId="5397A8FA">
      <w:pPr>
        <w:pStyle w:val="81"/>
        <w:spacing w:beforeLines="100" w:after="24"/>
        <w:jc w:val="center"/>
        <w:rPr>
          <w:rFonts w:eastAsia="仿宋_GB2312"/>
          <w:color w:val="auto"/>
          <w:sz w:val="28"/>
          <w:szCs w:val="28"/>
          <w:highlight w:val="none"/>
        </w:rPr>
      </w:pPr>
      <w:bookmarkStart w:id="58" w:name="_Toc1149"/>
      <w:r>
        <w:rPr>
          <w:rFonts w:eastAsia="仿宋_GB2312"/>
          <w:color w:val="auto"/>
          <w:sz w:val="28"/>
          <w:szCs w:val="28"/>
          <w:highlight w:val="none"/>
        </w:rPr>
        <w:t>（一）供应商须知前附表</w:t>
      </w:r>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8"/>
    </w:p>
    <w:p w14:paraId="7A2B3A37">
      <w:pPr>
        <w:rPr>
          <w:rFonts w:eastAsia="仿宋_GB2312"/>
          <w:color w:val="auto"/>
          <w:highlight w:val="none"/>
        </w:rPr>
      </w:pPr>
    </w:p>
    <w:p w14:paraId="4D44038C">
      <w:pPr>
        <w:rPr>
          <w:rFonts w:eastAsia="仿宋_GB2312"/>
          <w:color w:val="auto"/>
          <w:sz w:val="24"/>
          <w:highlight w:val="none"/>
        </w:rPr>
      </w:pPr>
      <w:r>
        <w:rPr>
          <w:rFonts w:eastAsia="仿宋_GB2312"/>
          <w:color w:val="auto"/>
          <w:sz w:val="24"/>
          <w:highlight w:val="none"/>
        </w:rPr>
        <w:t>本表是对供应商须知的具体补充和修改，如有矛盾，均以本表为准。</w:t>
      </w:r>
    </w:p>
    <w:p w14:paraId="16F289CF">
      <w:pPr>
        <w:ind w:left="720" w:hanging="720" w:hangingChars="343"/>
        <w:rPr>
          <w:rFonts w:eastAsia="仿宋_GB2312"/>
          <w:b/>
          <w:color w:val="auto"/>
          <w:sz w:val="20"/>
          <w:szCs w:val="20"/>
          <w:highlight w:val="none"/>
        </w:rPr>
      </w:pPr>
      <w:r>
        <w:rPr>
          <w:rFonts w:eastAsia="仿宋_GB2312"/>
          <w:color w:val="auto"/>
          <w:szCs w:val="21"/>
          <w:highlight w:val="none"/>
        </w:rPr>
        <w:t xml:space="preserve">   </w:t>
      </w:r>
    </w:p>
    <w:bookmarkEnd w:id="18"/>
    <w:tbl>
      <w:tblPr>
        <w:tblStyle w:val="50"/>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45" w:type="dxa"/>
          <w:left w:w="96" w:type="dxa"/>
          <w:bottom w:w="45" w:type="dxa"/>
          <w:right w:w="96" w:type="dxa"/>
        </w:tblCellMar>
      </w:tblPr>
      <w:tblGrid>
        <w:gridCol w:w="1730"/>
        <w:gridCol w:w="7556"/>
      </w:tblGrid>
      <w:tr w14:paraId="4F10E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730" w:type="dxa"/>
            <w:vAlign w:val="center"/>
          </w:tcPr>
          <w:p w14:paraId="0E85168A">
            <w:pPr>
              <w:pStyle w:val="28"/>
              <w:adjustRightInd w:val="0"/>
              <w:snapToGrid w:val="0"/>
              <w:spacing w:line="240" w:lineRule="auto"/>
              <w:jc w:val="center"/>
              <w:rPr>
                <w:rFonts w:hint="eastAsia" w:ascii="Times New Roman" w:hAnsi="Times New Roman" w:eastAsia="仿宋_GB2312"/>
                <w:b/>
                <w:color w:val="auto"/>
                <w:sz w:val="24"/>
                <w:szCs w:val="24"/>
                <w:highlight w:val="none"/>
                <w:lang w:eastAsia="zh-CN"/>
              </w:rPr>
            </w:pPr>
            <w:bookmarkStart w:id="59" w:name="_Hlt14560610"/>
            <w:bookmarkEnd w:id="59"/>
            <w:bookmarkStart w:id="60" w:name="_Toc492955416"/>
            <w:bookmarkStart w:id="61" w:name="_Toc385992326"/>
            <w:bookmarkStart w:id="62" w:name="_Toc499711885"/>
            <w:bookmarkStart w:id="63" w:name="_Toc499711044"/>
            <w:bookmarkStart w:id="64" w:name="_Toc500746967"/>
            <w:bookmarkStart w:id="65" w:name="_Toc500747063"/>
            <w:bookmarkStart w:id="66" w:name="_Toc496324580"/>
            <w:bookmarkStart w:id="67" w:name="_Toc389620165"/>
            <w:bookmarkStart w:id="68" w:name="_Toc500747190"/>
            <w:bookmarkStart w:id="69" w:name="_Toc503063423"/>
            <w:r>
              <w:rPr>
                <w:rFonts w:hint="eastAsia" w:ascii="Times New Roman" w:hAnsi="Times New Roman" w:eastAsia="仿宋_GB2312"/>
                <w:b/>
                <w:color w:val="auto"/>
                <w:sz w:val="24"/>
                <w:szCs w:val="24"/>
                <w:highlight w:val="none"/>
                <w:lang w:eastAsia="zh-CN"/>
              </w:rPr>
              <w:t>条款号</w:t>
            </w:r>
          </w:p>
        </w:tc>
        <w:tc>
          <w:tcPr>
            <w:tcW w:w="7556" w:type="dxa"/>
            <w:vAlign w:val="center"/>
          </w:tcPr>
          <w:p w14:paraId="453736D3">
            <w:pPr>
              <w:pStyle w:val="28"/>
              <w:adjustRightInd w:val="0"/>
              <w:snapToGrid w:val="0"/>
              <w:spacing w:line="240" w:lineRule="auto"/>
              <w:jc w:val="center"/>
              <w:rPr>
                <w:rFonts w:hint="eastAsia" w:ascii="Times New Roman" w:hAnsi="Times New Roman" w:eastAsia="仿宋_GB2312"/>
                <w:b/>
                <w:color w:val="auto"/>
                <w:sz w:val="24"/>
                <w:szCs w:val="24"/>
                <w:highlight w:val="none"/>
                <w:lang w:eastAsia="zh-CN"/>
              </w:rPr>
            </w:pPr>
            <w:r>
              <w:rPr>
                <w:rFonts w:hint="eastAsia" w:ascii="Times New Roman" w:hAnsi="Times New Roman" w:eastAsia="仿宋_GB2312"/>
                <w:b/>
                <w:color w:val="auto"/>
                <w:sz w:val="24"/>
                <w:szCs w:val="24"/>
                <w:highlight w:val="none"/>
                <w:lang w:eastAsia="zh-CN"/>
              </w:rPr>
              <w:t>内容说明</w:t>
            </w:r>
          </w:p>
        </w:tc>
      </w:tr>
      <w:tr w14:paraId="457EE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730" w:type="dxa"/>
            <w:vAlign w:val="center"/>
          </w:tcPr>
          <w:p w14:paraId="49A91172">
            <w:pPr>
              <w:pStyle w:val="28"/>
              <w:adjustRightInd w:val="0"/>
              <w:snapToGrid w:val="0"/>
              <w:spacing w:line="240" w:lineRule="auto"/>
              <w:jc w:val="center"/>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1.1</w:t>
            </w:r>
          </w:p>
        </w:tc>
        <w:tc>
          <w:tcPr>
            <w:tcW w:w="7556" w:type="dxa"/>
            <w:vAlign w:val="center"/>
          </w:tcPr>
          <w:p w14:paraId="786FB114">
            <w:pPr>
              <w:pStyle w:val="28"/>
              <w:adjustRightInd w:val="0"/>
              <w:snapToGrid w:val="0"/>
              <w:spacing w:line="240" w:lineRule="auto"/>
              <w:jc w:val="left"/>
              <w:rPr>
                <w:rFonts w:hint="eastAsia" w:ascii="Times New Roman" w:hAnsi="Times New Roman" w:eastAsia="仿宋_GB2312"/>
                <w:color w:val="auto"/>
                <w:sz w:val="24"/>
                <w:szCs w:val="24"/>
                <w:highlight w:val="none"/>
                <w:lang w:eastAsia="zh-CN"/>
              </w:rPr>
            </w:pPr>
            <w:r>
              <w:rPr>
                <w:rFonts w:ascii="Times New Roman" w:hAnsi="Times New Roman" w:eastAsia="仿宋_GB2312"/>
                <w:color w:val="auto"/>
                <w:sz w:val="24"/>
                <w:szCs w:val="24"/>
                <w:highlight w:val="none"/>
              </w:rPr>
              <w:t>项目名称：</w:t>
            </w:r>
            <w:r>
              <w:rPr>
                <w:rFonts w:hint="eastAsia" w:ascii="Times New Roman" w:hAnsi="Times New Roman" w:eastAsia="仿宋_GB2312"/>
                <w:color w:val="auto"/>
                <w:sz w:val="24"/>
                <w:szCs w:val="24"/>
                <w:highlight w:val="none"/>
                <w:lang w:eastAsia="zh-CN"/>
              </w:rPr>
              <w:t>沣东新城安保服务采购项目</w:t>
            </w:r>
          </w:p>
          <w:p w14:paraId="09B57C9A">
            <w:pPr>
              <w:pStyle w:val="28"/>
              <w:adjustRightInd w:val="0"/>
              <w:snapToGrid w:val="0"/>
              <w:spacing w:line="240" w:lineRule="auto"/>
              <w:jc w:val="left"/>
              <w:rPr>
                <w:rFonts w:hint="eastAsia" w:ascii="Times New Roman" w:hAnsi="Times New Roman" w:eastAsia="仿宋_GB2312"/>
                <w:color w:val="auto"/>
                <w:sz w:val="24"/>
                <w:szCs w:val="24"/>
                <w:highlight w:val="none"/>
                <w:lang w:eastAsia="zh-CN"/>
              </w:rPr>
            </w:pPr>
            <w:r>
              <w:rPr>
                <w:rFonts w:ascii="Times New Roman" w:hAnsi="Times New Roman" w:eastAsia="仿宋_GB2312"/>
                <w:color w:val="auto"/>
                <w:sz w:val="24"/>
                <w:szCs w:val="24"/>
                <w:highlight w:val="none"/>
              </w:rPr>
              <w:t>项目编</w:t>
            </w:r>
            <w:r>
              <w:rPr>
                <w:rFonts w:hint="eastAsia" w:ascii="Times New Roman" w:hAnsi="Times New Roman" w:eastAsia="仿宋_GB2312"/>
                <w:color w:val="auto"/>
                <w:sz w:val="24"/>
                <w:szCs w:val="24"/>
                <w:highlight w:val="none"/>
              </w:rPr>
              <w:t>号</w:t>
            </w:r>
            <w:r>
              <w:rPr>
                <w:rFonts w:hint="eastAsia" w:ascii="Times New Roman" w:hAnsi="Times New Roman" w:eastAsia="仿宋_GB2312"/>
                <w:color w:val="auto"/>
                <w:sz w:val="24"/>
                <w:szCs w:val="24"/>
                <w:highlight w:val="none"/>
                <w:lang w:eastAsia="zh-CN"/>
              </w:rPr>
              <w:t>SCZC2026-CS-1644/001</w:t>
            </w:r>
          </w:p>
          <w:p w14:paraId="4692EC74">
            <w:pPr>
              <w:pStyle w:val="28"/>
              <w:adjustRightInd w:val="0"/>
              <w:snapToGrid w:val="0"/>
              <w:spacing w:line="240" w:lineRule="auto"/>
              <w:jc w:val="lef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资金来源：财政资金</w:t>
            </w:r>
          </w:p>
          <w:p w14:paraId="2BC9089F">
            <w:pPr>
              <w:pStyle w:val="28"/>
              <w:adjustRightInd w:val="0"/>
              <w:snapToGrid w:val="0"/>
              <w:spacing w:line="240" w:lineRule="auto"/>
              <w:jc w:val="left"/>
              <w:rPr>
                <w:rFonts w:hint="default" w:ascii="Times New Roman" w:hAnsi="Times New Roman" w:eastAsia="仿宋_GB2312"/>
                <w:color w:val="auto"/>
                <w:sz w:val="24"/>
                <w:szCs w:val="24"/>
                <w:highlight w:val="none"/>
                <w:lang w:val="en-US"/>
              </w:rPr>
            </w:pPr>
            <w:r>
              <w:rPr>
                <w:rFonts w:ascii="Times New Roman" w:hAnsi="Times New Roman" w:eastAsia="仿宋_GB2312"/>
                <w:color w:val="auto"/>
                <w:sz w:val="24"/>
                <w:szCs w:val="24"/>
                <w:highlight w:val="none"/>
              </w:rPr>
              <w:t>预算金额：</w:t>
            </w:r>
            <w:r>
              <w:rPr>
                <w:rFonts w:hint="eastAsia" w:ascii="Times New Roman" w:hAnsi="Times New Roman" w:eastAsia="仿宋_GB2312"/>
                <w:color w:val="auto"/>
                <w:sz w:val="24"/>
                <w:szCs w:val="24"/>
                <w:highlight w:val="none"/>
                <w:lang w:val="en-US" w:eastAsia="zh-CN"/>
              </w:rPr>
              <w:t>详见磋商公告</w:t>
            </w:r>
          </w:p>
          <w:p w14:paraId="3E37FECA">
            <w:pPr>
              <w:pStyle w:val="28"/>
              <w:adjustRightInd w:val="0"/>
              <w:snapToGrid w:val="0"/>
              <w:spacing w:line="240" w:lineRule="auto"/>
              <w:jc w:val="lef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采购方式：竞争性磋商</w:t>
            </w:r>
          </w:p>
          <w:p w14:paraId="6A3B70BA">
            <w:pPr>
              <w:pStyle w:val="28"/>
              <w:adjustRightInd w:val="0"/>
              <w:snapToGrid w:val="0"/>
              <w:spacing w:line="240" w:lineRule="auto"/>
              <w:jc w:val="lef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采购内容：详见本磋商文件第五章</w:t>
            </w:r>
          </w:p>
          <w:p w14:paraId="388654F5">
            <w:pPr>
              <w:pStyle w:val="28"/>
              <w:adjustRightInd w:val="0"/>
              <w:snapToGrid w:val="0"/>
              <w:spacing w:line="240" w:lineRule="auto"/>
              <w:jc w:val="lef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项目所属行业：</w:t>
            </w:r>
            <w:r>
              <w:rPr>
                <w:rFonts w:hint="eastAsia" w:ascii="Times New Roman" w:hAnsi="Times New Roman" w:eastAsia="仿宋_GB2312"/>
                <w:color w:val="auto"/>
                <w:sz w:val="24"/>
                <w:szCs w:val="24"/>
                <w:highlight w:val="none"/>
              </w:rPr>
              <w:t>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tc>
      </w:tr>
      <w:tr w14:paraId="0B6AE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730" w:type="dxa"/>
            <w:vAlign w:val="center"/>
          </w:tcPr>
          <w:p w14:paraId="43FF76C1">
            <w:pPr>
              <w:pStyle w:val="28"/>
              <w:adjustRightInd w:val="0"/>
              <w:snapToGrid w:val="0"/>
              <w:spacing w:line="240" w:lineRule="auto"/>
              <w:jc w:val="center"/>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2.1</w:t>
            </w:r>
          </w:p>
        </w:tc>
        <w:tc>
          <w:tcPr>
            <w:tcW w:w="7556" w:type="dxa"/>
            <w:vAlign w:val="center"/>
          </w:tcPr>
          <w:p w14:paraId="2CBDE164">
            <w:pPr>
              <w:pStyle w:val="28"/>
              <w:adjustRightInd w:val="0"/>
              <w:snapToGrid w:val="0"/>
              <w:spacing w:line="240" w:lineRule="auto"/>
              <w:jc w:val="left"/>
              <w:rPr>
                <w:rFonts w:hint="eastAsia" w:ascii="Times New Roman" w:hAnsi="Times New Roman" w:eastAsia="仿宋_GB2312"/>
                <w:color w:val="auto"/>
                <w:sz w:val="24"/>
                <w:szCs w:val="24"/>
                <w:highlight w:val="none"/>
                <w:lang w:eastAsia="zh-CN"/>
              </w:rPr>
            </w:pPr>
            <w:r>
              <w:rPr>
                <w:rFonts w:ascii="Times New Roman" w:hAnsi="Times New Roman" w:eastAsia="仿宋_GB2312"/>
                <w:color w:val="auto"/>
                <w:sz w:val="24"/>
                <w:szCs w:val="24"/>
                <w:highlight w:val="none"/>
              </w:rPr>
              <w:t>采购人：</w:t>
            </w:r>
            <w:r>
              <w:rPr>
                <w:rFonts w:hint="eastAsia" w:ascii="Times New Roman" w:eastAsia="仿宋_GB2312"/>
                <w:color w:val="auto"/>
                <w:kern w:val="0"/>
                <w:sz w:val="24"/>
                <w:highlight w:val="none"/>
                <w:lang w:eastAsia="zh-CN"/>
              </w:rPr>
              <w:t>陕西省西咸新区沣东新城管理委员会</w:t>
            </w:r>
          </w:p>
        </w:tc>
      </w:tr>
      <w:tr w14:paraId="587E9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730" w:type="dxa"/>
            <w:vAlign w:val="center"/>
          </w:tcPr>
          <w:p w14:paraId="66A052FD">
            <w:pPr>
              <w:pStyle w:val="28"/>
              <w:adjustRightInd w:val="0"/>
              <w:snapToGrid w:val="0"/>
              <w:spacing w:line="240" w:lineRule="auto"/>
              <w:jc w:val="center"/>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2.2</w:t>
            </w:r>
          </w:p>
        </w:tc>
        <w:tc>
          <w:tcPr>
            <w:tcW w:w="7556" w:type="dxa"/>
            <w:vAlign w:val="center"/>
          </w:tcPr>
          <w:p w14:paraId="5F419931">
            <w:pPr>
              <w:pStyle w:val="28"/>
              <w:adjustRightInd w:val="0"/>
              <w:snapToGrid w:val="0"/>
              <w:spacing w:line="240" w:lineRule="auto"/>
              <w:jc w:val="lef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采购代理机构：陕西省采购招标有限责任公司</w:t>
            </w:r>
          </w:p>
        </w:tc>
      </w:tr>
      <w:tr w14:paraId="4482B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730" w:type="dxa"/>
            <w:vAlign w:val="center"/>
          </w:tcPr>
          <w:p w14:paraId="2C71930D">
            <w:pPr>
              <w:pStyle w:val="28"/>
              <w:adjustRightInd w:val="0"/>
              <w:snapToGrid w:val="0"/>
              <w:spacing w:line="240" w:lineRule="auto"/>
              <w:jc w:val="center"/>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2.3</w:t>
            </w:r>
          </w:p>
        </w:tc>
        <w:tc>
          <w:tcPr>
            <w:tcW w:w="7556" w:type="dxa"/>
            <w:vAlign w:val="center"/>
          </w:tcPr>
          <w:p w14:paraId="2BFD9831">
            <w:pPr>
              <w:pStyle w:val="28"/>
              <w:adjustRightInd w:val="0"/>
              <w:snapToGrid w:val="0"/>
              <w:spacing w:line="240" w:lineRule="auto"/>
              <w:jc w:val="lef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邀请供应商的方式：发布磋商公告</w:t>
            </w:r>
          </w:p>
        </w:tc>
      </w:tr>
      <w:tr w14:paraId="1CE88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730" w:type="dxa"/>
            <w:vAlign w:val="center"/>
          </w:tcPr>
          <w:p w14:paraId="51F7B4A0">
            <w:pPr>
              <w:pStyle w:val="28"/>
              <w:adjustRightInd w:val="0"/>
              <w:snapToGrid w:val="0"/>
              <w:spacing w:line="240" w:lineRule="auto"/>
              <w:jc w:val="center"/>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3.1</w:t>
            </w:r>
          </w:p>
        </w:tc>
        <w:tc>
          <w:tcPr>
            <w:tcW w:w="7556" w:type="dxa"/>
            <w:vAlign w:val="center"/>
          </w:tcPr>
          <w:p w14:paraId="2A326905">
            <w:pPr>
              <w:pStyle w:val="14"/>
              <w:snapToGrid w:val="0"/>
              <w:spacing w:line="360" w:lineRule="auto"/>
              <w:jc w:val="left"/>
              <w:rPr>
                <w:rFonts w:ascii="Times New Roman" w:eastAsia="仿宋_GB2312" w:cs="Times New Roman"/>
                <w:color w:val="auto"/>
                <w:kern w:val="2"/>
                <w:sz w:val="24"/>
                <w:highlight w:val="none"/>
              </w:rPr>
            </w:pPr>
            <w:r>
              <w:rPr>
                <w:rFonts w:ascii="Times New Roman" w:eastAsia="仿宋_GB2312" w:cs="Times New Roman"/>
                <w:color w:val="auto"/>
                <w:kern w:val="2"/>
                <w:sz w:val="24"/>
                <w:highlight w:val="none"/>
              </w:rPr>
              <w:t>对供应商的资格要求：见磋商公告</w:t>
            </w:r>
          </w:p>
        </w:tc>
      </w:tr>
      <w:tr w14:paraId="5359E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730" w:type="dxa"/>
            <w:vAlign w:val="center"/>
          </w:tcPr>
          <w:p w14:paraId="61239115">
            <w:pPr>
              <w:pStyle w:val="28"/>
              <w:adjustRightInd w:val="0"/>
              <w:snapToGrid w:val="0"/>
              <w:spacing w:line="240" w:lineRule="auto"/>
              <w:jc w:val="center"/>
              <w:rPr>
                <w:rFonts w:hint="default" w:ascii="Times New Roman" w:hAnsi="Times New Roman" w:eastAsia="仿宋_GB2312"/>
                <w:color w:val="auto"/>
                <w:sz w:val="24"/>
                <w:szCs w:val="24"/>
                <w:highlight w:val="none"/>
                <w:lang w:val="en-US" w:eastAsia="zh-CN"/>
              </w:rPr>
            </w:pPr>
            <w:r>
              <w:rPr>
                <w:rFonts w:hint="eastAsia" w:ascii="Times New Roman" w:hAnsi="Times New Roman" w:eastAsia="仿宋_GB2312"/>
                <w:color w:val="auto"/>
                <w:sz w:val="24"/>
                <w:szCs w:val="24"/>
                <w:highlight w:val="none"/>
                <w:lang w:val="en-US" w:eastAsia="zh-CN"/>
              </w:rPr>
              <w:t>3.2</w:t>
            </w:r>
          </w:p>
        </w:tc>
        <w:tc>
          <w:tcPr>
            <w:tcW w:w="7556" w:type="dxa"/>
            <w:vAlign w:val="center"/>
          </w:tcPr>
          <w:p w14:paraId="49718776">
            <w:pPr>
              <w:pStyle w:val="14"/>
              <w:snapToGrid w:val="0"/>
              <w:spacing w:line="360" w:lineRule="auto"/>
              <w:jc w:val="left"/>
              <w:rPr>
                <w:rFonts w:ascii="Times New Roman" w:eastAsia="仿宋_GB2312" w:cs="Times New Roman"/>
                <w:color w:val="auto"/>
                <w:kern w:val="2"/>
                <w:sz w:val="24"/>
                <w:highlight w:val="none"/>
              </w:rPr>
            </w:pPr>
            <w:r>
              <w:rPr>
                <w:rFonts w:hint="eastAsia" w:ascii="Times New Roman" w:eastAsia="仿宋_GB2312" w:cs="Times New Roman"/>
                <w:color w:val="auto"/>
                <w:kern w:val="2"/>
                <w:sz w:val="24"/>
                <w:highlight w:val="none"/>
              </w:rPr>
              <w:t>信用信息查询的时间：本项目资格审查时。</w:t>
            </w:r>
          </w:p>
        </w:tc>
      </w:tr>
      <w:tr w14:paraId="2C896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730" w:type="dxa"/>
            <w:vAlign w:val="center"/>
          </w:tcPr>
          <w:p w14:paraId="01B6461D">
            <w:pPr>
              <w:pStyle w:val="28"/>
              <w:adjustRightInd w:val="0"/>
              <w:snapToGrid w:val="0"/>
              <w:spacing w:line="240" w:lineRule="auto"/>
              <w:jc w:val="center"/>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3.</w:t>
            </w:r>
            <w:r>
              <w:rPr>
                <w:rFonts w:hint="eastAsia" w:ascii="Times New Roman" w:hAnsi="Times New Roman" w:eastAsia="仿宋_GB2312"/>
                <w:color w:val="auto"/>
                <w:sz w:val="24"/>
                <w:szCs w:val="24"/>
                <w:highlight w:val="none"/>
              </w:rPr>
              <w:t>5</w:t>
            </w:r>
          </w:p>
        </w:tc>
        <w:tc>
          <w:tcPr>
            <w:tcW w:w="7556" w:type="dxa"/>
            <w:vAlign w:val="center"/>
          </w:tcPr>
          <w:p w14:paraId="5F878E0E">
            <w:pPr>
              <w:pStyle w:val="14"/>
              <w:snapToGrid w:val="0"/>
              <w:spacing w:line="360" w:lineRule="auto"/>
              <w:jc w:val="left"/>
              <w:rPr>
                <w:rFonts w:ascii="Times New Roman" w:eastAsia="仿宋_GB2312" w:cs="Times New Roman"/>
                <w:color w:val="auto"/>
                <w:kern w:val="2"/>
                <w:sz w:val="24"/>
                <w:highlight w:val="none"/>
              </w:rPr>
            </w:pPr>
            <w:r>
              <w:rPr>
                <w:rFonts w:ascii="Times New Roman" w:eastAsia="仿宋_GB2312" w:cs="Times New Roman"/>
                <w:color w:val="auto"/>
                <w:kern w:val="2"/>
                <w:sz w:val="24"/>
                <w:highlight w:val="none"/>
              </w:rPr>
              <w:t>是否允许采购进口产品：</w:t>
            </w:r>
            <w:r>
              <w:rPr>
                <w:rFonts w:ascii="Times New Roman" w:eastAsia="仿宋_GB2312" w:cs="Times New Roman"/>
                <w:color w:val="auto"/>
                <w:kern w:val="2"/>
                <w:sz w:val="24"/>
                <w:highlight w:val="none"/>
                <w:u w:val="single"/>
              </w:rPr>
              <w:t xml:space="preserve">  </w:t>
            </w:r>
            <w:r>
              <w:rPr>
                <w:rFonts w:hint="eastAsia" w:ascii="Times New Roman" w:eastAsia="仿宋_GB2312" w:cs="Times New Roman"/>
                <w:color w:val="auto"/>
                <w:kern w:val="2"/>
                <w:sz w:val="24"/>
                <w:highlight w:val="none"/>
                <w:u w:val="single"/>
              </w:rPr>
              <w:t>不涉及</w:t>
            </w:r>
          </w:p>
        </w:tc>
      </w:tr>
      <w:tr w14:paraId="7C0D5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730" w:type="dxa"/>
            <w:vAlign w:val="center"/>
          </w:tcPr>
          <w:p w14:paraId="59FDED89">
            <w:pPr>
              <w:pStyle w:val="28"/>
              <w:adjustRightInd w:val="0"/>
              <w:snapToGrid w:val="0"/>
              <w:spacing w:line="240" w:lineRule="auto"/>
              <w:jc w:val="center"/>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3.</w:t>
            </w:r>
            <w:r>
              <w:rPr>
                <w:rFonts w:hint="eastAsia" w:ascii="Times New Roman" w:hAnsi="Times New Roman" w:eastAsia="仿宋_GB2312"/>
                <w:color w:val="auto"/>
                <w:sz w:val="24"/>
                <w:szCs w:val="24"/>
                <w:highlight w:val="none"/>
              </w:rPr>
              <w:t>6</w:t>
            </w:r>
          </w:p>
        </w:tc>
        <w:tc>
          <w:tcPr>
            <w:tcW w:w="7556" w:type="dxa"/>
            <w:vAlign w:val="center"/>
          </w:tcPr>
          <w:p w14:paraId="42495653">
            <w:pPr>
              <w:pStyle w:val="14"/>
              <w:snapToGrid w:val="0"/>
              <w:spacing w:line="360" w:lineRule="auto"/>
              <w:jc w:val="left"/>
              <w:rPr>
                <w:rFonts w:ascii="Times New Roman" w:eastAsia="仿宋_GB2312" w:cs="Times New Roman"/>
                <w:color w:val="auto"/>
                <w:kern w:val="2"/>
                <w:sz w:val="24"/>
                <w:highlight w:val="none"/>
              </w:rPr>
            </w:pPr>
            <w:r>
              <w:rPr>
                <w:rFonts w:ascii="Times New Roman" w:eastAsia="仿宋_GB2312" w:cs="Times New Roman"/>
                <w:color w:val="auto"/>
                <w:kern w:val="2"/>
                <w:sz w:val="24"/>
                <w:highlight w:val="none"/>
              </w:rPr>
              <w:t>是否允许联合体磋商：</w:t>
            </w:r>
            <w:r>
              <w:rPr>
                <w:rFonts w:ascii="Times New Roman" w:eastAsia="仿宋_GB2312" w:cs="Times New Roman"/>
                <w:color w:val="auto"/>
                <w:kern w:val="2"/>
                <w:sz w:val="24"/>
                <w:highlight w:val="none"/>
                <w:u w:val="single"/>
              </w:rPr>
              <w:t xml:space="preserve">  </w:t>
            </w:r>
            <w:r>
              <w:rPr>
                <w:rFonts w:hint="eastAsia" w:ascii="Times New Roman" w:eastAsia="仿宋_GB2312" w:cs="Times New Roman"/>
                <w:color w:val="auto"/>
                <w:kern w:val="2"/>
                <w:sz w:val="24"/>
                <w:highlight w:val="none"/>
                <w:u w:val="single"/>
              </w:rPr>
              <w:t>否</w:t>
            </w:r>
          </w:p>
        </w:tc>
      </w:tr>
      <w:tr w14:paraId="3735D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730" w:type="dxa"/>
            <w:vAlign w:val="center"/>
          </w:tcPr>
          <w:p w14:paraId="566675C1">
            <w:pPr>
              <w:pStyle w:val="28"/>
              <w:adjustRightInd w:val="0"/>
              <w:snapToGrid w:val="0"/>
              <w:spacing w:line="240" w:lineRule="auto"/>
              <w:jc w:val="center"/>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3.</w:t>
            </w:r>
            <w:r>
              <w:rPr>
                <w:rFonts w:hint="eastAsia" w:ascii="Times New Roman" w:hAnsi="Times New Roman" w:eastAsia="仿宋_GB2312"/>
                <w:color w:val="auto"/>
                <w:sz w:val="24"/>
                <w:szCs w:val="24"/>
                <w:highlight w:val="none"/>
              </w:rPr>
              <w:t>7</w:t>
            </w:r>
          </w:p>
        </w:tc>
        <w:tc>
          <w:tcPr>
            <w:tcW w:w="7556" w:type="dxa"/>
            <w:vAlign w:val="center"/>
          </w:tcPr>
          <w:p w14:paraId="02F58DC7">
            <w:pPr>
              <w:pStyle w:val="14"/>
              <w:snapToGrid w:val="0"/>
              <w:spacing w:line="360" w:lineRule="auto"/>
              <w:jc w:val="left"/>
              <w:rPr>
                <w:rFonts w:ascii="Times New Roman" w:eastAsia="仿宋_GB2312" w:cs="Times New Roman"/>
                <w:color w:val="auto"/>
                <w:kern w:val="2"/>
                <w:sz w:val="24"/>
                <w:highlight w:val="none"/>
              </w:rPr>
            </w:pPr>
            <w:r>
              <w:rPr>
                <w:rFonts w:ascii="Times New Roman" w:eastAsia="仿宋_GB2312" w:cs="Times New Roman"/>
                <w:color w:val="auto"/>
                <w:sz w:val="24"/>
                <w:highlight w:val="none"/>
              </w:rPr>
              <w:t>是否为专门面向</w:t>
            </w:r>
            <w:r>
              <w:rPr>
                <w:rFonts w:hint="eastAsia" w:ascii="Times New Roman" w:eastAsia="仿宋_GB2312" w:cs="Times New Roman"/>
                <w:color w:val="auto"/>
                <w:sz w:val="24"/>
                <w:highlight w:val="none"/>
                <w:lang w:val="en-US" w:eastAsia="zh-CN"/>
              </w:rPr>
              <w:t>中小</w:t>
            </w:r>
            <w:r>
              <w:rPr>
                <w:rFonts w:ascii="Times New Roman" w:eastAsia="仿宋_GB2312" w:cs="Times New Roman"/>
                <w:color w:val="auto"/>
                <w:sz w:val="24"/>
                <w:highlight w:val="none"/>
              </w:rPr>
              <w:t>企业采购：</w:t>
            </w:r>
            <w:r>
              <w:rPr>
                <w:rFonts w:ascii="Times New Roman" w:eastAsia="仿宋_GB2312" w:cs="Times New Roman"/>
                <w:color w:val="auto"/>
                <w:sz w:val="24"/>
                <w:highlight w:val="none"/>
                <w:u w:val="single"/>
              </w:rPr>
              <w:t xml:space="preserve"> </w:t>
            </w:r>
            <w:r>
              <w:rPr>
                <w:rFonts w:hint="eastAsia" w:ascii="Times New Roman" w:eastAsia="仿宋_GB2312" w:cs="Times New Roman"/>
                <w:color w:val="auto"/>
                <w:sz w:val="24"/>
                <w:highlight w:val="none"/>
                <w:u w:val="single"/>
                <w:lang w:val="en-US" w:eastAsia="zh-CN"/>
              </w:rPr>
              <w:t>是</w:t>
            </w:r>
            <w:r>
              <w:rPr>
                <w:rFonts w:ascii="Times New Roman" w:eastAsia="仿宋_GB2312" w:cs="Times New Roman"/>
                <w:color w:val="auto"/>
                <w:sz w:val="24"/>
                <w:highlight w:val="none"/>
                <w:u w:val="single"/>
              </w:rPr>
              <w:t xml:space="preserve">  </w:t>
            </w:r>
            <w:r>
              <w:rPr>
                <w:rFonts w:ascii="Times New Roman" w:eastAsia="仿宋_GB2312" w:cs="Times New Roman"/>
                <w:color w:val="auto"/>
                <w:sz w:val="24"/>
                <w:highlight w:val="none"/>
              </w:rPr>
              <w:t>（</w:t>
            </w:r>
            <w:r>
              <w:rPr>
                <w:rFonts w:hint="eastAsia" w:ascii="Times New Roman" w:eastAsia="仿宋_GB2312" w:cs="Times New Roman"/>
                <w:color w:val="auto"/>
                <w:sz w:val="24"/>
                <w:highlight w:val="none"/>
              </w:rPr>
              <w:t>预留份额</w:t>
            </w:r>
            <w:r>
              <w:rPr>
                <w:rFonts w:hint="eastAsia" w:ascii="Times New Roman" w:eastAsia="仿宋_GB2312" w:cs="Times New Roman"/>
                <w:color w:val="auto"/>
                <w:sz w:val="24"/>
                <w:highlight w:val="none"/>
                <w:u w:val="single"/>
              </w:rPr>
              <w:t xml:space="preserve"> </w:t>
            </w:r>
            <w:r>
              <w:rPr>
                <w:rFonts w:hint="eastAsia" w:ascii="Times New Roman" w:eastAsia="仿宋_GB2312" w:cs="Times New Roman"/>
                <w:color w:val="auto"/>
                <w:sz w:val="24"/>
                <w:highlight w:val="none"/>
                <w:u w:val="single"/>
                <w:lang w:val="en-US" w:eastAsia="zh-CN"/>
              </w:rPr>
              <w:t xml:space="preserve"> /  </w:t>
            </w:r>
            <w:r>
              <w:rPr>
                <w:rFonts w:ascii="Times New Roman" w:eastAsia="仿宋_GB2312" w:cs="Times New Roman"/>
                <w:color w:val="auto"/>
                <w:sz w:val="24"/>
                <w:highlight w:val="none"/>
              </w:rPr>
              <w:t>）</w:t>
            </w:r>
          </w:p>
        </w:tc>
      </w:tr>
      <w:tr w14:paraId="60C4B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730" w:type="dxa"/>
            <w:vAlign w:val="center"/>
          </w:tcPr>
          <w:p w14:paraId="585774C1">
            <w:pPr>
              <w:pStyle w:val="28"/>
              <w:adjustRightInd w:val="0"/>
              <w:snapToGrid w:val="0"/>
              <w:spacing w:line="240" w:lineRule="auto"/>
              <w:jc w:val="center"/>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12.1</w:t>
            </w:r>
          </w:p>
        </w:tc>
        <w:tc>
          <w:tcPr>
            <w:tcW w:w="7556" w:type="dxa"/>
            <w:vAlign w:val="center"/>
          </w:tcPr>
          <w:p w14:paraId="193DB314">
            <w:pPr>
              <w:snapToGrid w:val="0"/>
              <w:spacing w:line="312" w:lineRule="auto"/>
              <w:jc w:val="left"/>
              <w:rPr>
                <w:rFonts w:ascii="Times New Roman" w:eastAsia="仿宋_GB2312"/>
                <w:color w:val="auto"/>
                <w:sz w:val="24"/>
                <w:highlight w:val="none"/>
              </w:rPr>
            </w:pPr>
            <w:r>
              <w:rPr>
                <w:rFonts w:ascii="Times New Roman" w:eastAsia="仿宋_GB2312"/>
                <w:color w:val="auto"/>
                <w:sz w:val="24"/>
                <w:highlight w:val="none"/>
              </w:rPr>
              <w:t>成交响应报价为提供磋商文件要求服务的所有费用，包括但不限于项目实施费、</w:t>
            </w:r>
            <w:r>
              <w:rPr>
                <w:rFonts w:hint="eastAsia" w:ascii="Times New Roman" w:eastAsia="仿宋_GB2312"/>
                <w:color w:val="auto"/>
                <w:sz w:val="24"/>
                <w:highlight w:val="none"/>
                <w:lang w:val="en-US" w:eastAsia="zh-CN"/>
              </w:rPr>
              <w:t>人员工资</w:t>
            </w:r>
            <w:r>
              <w:rPr>
                <w:rFonts w:ascii="Times New Roman" w:eastAsia="仿宋_GB2312"/>
                <w:color w:val="auto"/>
                <w:sz w:val="24"/>
                <w:highlight w:val="none"/>
              </w:rPr>
              <w:t>、</w:t>
            </w:r>
            <w:r>
              <w:rPr>
                <w:rFonts w:hint="eastAsia" w:ascii="Times New Roman" w:eastAsia="仿宋_GB2312"/>
                <w:color w:val="auto"/>
                <w:sz w:val="24"/>
                <w:highlight w:val="none"/>
                <w:lang w:val="en-US" w:eastAsia="zh-CN"/>
              </w:rPr>
              <w:t>社保、福利、</w:t>
            </w:r>
            <w:r>
              <w:rPr>
                <w:rFonts w:ascii="Times New Roman" w:eastAsia="仿宋_GB2312"/>
                <w:color w:val="auto"/>
                <w:sz w:val="24"/>
                <w:highlight w:val="none"/>
              </w:rPr>
              <w:t>管理费、</w:t>
            </w:r>
            <w:r>
              <w:rPr>
                <w:rFonts w:hint="eastAsia" w:ascii="仿宋_GB2312" w:hAnsi="仿宋_GB2312" w:eastAsia="仿宋_GB2312" w:cs="仿宋_GB2312"/>
                <w:bCs/>
                <w:color w:val="auto"/>
                <w:sz w:val="24"/>
                <w:szCs w:val="24"/>
                <w:highlight w:val="none"/>
              </w:rPr>
              <w:t>人员执勤值守费用、餐费、交通费、装备费等</w:t>
            </w:r>
            <w:r>
              <w:rPr>
                <w:rFonts w:ascii="Times New Roman" w:eastAsia="仿宋_GB2312"/>
                <w:color w:val="auto"/>
                <w:sz w:val="24"/>
                <w:highlight w:val="none"/>
              </w:rPr>
              <w:t>供应商应缴纳的所有税费等全部费用。</w:t>
            </w:r>
          </w:p>
          <w:p w14:paraId="2CC3C59C">
            <w:pPr>
              <w:pStyle w:val="28"/>
              <w:adjustRightInd w:val="0"/>
              <w:snapToGrid w:val="0"/>
              <w:spacing w:line="240" w:lineRule="auto"/>
              <w:jc w:val="left"/>
              <w:rPr>
                <w:rFonts w:ascii="Times New Roman" w:hAnsi="Times New Roman" w:eastAsia="仿宋_GB2312"/>
                <w:color w:val="auto"/>
                <w:sz w:val="24"/>
                <w:highlight w:val="none"/>
              </w:rPr>
            </w:pPr>
            <w:r>
              <w:rPr>
                <w:rFonts w:ascii="Times New Roman" w:hAnsi="Times New Roman" w:eastAsia="仿宋_GB2312"/>
                <w:color w:val="auto"/>
                <w:sz w:val="24"/>
                <w:highlight w:val="none"/>
              </w:rPr>
              <w:t>（1）报价货币：人民币；</w:t>
            </w:r>
          </w:p>
          <w:p w14:paraId="1538AC61">
            <w:pPr>
              <w:pStyle w:val="28"/>
              <w:adjustRightInd w:val="0"/>
              <w:snapToGrid w:val="0"/>
              <w:spacing w:line="240" w:lineRule="auto"/>
              <w:jc w:val="left"/>
              <w:rPr>
                <w:rFonts w:ascii="Times New Roman" w:hAnsi="Times New Roman" w:eastAsia="仿宋_GB2312"/>
                <w:color w:val="auto"/>
                <w:sz w:val="24"/>
                <w:highlight w:val="none"/>
              </w:rPr>
            </w:pPr>
            <w:r>
              <w:rPr>
                <w:rFonts w:ascii="Times New Roman" w:hAnsi="Times New Roman" w:eastAsia="仿宋_GB2312"/>
                <w:color w:val="auto"/>
                <w:sz w:val="24"/>
                <w:highlight w:val="none"/>
              </w:rPr>
              <w:t>（2）严格按照分项报价表进行分项报价。</w:t>
            </w:r>
          </w:p>
        </w:tc>
      </w:tr>
      <w:tr w14:paraId="5C655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730" w:type="dxa"/>
            <w:vAlign w:val="center"/>
          </w:tcPr>
          <w:p w14:paraId="190248BA">
            <w:pPr>
              <w:pStyle w:val="28"/>
              <w:adjustRightInd w:val="0"/>
              <w:snapToGrid w:val="0"/>
              <w:spacing w:line="240" w:lineRule="auto"/>
              <w:jc w:val="center"/>
              <w:rPr>
                <w:rFonts w:ascii="Times New Roman" w:hAnsi="Times New Roman" w:eastAsia="仿宋_GB2312"/>
                <w:color w:val="auto"/>
                <w:sz w:val="24"/>
                <w:szCs w:val="24"/>
                <w:highlight w:val="none"/>
              </w:rPr>
            </w:pPr>
          </w:p>
          <w:p w14:paraId="2A1545D3">
            <w:pPr>
              <w:pStyle w:val="28"/>
              <w:adjustRightInd w:val="0"/>
              <w:snapToGrid w:val="0"/>
              <w:spacing w:line="240" w:lineRule="auto"/>
              <w:jc w:val="center"/>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14.1</w:t>
            </w:r>
          </w:p>
          <w:p w14:paraId="392630A4">
            <w:pPr>
              <w:pStyle w:val="28"/>
              <w:adjustRightInd w:val="0"/>
              <w:snapToGrid w:val="0"/>
              <w:spacing w:line="240" w:lineRule="auto"/>
              <w:jc w:val="center"/>
              <w:rPr>
                <w:rFonts w:ascii="Times New Roman" w:hAnsi="Times New Roman" w:eastAsia="仿宋_GB2312"/>
                <w:color w:val="auto"/>
                <w:sz w:val="24"/>
                <w:szCs w:val="24"/>
                <w:highlight w:val="none"/>
              </w:rPr>
            </w:pPr>
          </w:p>
        </w:tc>
        <w:tc>
          <w:tcPr>
            <w:tcW w:w="7556" w:type="dxa"/>
            <w:vAlign w:val="center"/>
          </w:tcPr>
          <w:p w14:paraId="5E9F2420">
            <w:pPr>
              <w:pStyle w:val="28"/>
              <w:adjustRightInd w:val="0"/>
              <w:snapToGrid w:val="0"/>
              <w:spacing w:line="240" w:lineRule="auto"/>
              <w:jc w:val="left"/>
              <w:rPr>
                <w:rFonts w:ascii="Times New Roman" w:hAnsi="Times New Roman" w:eastAsia="仿宋_GB2312"/>
                <w:color w:val="auto"/>
                <w:sz w:val="24"/>
                <w:highlight w:val="none"/>
              </w:rPr>
            </w:pPr>
            <w:r>
              <w:rPr>
                <w:rFonts w:ascii="Times New Roman" w:hAnsi="Times New Roman" w:eastAsia="仿宋_GB2312"/>
                <w:color w:val="auto"/>
                <w:sz w:val="24"/>
                <w:szCs w:val="24"/>
                <w:highlight w:val="none"/>
              </w:rPr>
              <w:t>本项目</w:t>
            </w:r>
            <w:r>
              <w:rPr>
                <w:rFonts w:hint="eastAsia" w:ascii="Times New Roman" w:hAnsi="Times New Roman" w:eastAsia="仿宋_GB2312"/>
                <w:color w:val="auto"/>
                <w:sz w:val="24"/>
                <w:szCs w:val="24"/>
                <w:highlight w:val="none"/>
                <w:lang w:eastAsia="zh-CN"/>
              </w:rPr>
              <w:t>无</w:t>
            </w:r>
            <w:r>
              <w:rPr>
                <w:rFonts w:ascii="Times New Roman" w:hAnsi="Times New Roman" w:eastAsia="仿宋_GB2312"/>
                <w:color w:val="auto"/>
                <w:sz w:val="24"/>
                <w:szCs w:val="24"/>
                <w:highlight w:val="none"/>
              </w:rPr>
              <w:t>须提供磋商保证金</w:t>
            </w:r>
          </w:p>
        </w:tc>
      </w:tr>
      <w:tr w14:paraId="32E06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730" w:type="dxa"/>
            <w:vAlign w:val="center"/>
          </w:tcPr>
          <w:p w14:paraId="06B28369">
            <w:pPr>
              <w:pStyle w:val="28"/>
              <w:adjustRightInd w:val="0"/>
              <w:snapToGrid w:val="0"/>
              <w:spacing w:line="240" w:lineRule="auto"/>
              <w:jc w:val="center"/>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15.1</w:t>
            </w:r>
          </w:p>
        </w:tc>
        <w:tc>
          <w:tcPr>
            <w:tcW w:w="7556" w:type="dxa"/>
            <w:vAlign w:val="center"/>
          </w:tcPr>
          <w:p w14:paraId="71EE1441">
            <w:pPr>
              <w:pStyle w:val="28"/>
              <w:adjustRightInd w:val="0"/>
              <w:snapToGrid w:val="0"/>
              <w:spacing w:line="240" w:lineRule="auto"/>
              <w:jc w:val="lef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磋商有效期：自响应文件递交之日起</w:t>
            </w:r>
            <w:r>
              <w:rPr>
                <w:rFonts w:ascii="Times New Roman" w:hAnsi="Times New Roman" w:eastAsia="仿宋_GB2312"/>
                <w:color w:val="auto"/>
                <w:sz w:val="24"/>
                <w:szCs w:val="24"/>
                <w:highlight w:val="none"/>
                <w:u w:val="single"/>
              </w:rPr>
              <w:t xml:space="preserve">  60  </w:t>
            </w:r>
            <w:r>
              <w:rPr>
                <w:rFonts w:ascii="Times New Roman" w:hAnsi="Times New Roman" w:eastAsia="仿宋_GB2312"/>
                <w:color w:val="auto"/>
                <w:sz w:val="24"/>
                <w:szCs w:val="24"/>
                <w:highlight w:val="none"/>
              </w:rPr>
              <w:t>日历天。</w:t>
            </w:r>
          </w:p>
        </w:tc>
      </w:tr>
      <w:tr w14:paraId="01755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730" w:type="dxa"/>
            <w:vAlign w:val="center"/>
          </w:tcPr>
          <w:p w14:paraId="1AB9A1E4">
            <w:pPr>
              <w:pStyle w:val="28"/>
              <w:adjustRightInd w:val="0"/>
              <w:snapToGrid w:val="0"/>
              <w:spacing w:line="240" w:lineRule="auto"/>
              <w:jc w:val="center"/>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16.1</w:t>
            </w:r>
          </w:p>
        </w:tc>
        <w:tc>
          <w:tcPr>
            <w:tcW w:w="7556" w:type="dxa"/>
            <w:vAlign w:val="center"/>
          </w:tcPr>
          <w:p w14:paraId="211F245C">
            <w:pPr>
              <w:pStyle w:val="28"/>
              <w:adjustRightInd w:val="0"/>
              <w:snapToGrid w:val="0"/>
              <w:spacing w:line="240" w:lineRule="auto"/>
              <w:jc w:val="left"/>
              <w:rPr>
                <w:rFonts w:hint="eastAsia"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响应文件的份数：</w:t>
            </w:r>
          </w:p>
          <w:p w14:paraId="02031819">
            <w:pPr>
              <w:pStyle w:val="28"/>
              <w:adjustRightInd w:val="0"/>
              <w:snapToGrid w:val="0"/>
              <w:spacing w:line="240" w:lineRule="auto"/>
              <w:jc w:val="left"/>
              <w:rPr>
                <w:rFonts w:hint="eastAsia"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lang w:eastAsia="zh-CN"/>
              </w:rPr>
              <w:t>供应商须</w:t>
            </w:r>
            <w:r>
              <w:rPr>
                <w:rFonts w:hint="eastAsia" w:ascii="Times New Roman" w:hAnsi="Times New Roman" w:eastAsia="仿宋_GB2312"/>
                <w:color w:val="auto"/>
                <w:sz w:val="24"/>
                <w:szCs w:val="24"/>
                <w:highlight w:val="none"/>
              </w:rPr>
              <w:t>在</w:t>
            </w:r>
            <w:r>
              <w:rPr>
                <w:rFonts w:hint="eastAsia" w:ascii="Times New Roman" w:hAnsi="Times New Roman" w:eastAsia="仿宋_GB2312"/>
                <w:color w:val="auto"/>
                <w:sz w:val="24"/>
                <w:szCs w:val="24"/>
                <w:highlight w:val="none"/>
                <w:lang w:eastAsia="zh-CN"/>
              </w:rPr>
              <w:t>磋商</w:t>
            </w:r>
            <w:r>
              <w:rPr>
                <w:rFonts w:hint="eastAsia" w:ascii="Times New Roman" w:hAnsi="Times New Roman" w:eastAsia="仿宋_GB2312"/>
                <w:color w:val="auto"/>
                <w:sz w:val="24"/>
                <w:szCs w:val="24"/>
                <w:highlight w:val="none"/>
              </w:rPr>
              <w:t>截止时间前上传电子版</w:t>
            </w:r>
            <w:r>
              <w:rPr>
                <w:rFonts w:hint="eastAsia" w:ascii="Times New Roman" w:hAnsi="Times New Roman" w:eastAsia="仿宋_GB2312"/>
                <w:color w:val="auto"/>
                <w:sz w:val="24"/>
                <w:szCs w:val="24"/>
                <w:highlight w:val="none"/>
                <w:lang w:eastAsia="zh-CN"/>
              </w:rPr>
              <w:t>响应</w:t>
            </w:r>
            <w:r>
              <w:rPr>
                <w:rFonts w:hint="eastAsia" w:ascii="Times New Roman" w:hAnsi="Times New Roman" w:eastAsia="仿宋_GB2312"/>
                <w:color w:val="auto"/>
                <w:sz w:val="24"/>
                <w:szCs w:val="24"/>
                <w:highlight w:val="none"/>
              </w:rPr>
              <w:t>文件，并于</w:t>
            </w:r>
            <w:r>
              <w:rPr>
                <w:rFonts w:hint="eastAsia" w:ascii="Times New Roman" w:hAnsi="Times New Roman" w:eastAsia="仿宋_GB2312"/>
                <w:color w:val="auto"/>
                <w:sz w:val="24"/>
                <w:szCs w:val="24"/>
                <w:highlight w:val="none"/>
                <w:lang w:eastAsia="zh-CN"/>
              </w:rPr>
              <w:t>磋商截止</w:t>
            </w:r>
            <w:r>
              <w:rPr>
                <w:rFonts w:hint="eastAsia" w:ascii="Times New Roman" w:hAnsi="Times New Roman" w:eastAsia="仿宋_GB2312"/>
                <w:color w:val="auto"/>
                <w:sz w:val="24"/>
                <w:szCs w:val="24"/>
                <w:highlight w:val="none"/>
              </w:rPr>
              <w:t>时间前</w:t>
            </w:r>
            <w:r>
              <w:rPr>
                <w:rFonts w:hint="eastAsia" w:ascii="Times New Roman" w:hAnsi="Times New Roman" w:eastAsia="仿宋_GB2312"/>
                <w:color w:val="auto"/>
                <w:sz w:val="24"/>
                <w:szCs w:val="24"/>
                <w:highlight w:val="none"/>
                <w:lang w:eastAsia="zh-CN"/>
              </w:rPr>
              <w:t>在</w:t>
            </w:r>
            <w:r>
              <w:rPr>
                <w:rFonts w:hint="eastAsia" w:ascii="Times New Roman" w:eastAsia="仿宋_GB2312"/>
                <w:b/>
                <w:bCs/>
                <w:color w:val="auto"/>
                <w:kern w:val="0"/>
                <w:sz w:val="24"/>
                <w:highlight w:val="none"/>
              </w:rPr>
              <w:t>全国公共资源交易平台（陕西省·西咸新区）-电子交易平台-西咸新区公共资源交易不见面开标系统</w:t>
            </w:r>
            <w:r>
              <w:rPr>
                <w:rFonts w:hint="eastAsia" w:ascii="Times New Roman" w:hAnsi="Times New Roman" w:eastAsia="仿宋_GB2312"/>
                <w:color w:val="auto"/>
                <w:sz w:val="24"/>
                <w:szCs w:val="24"/>
                <w:highlight w:val="none"/>
              </w:rPr>
              <w:t>进行电子签到</w:t>
            </w:r>
            <w:r>
              <w:rPr>
                <w:rFonts w:hint="eastAsia" w:ascii="Times New Roman" w:hAnsi="Times New Roman" w:eastAsia="仿宋_GB2312"/>
                <w:color w:val="auto"/>
                <w:sz w:val="24"/>
                <w:szCs w:val="24"/>
                <w:highlight w:val="none"/>
                <w:lang w:eastAsia="zh-CN"/>
              </w:rPr>
              <w:t>（磋商截止时间前</w:t>
            </w:r>
            <w:r>
              <w:rPr>
                <w:rFonts w:hint="eastAsia" w:ascii="Times New Roman" w:hAnsi="Times New Roman" w:eastAsia="仿宋_GB2312"/>
                <w:color w:val="auto"/>
                <w:sz w:val="24"/>
                <w:szCs w:val="24"/>
                <w:highlight w:val="none"/>
                <w:lang w:val="en-US" w:eastAsia="zh-CN"/>
              </w:rPr>
              <w:t>1小时均可签到</w:t>
            </w:r>
            <w:r>
              <w:rPr>
                <w:rFonts w:hint="eastAsia" w:ascii="Times New Roman" w:hAnsi="Times New Roman" w:eastAsia="仿宋_GB2312"/>
                <w:color w:val="auto"/>
                <w:sz w:val="24"/>
                <w:szCs w:val="24"/>
                <w:highlight w:val="none"/>
                <w:lang w:eastAsia="zh-CN"/>
              </w:rPr>
              <w:t>）</w:t>
            </w:r>
            <w:r>
              <w:rPr>
                <w:rFonts w:hint="eastAsia" w:ascii="Times New Roman" w:hAnsi="Times New Roman" w:eastAsia="仿宋_GB2312"/>
                <w:color w:val="auto"/>
                <w:sz w:val="24"/>
                <w:szCs w:val="24"/>
                <w:highlight w:val="none"/>
              </w:rPr>
              <w:t>，</w:t>
            </w:r>
            <w:r>
              <w:rPr>
                <w:rFonts w:hint="eastAsia" w:ascii="Times New Roman" w:hAnsi="Times New Roman" w:eastAsia="仿宋_GB2312"/>
                <w:color w:val="auto"/>
                <w:sz w:val="24"/>
                <w:szCs w:val="24"/>
                <w:highlight w:val="none"/>
                <w:lang w:eastAsia="zh-CN"/>
              </w:rPr>
              <w:t>后续在响应文件解密阶段，须于</w:t>
            </w:r>
            <w:r>
              <w:rPr>
                <w:rFonts w:hint="eastAsia" w:ascii="Times New Roman" w:hAnsi="Times New Roman" w:eastAsia="仿宋_GB2312"/>
                <w:color w:val="auto"/>
                <w:sz w:val="24"/>
                <w:szCs w:val="24"/>
                <w:highlight w:val="none"/>
                <w:lang w:val="en-US" w:eastAsia="zh-CN"/>
              </w:rPr>
              <w:t>1小时内，</w:t>
            </w:r>
            <w:r>
              <w:rPr>
                <w:rFonts w:hint="eastAsia" w:ascii="Times New Roman" w:hAnsi="Times New Roman" w:eastAsia="仿宋_GB2312"/>
                <w:color w:val="auto"/>
                <w:sz w:val="24"/>
                <w:szCs w:val="24"/>
                <w:highlight w:val="none"/>
              </w:rPr>
              <w:t>使用制作</w:t>
            </w:r>
            <w:r>
              <w:rPr>
                <w:rFonts w:hint="eastAsia" w:ascii="Times New Roman" w:hAnsi="Times New Roman" w:eastAsia="仿宋_GB2312"/>
                <w:color w:val="auto"/>
                <w:sz w:val="24"/>
                <w:szCs w:val="24"/>
                <w:highlight w:val="none"/>
                <w:lang w:eastAsia="zh-CN"/>
              </w:rPr>
              <w:t>响应</w:t>
            </w:r>
            <w:r>
              <w:rPr>
                <w:rFonts w:hint="eastAsia" w:ascii="Times New Roman" w:hAnsi="Times New Roman" w:eastAsia="仿宋_GB2312"/>
                <w:color w:val="auto"/>
                <w:sz w:val="24"/>
                <w:szCs w:val="24"/>
                <w:highlight w:val="none"/>
              </w:rPr>
              <w:t>文件时的加密锁（CA锁），对上传的</w:t>
            </w:r>
            <w:r>
              <w:rPr>
                <w:rFonts w:hint="eastAsia" w:ascii="Times New Roman" w:hAnsi="Times New Roman" w:eastAsia="仿宋_GB2312"/>
                <w:color w:val="auto"/>
                <w:sz w:val="24"/>
                <w:szCs w:val="24"/>
                <w:highlight w:val="none"/>
                <w:lang w:eastAsia="zh-CN"/>
              </w:rPr>
              <w:t>响应</w:t>
            </w:r>
            <w:r>
              <w:rPr>
                <w:rFonts w:hint="eastAsia" w:ascii="Times New Roman" w:hAnsi="Times New Roman" w:eastAsia="仿宋_GB2312"/>
                <w:color w:val="auto"/>
                <w:sz w:val="24"/>
                <w:szCs w:val="24"/>
                <w:highlight w:val="none"/>
              </w:rPr>
              <w:t>文件进行解密，因供应商原因</w:t>
            </w:r>
            <w:r>
              <w:rPr>
                <w:rFonts w:hint="eastAsia" w:ascii="Times New Roman" w:hAnsi="Times New Roman" w:eastAsia="仿宋_GB2312"/>
                <w:color w:val="auto"/>
                <w:sz w:val="24"/>
                <w:szCs w:val="24"/>
                <w:highlight w:val="none"/>
                <w:lang w:eastAsia="zh-CN"/>
              </w:rPr>
              <w:t>导致响应</w:t>
            </w:r>
            <w:r>
              <w:rPr>
                <w:rFonts w:hint="eastAsia" w:ascii="Times New Roman" w:hAnsi="Times New Roman" w:eastAsia="仿宋_GB2312"/>
                <w:color w:val="auto"/>
                <w:sz w:val="24"/>
                <w:szCs w:val="24"/>
                <w:highlight w:val="none"/>
              </w:rPr>
              <w:t>文件无法解密或无法打开的，按无效</w:t>
            </w:r>
            <w:r>
              <w:rPr>
                <w:rFonts w:hint="eastAsia" w:ascii="Times New Roman" w:hAnsi="Times New Roman" w:eastAsia="仿宋_GB2312"/>
                <w:color w:val="auto"/>
                <w:sz w:val="24"/>
                <w:szCs w:val="24"/>
                <w:highlight w:val="none"/>
                <w:lang w:eastAsia="zh-CN"/>
              </w:rPr>
              <w:t>响应文件</w:t>
            </w:r>
            <w:r>
              <w:rPr>
                <w:rFonts w:hint="eastAsia" w:ascii="Times New Roman" w:hAnsi="Times New Roman" w:eastAsia="仿宋_GB2312"/>
                <w:color w:val="auto"/>
                <w:sz w:val="24"/>
                <w:szCs w:val="24"/>
                <w:highlight w:val="none"/>
              </w:rPr>
              <w:t>处理。</w:t>
            </w:r>
            <w:r>
              <w:rPr>
                <w:rFonts w:hint="eastAsia" w:ascii="Times New Roman" w:hAnsi="Times New Roman" w:eastAsia="仿宋_GB2312"/>
                <w:color w:val="auto"/>
                <w:sz w:val="24"/>
                <w:szCs w:val="24"/>
                <w:highlight w:val="none"/>
                <w:lang w:eastAsia="zh-CN"/>
              </w:rPr>
              <w:t>（后续在评审过程中，须使用</w:t>
            </w:r>
            <w:r>
              <w:rPr>
                <w:rFonts w:hint="eastAsia" w:ascii="Times New Roman" w:hAnsi="Times New Roman" w:eastAsia="仿宋_GB2312"/>
                <w:color w:val="auto"/>
                <w:sz w:val="24"/>
                <w:szCs w:val="24"/>
                <w:highlight w:val="none"/>
                <w:lang w:val="en-US" w:eastAsia="zh-CN"/>
              </w:rPr>
              <w:t>CA锁进行远程二次报价，请在下载磋商文件处进行报价</w:t>
            </w:r>
            <w:r>
              <w:rPr>
                <w:rFonts w:hint="eastAsia" w:ascii="Times New Roman" w:hAnsi="Times New Roman" w:eastAsia="仿宋_GB2312"/>
                <w:color w:val="auto"/>
                <w:sz w:val="24"/>
                <w:szCs w:val="24"/>
                <w:highlight w:val="none"/>
                <w:lang w:eastAsia="zh-CN"/>
              </w:rPr>
              <w:t>）。</w:t>
            </w:r>
          </w:p>
        </w:tc>
      </w:tr>
      <w:tr w14:paraId="74523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730" w:type="dxa"/>
            <w:vAlign w:val="center"/>
          </w:tcPr>
          <w:p w14:paraId="0A2BFCCC">
            <w:pPr>
              <w:pStyle w:val="28"/>
              <w:adjustRightInd w:val="0"/>
              <w:snapToGrid w:val="0"/>
              <w:spacing w:line="240" w:lineRule="auto"/>
              <w:jc w:val="center"/>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17.3</w:t>
            </w:r>
          </w:p>
        </w:tc>
        <w:tc>
          <w:tcPr>
            <w:tcW w:w="7556" w:type="dxa"/>
            <w:vAlign w:val="center"/>
          </w:tcPr>
          <w:p w14:paraId="55278F92">
            <w:pPr>
              <w:pStyle w:val="28"/>
              <w:adjustRightInd w:val="0"/>
              <w:snapToGrid w:val="0"/>
              <w:ind w:firstLine="120" w:firstLineChars="50"/>
              <w:jc w:val="left"/>
              <w:rPr>
                <w:rFonts w:ascii="Times New Roman" w:hAnsi="Times New Roman" w:eastAsia="仿宋_GB2312"/>
                <w:color w:val="auto"/>
                <w:sz w:val="24"/>
                <w:szCs w:val="24"/>
                <w:highlight w:val="none"/>
              </w:rPr>
            </w:pPr>
            <w:r>
              <w:rPr>
                <w:rFonts w:hint="eastAsia" w:ascii="Times New Roman" w:hAnsi="仿宋_GB2312" w:eastAsia="仿宋_GB2312" w:cs="仿宋_GB2312"/>
                <w:color w:val="auto"/>
                <w:sz w:val="24"/>
                <w:highlight w:val="none"/>
              </w:rPr>
              <w:t>■</w:t>
            </w:r>
            <w:r>
              <w:rPr>
                <w:rFonts w:ascii="Times New Roman" w:hAnsi="Times New Roman" w:eastAsia="仿宋_GB2312"/>
                <w:color w:val="auto"/>
                <w:sz w:val="24"/>
                <w:szCs w:val="24"/>
                <w:highlight w:val="none"/>
              </w:rPr>
              <w:t xml:space="preserve"> 本项目不要求提交样品。</w:t>
            </w:r>
          </w:p>
        </w:tc>
      </w:tr>
      <w:tr w14:paraId="64745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730" w:type="dxa"/>
            <w:vAlign w:val="center"/>
          </w:tcPr>
          <w:p w14:paraId="5A883734">
            <w:pPr>
              <w:pStyle w:val="28"/>
              <w:adjustRightInd w:val="0"/>
              <w:snapToGrid w:val="0"/>
              <w:spacing w:line="240" w:lineRule="auto"/>
              <w:jc w:val="center"/>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18.1</w:t>
            </w:r>
          </w:p>
        </w:tc>
        <w:tc>
          <w:tcPr>
            <w:tcW w:w="7556" w:type="dxa"/>
            <w:vAlign w:val="center"/>
          </w:tcPr>
          <w:p w14:paraId="06BB0041">
            <w:pPr>
              <w:tabs>
                <w:tab w:val="left" w:pos="588"/>
              </w:tabs>
              <w:snapToGrid w:val="0"/>
              <w:spacing w:line="360" w:lineRule="auto"/>
              <w:jc w:val="left"/>
              <w:rPr>
                <w:rFonts w:ascii="Times New Roman" w:eastAsia="仿宋_GB2312"/>
                <w:color w:val="auto"/>
                <w:kern w:val="24"/>
                <w:sz w:val="24"/>
                <w:szCs w:val="21"/>
                <w:highlight w:val="none"/>
              </w:rPr>
            </w:pPr>
            <w:r>
              <w:rPr>
                <w:rFonts w:ascii="Times New Roman" w:eastAsia="仿宋_GB2312"/>
                <w:color w:val="auto"/>
                <w:kern w:val="24"/>
                <w:sz w:val="24"/>
                <w:szCs w:val="21"/>
                <w:highlight w:val="none"/>
              </w:rPr>
              <w:t>响应文件</w:t>
            </w:r>
            <w:r>
              <w:rPr>
                <w:rFonts w:hint="eastAsia" w:ascii="Times New Roman" w:eastAsia="仿宋_GB2312"/>
                <w:color w:val="auto"/>
                <w:kern w:val="24"/>
                <w:sz w:val="24"/>
                <w:szCs w:val="21"/>
                <w:highlight w:val="none"/>
                <w:lang w:eastAsia="zh-CN"/>
              </w:rPr>
              <w:t>上传</w:t>
            </w:r>
            <w:r>
              <w:rPr>
                <w:rFonts w:ascii="Times New Roman" w:eastAsia="仿宋_GB2312"/>
                <w:color w:val="auto"/>
                <w:kern w:val="24"/>
                <w:sz w:val="24"/>
                <w:szCs w:val="21"/>
                <w:highlight w:val="none"/>
              </w:rPr>
              <w:t>截止时间：20</w:t>
            </w:r>
            <w:r>
              <w:rPr>
                <w:rFonts w:hint="eastAsia" w:ascii="Times New Roman" w:eastAsia="仿宋_GB2312"/>
                <w:color w:val="auto"/>
                <w:kern w:val="24"/>
                <w:sz w:val="24"/>
                <w:szCs w:val="21"/>
                <w:highlight w:val="none"/>
              </w:rPr>
              <w:t>2</w:t>
            </w:r>
            <w:r>
              <w:rPr>
                <w:rFonts w:hint="eastAsia" w:eastAsia="仿宋_GB2312"/>
                <w:color w:val="auto"/>
                <w:kern w:val="24"/>
                <w:sz w:val="24"/>
                <w:szCs w:val="21"/>
                <w:highlight w:val="none"/>
                <w:lang w:val="en-US" w:eastAsia="zh-CN"/>
              </w:rPr>
              <w:t>6</w:t>
            </w:r>
            <w:r>
              <w:rPr>
                <w:rFonts w:ascii="Times New Roman" w:eastAsia="仿宋_GB2312"/>
                <w:color w:val="auto"/>
                <w:kern w:val="24"/>
                <w:sz w:val="24"/>
                <w:szCs w:val="21"/>
                <w:highlight w:val="none"/>
              </w:rPr>
              <w:t>年</w:t>
            </w:r>
            <w:r>
              <w:rPr>
                <w:rFonts w:hint="eastAsia" w:eastAsia="仿宋_GB2312"/>
                <w:color w:val="auto"/>
                <w:kern w:val="24"/>
                <w:sz w:val="24"/>
                <w:szCs w:val="21"/>
                <w:highlight w:val="none"/>
                <w:lang w:val="en-US" w:eastAsia="zh-CN"/>
              </w:rPr>
              <w:t>07</w:t>
            </w:r>
            <w:r>
              <w:rPr>
                <w:rFonts w:hint="eastAsia" w:ascii="Times New Roman" w:eastAsia="仿宋_GB2312"/>
                <w:color w:val="auto"/>
                <w:kern w:val="24"/>
                <w:sz w:val="24"/>
                <w:szCs w:val="21"/>
                <w:highlight w:val="none"/>
                <w:lang w:val="en-US" w:eastAsia="zh-CN"/>
              </w:rPr>
              <w:t>月</w:t>
            </w:r>
            <w:r>
              <w:rPr>
                <w:rFonts w:hint="eastAsia" w:eastAsia="仿宋_GB2312"/>
                <w:color w:val="auto"/>
                <w:kern w:val="24"/>
                <w:sz w:val="24"/>
                <w:szCs w:val="21"/>
                <w:highlight w:val="none"/>
                <w:lang w:val="en-US" w:eastAsia="zh-CN"/>
              </w:rPr>
              <w:t>06</w:t>
            </w:r>
            <w:r>
              <w:rPr>
                <w:rFonts w:hint="eastAsia" w:ascii="Times New Roman" w:eastAsia="仿宋_GB2312"/>
                <w:color w:val="auto"/>
                <w:kern w:val="24"/>
                <w:sz w:val="24"/>
                <w:szCs w:val="21"/>
                <w:highlight w:val="none"/>
                <w:lang w:val="en-US" w:eastAsia="zh-CN"/>
              </w:rPr>
              <w:t>日</w:t>
            </w:r>
            <w:r>
              <w:rPr>
                <w:rFonts w:hint="eastAsia" w:ascii="Times New Roman" w:eastAsia="仿宋_GB2312"/>
                <w:color w:val="auto"/>
                <w:kern w:val="24"/>
                <w:sz w:val="24"/>
                <w:szCs w:val="21"/>
                <w:highlight w:val="none"/>
              </w:rPr>
              <w:t>09</w:t>
            </w:r>
            <w:r>
              <w:rPr>
                <w:rFonts w:hint="eastAsia" w:ascii="Times New Roman" w:eastAsia="仿宋_GB2312"/>
                <w:color w:val="auto"/>
                <w:kern w:val="24"/>
                <w:sz w:val="24"/>
                <w:szCs w:val="21"/>
                <w:highlight w:val="none"/>
                <w:lang w:val="en-US" w:eastAsia="zh-CN"/>
              </w:rPr>
              <w:t>:</w:t>
            </w:r>
            <w:r>
              <w:rPr>
                <w:rFonts w:hint="eastAsia" w:ascii="Times New Roman" w:eastAsia="仿宋_GB2312"/>
                <w:color w:val="auto"/>
                <w:kern w:val="24"/>
                <w:sz w:val="24"/>
                <w:szCs w:val="21"/>
                <w:highlight w:val="none"/>
              </w:rPr>
              <w:t>3</w:t>
            </w:r>
            <w:r>
              <w:rPr>
                <w:rFonts w:ascii="Times New Roman" w:eastAsia="仿宋_GB2312"/>
                <w:color w:val="auto"/>
                <w:kern w:val="24"/>
                <w:sz w:val="24"/>
                <w:szCs w:val="21"/>
                <w:highlight w:val="none"/>
              </w:rPr>
              <w:t>0（北京时间）。</w:t>
            </w:r>
          </w:p>
          <w:p w14:paraId="02639E82">
            <w:pPr>
              <w:tabs>
                <w:tab w:val="left" w:pos="588"/>
              </w:tabs>
              <w:snapToGrid w:val="0"/>
              <w:spacing w:line="360" w:lineRule="auto"/>
              <w:jc w:val="left"/>
              <w:rPr>
                <w:rFonts w:ascii="Times New Roman" w:eastAsia="仿宋_GB2312"/>
                <w:color w:val="auto"/>
                <w:sz w:val="24"/>
                <w:highlight w:val="none"/>
              </w:rPr>
            </w:pPr>
            <w:r>
              <w:rPr>
                <w:rFonts w:ascii="Times New Roman" w:eastAsia="仿宋_GB2312"/>
                <w:color w:val="auto"/>
                <w:kern w:val="24"/>
                <w:sz w:val="24"/>
                <w:szCs w:val="21"/>
                <w:highlight w:val="none"/>
              </w:rPr>
              <w:t>响应文件递交地点：</w:t>
            </w:r>
            <w:r>
              <w:rPr>
                <w:rFonts w:hint="eastAsia" w:ascii="Times New Roman" w:eastAsia="仿宋_GB2312"/>
                <w:color w:val="auto"/>
                <w:kern w:val="24"/>
                <w:sz w:val="24"/>
                <w:szCs w:val="21"/>
                <w:highlight w:val="none"/>
              </w:rPr>
              <w:t>全国公共资源交易平台（陕西省·西咸新区）（http://ggzyjy.xixianxinqu.gov.cn/）</w:t>
            </w:r>
          </w:p>
        </w:tc>
      </w:tr>
      <w:tr w14:paraId="596DE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730" w:type="dxa"/>
            <w:vAlign w:val="center"/>
          </w:tcPr>
          <w:p w14:paraId="5F92C66E">
            <w:pPr>
              <w:pStyle w:val="28"/>
              <w:adjustRightInd w:val="0"/>
              <w:snapToGrid w:val="0"/>
              <w:spacing w:line="240" w:lineRule="auto"/>
              <w:jc w:val="center"/>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21.1</w:t>
            </w:r>
          </w:p>
        </w:tc>
        <w:tc>
          <w:tcPr>
            <w:tcW w:w="7556" w:type="dxa"/>
            <w:vAlign w:val="center"/>
          </w:tcPr>
          <w:p w14:paraId="6DEDA16B">
            <w:pPr>
              <w:snapToGrid w:val="0"/>
              <w:spacing w:line="360" w:lineRule="exact"/>
              <w:jc w:val="left"/>
              <w:rPr>
                <w:rFonts w:ascii="Times New Roman" w:eastAsia="仿宋_GB2312"/>
                <w:color w:val="auto"/>
                <w:sz w:val="24"/>
                <w:highlight w:val="none"/>
              </w:rPr>
            </w:pPr>
            <w:r>
              <w:rPr>
                <w:rFonts w:ascii="Times New Roman" w:eastAsia="仿宋_GB2312"/>
                <w:color w:val="auto"/>
                <w:sz w:val="24"/>
                <w:highlight w:val="none"/>
              </w:rPr>
              <w:t>磋商小组由</w:t>
            </w:r>
            <w:r>
              <w:rPr>
                <w:rFonts w:ascii="Times New Roman" w:eastAsia="仿宋_GB2312"/>
                <w:bCs/>
                <w:color w:val="auto"/>
                <w:sz w:val="24"/>
                <w:highlight w:val="none"/>
                <w:u w:val="single"/>
              </w:rPr>
              <w:t xml:space="preserve"> </w:t>
            </w:r>
            <w:r>
              <w:rPr>
                <w:rFonts w:hint="eastAsia" w:ascii="Times New Roman" w:eastAsia="仿宋_GB2312"/>
                <w:bCs/>
                <w:color w:val="auto"/>
                <w:sz w:val="24"/>
                <w:highlight w:val="none"/>
                <w:u w:val="single"/>
              </w:rPr>
              <w:t xml:space="preserve"> </w:t>
            </w:r>
            <w:r>
              <w:rPr>
                <w:rFonts w:ascii="Times New Roman" w:eastAsia="仿宋_GB2312"/>
                <w:bCs/>
                <w:color w:val="auto"/>
                <w:sz w:val="24"/>
                <w:highlight w:val="none"/>
                <w:u w:val="single"/>
              </w:rPr>
              <w:t>3</w:t>
            </w:r>
            <w:r>
              <w:rPr>
                <w:rFonts w:hint="eastAsia" w:ascii="Times New Roman" w:eastAsia="仿宋_GB2312"/>
                <w:bCs/>
                <w:color w:val="auto"/>
                <w:sz w:val="24"/>
                <w:highlight w:val="none"/>
                <w:u w:val="single"/>
              </w:rPr>
              <w:t xml:space="preserve">  </w:t>
            </w:r>
            <w:r>
              <w:rPr>
                <w:rFonts w:ascii="Times New Roman" w:eastAsia="仿宋_GB2312"/>
                <w:color w:val="auto"/>
                <w:sz w:val="24"/>
                <w:highlight w:val="none"/>
              </w:rPr>
              <w:t>人组成，其中评审专家</w:t>
            </w:r>
            <w:r>
              <w:rPr>
                <w:rFonts w:ascii="Times New Roman" w:eastAsia="仿宋_GB2312"/>
                <w:color w:val="auto"/>
                <w:sz w:val="24"/>
                <w:highlight w:val="none"/>
                <w:u w:val="single"/>
              </w:rPr>
              <w:t xml:space="preserve">  </w:t>
            </w:r>
            <w:r>
              <w:rPr>
                <w:rFonts w:hint="eastAsia" w:ascii="Times New Roman" w:eastAsia="仿宋_GB2312"/>
                <w:color w:val="auto"/>
                <w:sz w:val="24"/>
                <w:highlight w:val="none"/>
                <w:u w:val="single"/>
              </w:rPr>
              <w:t>2</w:t>
            </w:r>
            <w:r>
              <w:rPr>
                <w:rFonts w:ascii="Times New Roman" w:eastAsia="仿宋_GB2312"/>
                <w:color w:val="auto"/>
                <w:sz w:val="24"/>
                <w:highlight w:val="none"/>
                <w:u w:val="single"/>
              </w:rPr>
              <w:t xml:space="preserve">  </w:t>
            </w:r>
            <w:r>
              <w:rPr>
                <w:rFonts w:ascii="Times New Roman" w:eastAsia="仿宋_GB2312"/>
                <w:color w:val="auto"/>
                <w:sz w:val="24"/>
                <w:highlight w:val="none"/>
              </w:rPr>
              <w:t>人，采购人代表</w:t>
            </w:r>
            <w:r>
              <w:rPr>
                <w:rFonts w:ascii="Times New Roman" w:eastAsia="仿宋_GB2312"/>
                <w:color w:val="auto"/>
                <w:sz w:val="24"/>
                <w:highlight w:val="none"/>
                <w:u w:val="single"/>
              </w:rPr>
              <w:t xml:space="preserve"> </w:t>
            </w:r>
            <w:r>
              <w:rPr>
                <w:rFonts w:hint="eastAsia" w:ascii="Times New Roman" w:eastAsia="仿宋_GB2312"/>
                <w:color w:val="auto"/>
                <w:sz w:val="24"/>
                <w:highlight w:val="none"/>
                <w:u w:val="single"/>
              </w:rPr>
              <w:t>1</w:t>
            </w:r>
            <w:r>
              <w:rPr>
                <w:rFonts w:ascii="Times New Roman" w:eastAsia="仿宋_GB2312"/>
                <w:color w:val="auto"/>
                <w:sz w:val="24"/>
                <w:highlight w:val="none"/>
                <w:u w:val="single"/>
              </w:rPr>
              <w:t xml:space="preserve"> </w:t>
            </w:r>
            <w:r>
              <w:rPr>
                <w:rFonts w:ascii="Times New Roman" w:eastAsia="仿宋_GB2312"/>
                <w:color w:val="auto"/>
                <w:sz w:val="24"/>
                <w:highlight w:val="none"/>
              </w:rPr>
              <w:t>人。</w:t>
            </w:r>
          </w:p>
        </w:tc>
      </w:tr>
      <w:tr w14:paraId="2FD04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730" w:type="dxa"/>
            <w:shd w:val="clear" w:color="auto" w:fill="auto"/>
            <w:vAlign w:val="center"/>
          </w:tcPr>
          <w:p w14:paraId="174645BC">
            <w:pPr>
              <w:pStyle w:val="28"/>
              <w:adjustRightInd w:val="0"/>
              <w:snapToGrid w:val="0"/>
              <w:spacing w:line="240" w:lineRule="auto"/>
              <w:jc w:val="center"/>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rPr>
              <w:t>23.2.2</w:t>
            </w:r>
          </w:p>
        </w:tc>
        <w:tc>
          <w:tcPr>
            <w:tcW w:w="7556" w:type="dxa"/>
            <w:shd w:val="clear" w:color="auto" w:fill="auto"/>
            <w:vAlign w:val="center"/>
          </w:tcPr>
          <w:p w14:paraId="13CDA934">
            <w:pPr>
              <w:spacing w:line="360" w:lineRule="exact"/>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（12）本项目涉及的政府强制采购产品：</w:t>
            </w:r>
            <w:r>
              <w:rPr>
                <w:rFonts w:hint="eastAsia" w:ascii="仿宋_GB2312" w:hAnsi="仿宋_GB2312" w:eastAsia="仿宋_GB2312" w:cs="仿宋_GB2312"/>
                <w:color w:val="auto"/>
                <w:kern w:val="2"/>
                <w:sz w:val="24"/>
                <w:szCs w:val="24"/>
                <w:highlight w:val="none"/>
                <w:u w:val="single"/>
                <w:lang w:val="en-US" w:eastAsia="zh-CN" w:bidi="ar-SA"/>
              </w:rPr>
              <w:t xml:space="preserve"> 无 </w:t>
            </w:r>
            <w:r>
              <w:rPr>
                <w:rFonts w:hint="eastAsia" w:ascii="仿宋_GB2312" w:hAnsi="仿宋_GB2312" w:eastAsia="仿宋_GB2312" w:cs="仿宋_GB2312"/>
                <w:color w:val="auto"/>
                <w:kern w:val="2"/>
                <w:sz w:val="24"/>
                <w:szCs w:val="24"/>
                <w:highlight w:val="none"/>
                <w:lang w:val="en-US" w:eastAsia="zh-CN" w:bidi="ar-SA"/>
              </w:rPr>
              <w:t>（根据项目情况确定是否设置）</w:t>
            </w:r>
          </w:p>
          <w:p w14:paraId="76165DC0">
            <w:pPr>
              <w:spacing w:line="360" w:lineRule="exact"/>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（13）本项目涉及的网络关键设备和网络安全专用产品：</w:t>
            </w:r>
            <w:r>
              <w:rPr>
                <w:rFonts w:hint="eastAsia" w:ascii="仿宋_GB2312" w:hAnsi="仿宋_GB2312" w:eastAsia="仿宋_GB2312" w:cs="仿宋_GB2312"/>
                <w:color w:val="auto"/>
                <w:kern w:val="2"/>
                <w:sz w:val="24"/>
                <w:szCs w:val="24"/>
                <w:highlight w:val="none"/>
                <w:u w:val="single"/>
                <w:lang w:val="en-US" w:eastAsia="zh-CN" w:bidi="ar-SA"/>
              </w:rPr>
              <w:t xml:space="preserve"> 无 </w:t>
            </w:r>
            <w:r>
              <w:rPr>
                <w:rFonts w:hint="eastAsia" w:ascii="仿宋_GB2312" w:hAnsi="仿宋_GB2312" w:eastAsia="仿宋_GB2312" w:cs="仿宋_GB2312"/>
                <w:color w:val="auto"/>
                <w:kern w:val="2"/>
                <w:sz w:val="24"/>
                <w:szCs w:val="24"/>
                <w:highlight w:val="none"/>
                <w:lang w:val="en-US" w:eastAsia="zh-CN" w:bidi="ar-SA"/>
              </w:rPr>
              <w:t>（根据项目情况确定是否设置）</w:t>
            </w:r>
          </w:p>
          <w:p w14:paraId="33F753B5">
            <w:pPr>
              <w:spacing w:line="360" w:lineRule="exact"/>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（14）支持本国产品：</w:t>
            </w:r>
          </w:p>
          <w:p w14:paraId="4F232D63">
            <w:pPr>
              <w:spacing w:line="360" w:lineRule="exact"/>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☑不适用</w:t>
            </w:r>
          </w:p>
        </w:tc>
      </w:tr>
      <w:tr w14:paraId="3FFA7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730" w:type="dxa"/>
            <w:vAlign w:val="center"/>
          </w:tcPr>
          <w:p w14:paraId="1EFC2E1A">
            <w:pPr>
              <w:snapToGrid w:val="0"/>
              <w:jc w:val="center"/>
              <w:rPr>
                <w:rFonts w:ascii="Times New Roman" w:eastAsia="仿宋_GB2312"/>
                <w:color w:val="auto"/>
                <w:sz w:val="24"/>
                <w:highlight w:val="none"/>
              </w:rPr>
            </w:pPr>
            <w:r>
              <w:rPr>
                <w:rFonts w:ascii="Times New Roman" w:eastAsia="仿宋_GB2312"/>
                <w:color w:val="auto"/>
                <w:sz w:val="24"/>
                <w:highlight w:val="none"/>
              </w:rPr>
              <w:t>28.1</w:t>
            </w:r>
          </w:p>
        </w:tc>
        <w:tc>
          <w:tcPr>
            <w:tcW w:w="7556" w:type="dxa"/>
            <w:vAlign w:val="center"/>
          </w:tcPr>
          <w:p w14:paraId="5317A170">
            <w:pPr>
              <w:snapToGrid w:val="0"/>
              <w:jc w:val="left"/>
              <w:rPr>
                <w:rFonts w:ascii="Times New Roman" w:eastAsia="仿宋_GB2312"/>
                <w:color w:val="auto"/>
                <w:sz w:val="24"/>
                <w:highlight w:val="none"/>
              </w:rPr>
            </w:pPr>
            <w:r>
              <w:rPr>
                <w:rFonts w:hint="eastAsia" w:ascii="Times New Roman" w:hAnsi="仿宋_GB2312" w:eastAsia="仿宋_GB2312" w:cs="仿宋_GB2312"/>
                <w:color w:val="auto"/>
                <w:sz w:val="24"/>
                <w:highlight w:val="none"/>
              </w:rPr>
              <w:t>■</w:t>
            </w:r>
            <w:r>
              <w:rPr>
                <w:rFonts w:ascii="Times New Roman" w:eastAsia="仿宋_GB2312"/>
                <w:color w:val="auto"/>
                <w:sz w:val="24"/>
                <w:highlight w:val="none"/>
              </w:rPr>
              <w:t>本项目不要求履约保证金。</w:t>
            </w:r>
          </w:p>
        </w:tc>
      </w:tr>
      <w:tr w14:paraId="75DBF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730" w:type="dxa"/>
            <w:vAlign w:val="center"/>
          </w:tcPr>
          <w:p w14:paraId="7E7A2F65">
            <w:pPr>
              <w:snapToGrid w:val="0"/>
              <w:jc w:val="center"/>
              <w:rPr>
                <w:rFonts w:hint="default" w:ascii="Times New Roman" w:eastAsia="仿宋_GB2312"/>
                <w:color w:val="auto"/>
                <w:sz w:val="24"/>
                <w:highlight w:val="none"/>
                <w:lang w:val="en-US" w:eastAsia="zh-CN"/>
              </w:rPr>
            </w:pPr>
            <w:bookmarkStart w:id="70" w:name="_Toc177995474"/>
            <w:bookmarkStart w:id="71" w:name="_Toc256342144"/>
            <w:bookmarkStart w:id="72" w:name="_Toc177189236"/>
            <w:bookmarkStart w:id="73" w:name="_Toc53722841"/>
            <w:bookmarkStart w:id="74" w:name="_Toc230013633"/>
            <w:bookmarkStart w:id="75" w:name="_Toc249515391"/>
            <w:bookmarkStart w:id="76" w:name="_Toc249525160"/>
            <w:bookmarkStart w:id="77" w:name="_Toc184043013"/>
            <w:bookmarkStart w:id="78" w:name="_Toc232395213"/>
            <w:bookmarkStart w:id="79" w:name="_Toc176882543"/>
            <w:bookmarkStart w:id="80" w:name="_Toc249515279"/>
            <w:bookmarkStart w:id="81" w:name="_Toc230099798"/>
            <w:bookmarkStart w:id="82" w:name="_Toc70687140"/>
            <w:bookmarkStart w:id="83" w:name="_Toc177817335"/>
            <w:bookmarkStart w:id="84" w:name="_Toc230583542"/>
            <w:bookmarkStart w:id="85" w:name="_Toc232176273"/>
            <w:r>
              <w:rPr>
                <w:rFonts w:hint="eastAsia" w:eastAsia="仿宋_GB2312"/>
                <w:color w:val="auto"/>
                <w:sz w:val="24"/>
                <w:highlight w:val="none"/>
                <w:lang w:val="en-US" w:eastAsia="zh-CN"/>
              </w:rPr>
              <w:t>29</w:t>
            </w:r>
          </w:p>
        </w:tc>
        <w:tc>
          <w:tcPr>
            <w:tcW w:w="7556" w:type="dxa"/>
            <w:vAlign w:val="center"/>
          </w:tcPr>
          <w:p w14:paraId="5ABBD936">
            <w:pPr>
              <w:keepNext w:val="0"/>
              <w:keepLines w:val="0"/>
              <w:pageBreakBefore w:val="0"/>
              <w:widowControl w:val="0"/>
              <w:kinsoku/>
              <w:wordWrap/>
              <w:overflowPunct/>
              <w:topLinePunct w:val="0"/>
              <w:bidi w:val="0"/>
              <w:spacing w:line="360" w:lineRule="exact"/>
              <w:textAlignment w:val="auto"/>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lang w:val="en-US" w:eastAsia="zh-CN"/>
              </w:rPr>
              <w:t>成交供应商</w:t>
            </w:r>
            <w:r>
              <w:rPr>
                <w:rFonts w:hint="default" w:ascii="Times New Roman" w:hAnsi="Times New Roman" w:eastAsia="仿宋_GB2312" w:cs="Times New Roman"/>
                <w:sz w:val="24"/>
                <w:highlight w:val="none"/>
              </w:rPr>
              <w:t>在领取</w:t>
            </w:r>
            <w:r>
              <w:rPr>
                <w:rFonts w:hint="default" w:ascii="Times New Roman" w:hAnsi="Times New Roman" w:eastAsia="仿宋_GB2312" w:cs="Times New Roman"/>
                <w:sz w:val="24"/>
                <w:highlight w:val="none"/>
                <w:lang w:val="en-US" w:eastAsia="zh-CN"/>
              </w:rPr>
              <w:t>成交</w:t>
            </w:r>
            <w:r>
              <w:rPr>
                <w:rFonts w:hint="default" w:ascii="Times New Roman" w:hAnsi="Times New Roman" w:eastAsia="仿宋_GB2312" w:cs="Times New Roman"/>
                <w:sz w:val="24"/>
                <w:highlight w:val="none"/>
              </w:rPr>
              <w:t>通知书前，须向采购代理机构支付代理服务费，代理服务费由采购人与采购代理机构约定：</w:t>
            </w:r>
          </w:p>
          <w:p w14:paraId="40C4050B">
            <w:pPr>
              <w:keepNext w:val="0"/>
              <w:keepLines w:val="0"/>
              <w:pageBreakBefore w:val="0"/>
              <w:widowControl w:val="0"/>
              <w:kinsoku/>
              <w:wordWrap/>
              <w:overflowPunct/>
              <w:topLinePunct w:val="0"/>
              <w:bidi w:val="0"/>
              <w:spacing w:line="360" w:lineRule="exact"/>
              <w:textAlignment w:val="auto"/>
              <w:rPr>
                <w:rFonts w:hint="eastAsia" w:eastAsia="仿宋_GB2312" w:cs="Times New Roman"/>
                <w:sz w:val="24"/>
                <w:highlight w:val="none"/>
                <w:lang w:eastAsia="zh-CN"/>
              </w:rPr>
            </w:pPr>
            <w:r>
              <w:rPr>
                <w:rFonts w:hint="eastAsia" w:eastAsia="仿宋_GB2312" w:cs="Times New Roman"/>
                <w:sz w:val="24"/>
                <w:highlight w:val="none"/>
                <w:lang w:val="en-US" w:eastAsia="zh-CN"/>
              </w:rPr>
              <w:t>参照</w:t>
            </w:r>
            <w:r>
              <w:rPr>
                <w:rFonts w:hint="eastAsia" w:eastAsia="仿宋_GB2312" w:cs="Times New Roman"/>
                <w:sz w:val="24"/>
                <w:highlight w:val="none"/>
                <w:lang w:eastAsia="zh-CN"/>
              </w:rPr>
              <w:t>《国家计委关于印发&lt;招标代理服务收费管理暂行办法&gt;的通知》（计价格〔2002〕1980号）</w:t>
            </w:r>
            <w:r>
              <w:rPr>
                <w:rFonts w:hint="eastAsia" w:eastAsia="仿宋_GB2312" w:cs="Times New Roman"/>
                <w:sz w:val="24"/>
                <w:highlight w:val="none"/>
                <w:lang w:val="en-US" w:eastAsia="zh-CN"/>
              </w:rPr>
              <w:t>的</w:t>
            </w:r>
            <w:r>
              <w:rPr>
                <w:rFonts w:hint="eastAsia" w:eastAsia="仿宋_GB2312" w:cs="Times New Roman"/>
                <w:sz w:val="24"/>
                <w:highlight w:val="none"/>
                <w:lang w:eastAsia="zh-CN"/>
              </w:rPr>
              <w:t>规定</w:t>
            </w:r>
            <w:r>
              <w:rPr>
                <w:rFonts w:hint="eastAsia" w:eastAsia="仿宋_GB2312" w:cs="Times New Roman"/>
                <w:sz w:val="24"/>
                <w:highlight w:val="none"/>
                <w:lang w:val="en-US" w:eastAsia="zh-CN"/>
              </w:rPr>
              <w:t>按项目预算</w:t>
            </w:r>
            <w:r>
              <w:rPr>
                <w:rFonts w:hint="eastAsia" w:eastAsia="仿宋_GB2312" w:cs="Times New Roman"/>
                <w:sz w:val="24"/>
                <w:highlight w:val="none"/>
                <w:lang w:eastAsia="zh-CN"/>
              </w:rPr>
              <w:t>进行收取。</w:t>
            </w:r>
          </w:p>
          <w:p w14:paraId="42134E77">
            <w:pPr>
              <w:keepNext w:val="0"/>
              <w:keepLines w:val="0"/>
              <w:pageBreakBefore w:val="0"/>
              <w:widowControl w:val="0"/>
              <w:kinsoku/>
              <w:wordWrap/>
              <w:overflowPunct/>
              <w:topLinePunct w:val="0"/>
              <w:bidi w:val="0"/>
              <w:spacing w:line="360" w:lineRule="exact"/>
              <w:textAlignment w:val="auto"/>
              <w:rPr>
                <w:rFonts w:hint="eastAsia" w:ascii="Times New Roman" w:hAnsi="Times New Roman" w:eastAsia="仿宋_GB2312" w:cs="Times New Roman"/>
                <w:sz w:val="24"/>
                <w:highlight w:val="none"/>
                <w:lang w:eastAsia="zh-CN"/>
              </w:rPr>
            </w:pPr>
            <w:r>
              <w:rPr>
                <w:rFonts w:hint="default" w:ascii="Times New Roman" w:hAnsi="Times New Roman" w:eastAsia="仿宋_GB2312" w:cs="Times New Roman"/>
                <w:sz w:val="24"/>
                <w:highlight w:val="none"/>
                <w:lang w:val="en-US" w:eastAsia="zh-CN"/>
              </w:rPr>
              <w:t>成交供应商</w:t>
            </w:r>
            <w:r>
              <w:rPr>
                <w:rFonts w:hint="default" w:ascii="Times New Roman" w:hAnsi="Times New Roman" w:eastAsia="仿宋_GB2312" w:cs="Times New Roman"/>
                <w:sz w:val="24"/>
                <w:highlight w:val="none"/>
              </w:rPr>
              <w:t>的招标代理服务费交纳信息</w:t>
            </w:r>
            <w:r>
              <w:rPr>
                <w:rFonts w:hint="eastAsia" w:eastAsia="仿宋_GB2312" w:cs="Times New Roman"/>
                <w:sz w:val="24"/>
                <w:highlight w:val="none"/>
                <w:lang w:eastAsia="zh-CN"/>
              </w:rPr>
              <w:t>：</w:t>
            </w:r>
          </w:p>
          <w:p w14:paraId="2ADF62ED">
            <w:pPr>
              <w:keepNext w:val="0"/>
              <w:keepLines w:val="0"/>
              <w:pageBreakBefore w:val="0"/>
              <w:widowControl w:val="0"/>
              <w:kinsoku/>
              <w:wordWrap/>
              <w:overflowPunct/>
              <w:topLinePunct w:val="0"/>
              <w:bidi w:val="0"/>
              <w:snapToGrid w:val="0"/>
              <w:spacing w:line="360" w:lineRule="exact"/>
              <w:ind w:firstLine="480" w:firstLineChars="200"/>
              <w:textAlignment w:val="auto"/>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银行户名：陕西省采购招标有限责任公司</w:t>
            </w:r>
          </w:p>
          <w:p w14:paraId="361BB8EF">
            <w:pPr>
              <w:keepNext w:val="0"/>
              <w:keepLines w:val="0"/>
              <w:pageBreakBefore w:val="0"/>
              <w:widowControl w:val="0"/>
              <w:kinsoku/>
              <w:wordWrap/>
              <w:overflowPunct/>
              <w:topLinePunct w:val="0"/>
              <w:bidi w:val="0"/>
              <w:snapToGrid w:val="0"/>
              <w:spacing w:line="360" w:lineRule="exact"/>
              <w:ind w:firstLine="480" w:firstLineChars="200"/>
              <w:textAlignment w:val="auto"/>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开户银行：中国光大银行西安友谊路支行</w:t>
            </w:r>
          </w:p>
          <w:p w14:paraId="187676FA">
            <w:pPr>
              <w:keepNext w:val="0"/>
              <w:keepLines w:val="0"/>
              <w:pageBreakBefore w:val="0"/>
              <w:widowControl w:val="0"/>
              <w:kinsoku/>
              <w:wordWrap/>
              <w:overflowPunct/>
              <w:topLinePunct w:val="0"/>
              <w:autoSpaceDE w:val="0"/>
              <w:autoSpaceDN w:val="0"/>
              <w:bidi w:val="0"/>
              <w:adjustRightInd w:val="0"/>
              <w:snapToGrid w:val="0"/>
              <w:spacing w:line="360" w:lineRule="exact"/>
              <w:ind w:firstLine="480" w:firstLineChars="200"/>
              <w:textAlignment w:val="auto"/>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账    号：78560188000095264</w:t>
            </w:r>
          </w:p>
          <w:p w14:paraId="250B57FA">
            <w:pPr>
              <w:keepNext w:val="0"/>
              <w:keepLines w:val="0"/>
              <w:pageBreakBefore w:val="0"/>
              <w:widowControl w:val="0"/>
              <w:kinsoku/>
              <w:wordWrap/>
              <w:overflowPunct/>
              <w:topLinePunct w:val="0"/>
              <w:bidi w:val="0"/>
              <w:snapToGrid w:val="0"/>
              <w:spacing w:line="360" w:lineRule="exact"/>
              <w:ind w:firstLine="480" w:firstLineChars="200"/>
              <w:textAlignment w:val="auto"/>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联 系 人：财务部</w:t>
            </w:r>
          </w:p>
          <w:p w14:paraId="5EEA2A14">
            <w:pPr>
              <w:keepNext w:val="0"/>
              <w:keepLines w:val="0"/>
              <w:pageBreakBefore w:val="0"/>
              <w:widowControl w:val="0"/>
              <w:kinsoku/>
              <w:wordWrap/>
              <w:overflowPunct/>
              <w:topLinePunct w:val="0"/>
              <w:bidi w:val="0"/>
              <w:snapToGrid w:val="0"/>
              <w:spacing w:line="360" w:lineRule="exact"/>
              <w:ind w:firstLine="480" w:firstLineChars="200"/>
              <w:textAlignment w:val="auto"/>
              <w:rPr>
                <w:rFonts w:hint="eastAsia" w:ascii="Times New Roman" w:hAnsi="仿宋_GB2312" w:eastAsia="仿宋_GB2312" w:cs="仿宋_GB2312"/>
                <w:color w:val="auto"/>
                <w:sz w:val="24"/>
                <w:highlight w:val="none"/>
              </w:rPr>
            </w:pPr>
            <w:r>
              <w:rPr>
                <w:rFonts w:hint="default" w:ascii="Times New Roman" w:hAnsi="Times New Roman" w:eastAsia="仿宋_GB2312" w:cs="Times New Roman"/>
                <w:sz w:val="24"/>
                <w:highlight w:val="none"/>
              </w:rPr>
              <w:t>联系电话：029-85263975</w:t>
            </w:r>
          </w:p>
        </w:tc>
      </w:tr>
      <w:tr w14:paraId="570F7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0" w:hRule="atLeast"/>
          <w:jc w:val="center"/>
        </w:trPr>
        <w:tc>
          <w:tcPr>
            <w:tcW w:w="1730" w:type="dxa"/>
            <w:vAlign w:val="center"/>
          </w:tcPr>
          <w:p w14:paraId="1CD342F0">
            <w:pPr>
              <w:snapToGrid w:val="0"/>
              <w:jc w:val="center"/>
              <w:rPr>
                <w:rFonts w:hint="default" w:ascii="Times New Roman" w:eastAsia="仿宋_GB2312"/>
                <w:color w:val="auto"/>
                <w:sz w:val="24"/>
                <w:highlight w:val="none"/>
                <w:lang w:val="en-US" w:eastAsia="zh-CN"/>
              </w:rPr>
            </w:pPr>
            <w:r>
              <w:rPr>
                <w:rFonts w:hint="eastAsia" w:ascii="Times New Roman" w:eastAsia="仿宋_GB2312"/>
                <w:color w:val="auto"/>
                <w:sz w:val="24"/>
                <w:highlight w:val="none"/>
                <w:lang w:val="en-US" w:eastAsia="zh-CN"/>
              </w:rPr>
              <w:t>技术支持电话</w:t>
            </w:r>
          </w:p>
        </w:tc>
        <w:tc>
          <w:tcPr>
            <w:tcW w:w="7556" w:type="dxa"/>
            <w:vAlign w:val="center"/>
          </w:tcPr>
          <w:p w14:paraId="1C6B5757">
            <w:pPr>
              <w:snapToGrid w:val="0"/>
              <w:jc w:val="left"/>
              <w:rPr>
                <w:rFonts w:hint="eastAsia" w:ascii="Times New Roman" w:hAnsi="仿宋_GB2312" w:eastAsia="仿宋_GB2312" w:cs="仿宋_GB2312"/>
                <w:color w:val="auto"/>
                <w:sz w:val="24"/>
                <w:highlight w:val="none"/>
              </w:rPr>
            </w:pPr>
            <w:r>
              <w:rPr>
                <w:rFonts w:hint="eastAsia" w:ascii="Times New Roman" w:hAnsi="仿宋_GB2312" w:eastAsia="仿宋_GB2312" w:cs="仿宋_GB2312"/>
                <w:color w:val="auto"/>
                <w:sz w:val="24"/>
                <w:highlight w:val="none"/>
              </w:rPr>
              <w:t>电子化政府采购系统技术支持（软件开发商）</w:t>
            </w:r>
          </w:p>
          <w:p w14:paraId="5DC2D58F">
            <w:pPr>
              <w:snapToGrid w:val="0"/>
              <w:jc w:val="left"/>
              <w:rPr>
                <w:rFonts w:hint="eastAsia" w:ascii="Times New Roman" w:hAnsi="仿宋_GB2312" w:eastAsia="仿宋_GB2312" w:cs="仿宋_GB2312"/>
                <w:color w:val="auto"/>
                <w:sz w:val="24"/>
                <w:highlight w:val="none"/>
              </w:rPr>
            </w:pPr>
            <w:r>
              <w:rPr>
                <w:rFonts w:hint="eastAsia" w:ascii="Times New Roman" w:hAnsi="仿宋_GB2312" w:eastAsia="仿宋_GB2312" w:cs="仿宋_GB2312"/>
                <w:color w:val="auto"/>
                <w:sz w:val="24"/>
                <w:highlight w:val="none"/>
              </w:rPr>
              <w:t>国泰新点软件股份有限公司</w:t>
            </w:r>
          </w:p>
          <w:p w14:paraId="35FD3E30">
            <w:pPr>
              <w:snapToGrid w:val="0"/>
              <w:jc w:val="left"/>
              <w:rPr>
                <w:rFonts w:hint="eastAsia" w:ascii="Times New Roman" w:hAnsi="仿宋_GB2312" w:eastAsia="仿宋_GB2312" w:cs="仿宋_GB2312"/>
                <w:color w:val="auto"/>
                <w:sz w:val="24"/>
                <w:highlight w:val="none"/>
              </w:rPr>
            </w:pPr>
            <w:r>
              <w:rPr>
                <w:rFonts w:hint="eastAsia" w:ascii="Times New Roman" w:hAnsi="仿宋_GB2312" w:eastAsia="仿宋_GB2312" w:cs="仿宋_GB2312"/>
                <w:color w:val="auto"/>
                <w:sz w:val="24"/>
                <w:highlight w:val="none"/>
              </w:rPr>
              <w:t>技术支持热线：400-998-0000/400-928-0095</w:t>
            </w:r>
          </w:p>
        </w:tc>
      </w:tr>
    </w:tbl>
    <w:p w14:paraId="33BCFD5E">
      <w:pPr>
        <w:rPr>
          <w:rFonts w:eastAsia="仿宋_GB2312"/>
          <w:color w:val="auto"/>
          <w:sz w:val="30"/>
          <w:szCs w:val="30"/>
          <w:highlight w:val="none"/>
        </w:rPr>
      </w:pPr>
      <w:r>
        <w:rPr>
          <w:rFonts w:eastAsia="仿宋_GB2312"/>
          <w:color w:val="auto"/>
          <w:sz w:val="30"/>
          <w:szCs w:val="30"/>
          <w:highlight w:val="none"/>
        </w:rPr>
        <w:br w:type="page"/>
      </w:r>
    </w:p>
    <w:p w14:paraId="5475311E">
      <w:pPr>
        <w:pStyle w:val="81"/>
        <w:spacing w:before="24" w:after="24"/>
        <w:jc w:val="center"/>
        <w:rPr>
          <w:rFonts w:eastAsia="仿宋_GB2312"/>
          <w:color w:val="auto"/>
          <w:szCs w:val="32"/>
          <w:highlight w:val="none"/>
        </w:rPr>
      </w:pPr>
      <w:bookmarkStart w:id="86" w:name="_Toc1409"/>
      <w:r>
        <w:rPr>
          <w:rFonts w:eastAsia="仿宋_GB2312"/>
          <w:color w:val="auto"/>
          <w:szCs w:val="32"/>
          <w:highlight w:val="none"/>
        </w:rPr>
        <w:t>（二）供应商须知</w:t>
      </w:r>
      <w:bookmarkEnd w:id="86"/>
    </w:p>
    <w:p w14:paraId="5940C630">
      <w:pPr>
        <w:pStyle w:val="81"/>
        <w:spacing w:before="24" w:after="24"/>
        <w:jc w:val="center"/>
        <w:rPr>
          <w:rFonts w:eastAsia="仿宋_GB2312"/>
          <w:color w:val="auto"/>
          <w:sz w:val="30"/>
          <w:szCs w:val="30"/>
          <w:highlight w:val="none"/>
        </w:rPr>
      </w:pPr>
      <w:bookmarkStart w:id="87" w:name="_Toc14314"/>
      <w:r>
        <w:rPr>
          <w:rFonts w:eastAsia="仿宋_GB2312"/>
          <w:color w:val="auto"/>
          <w:sz w:val="30"/>
          <w:szCs w:val="30"/>
          <w:highlight w:val="none"/>
        </w:rPr>
        <w:t>一、总  则</w:t>
      </w:r>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7"/>
    </w:p>
    <w:p w14:paraId="1DB9B4BB">
      <w:pPr>
        <w:rPr>
          <w:rFonts w:eastAsia="仿宋_GB2312"/>
          <w:color w:val="auto"/>
          <w:highlight w:val="none"/>
        </w:rPr>
      </w:pPr>
    </w:p>
    <w:p w14:paraId="66DD6B2D">
      <w:pPr>
        <w:pStyle w:val="4"/>
        <w:rPr>
          <w:rFonts w:ascii="Times New Roman" w:hAnsi="Times New Roman" w:eastAsia="仿宋_GB2312"/>
          <w:b/>
          <w:color w:val="auto"/>
          <w:sz w:val="24"/>
          <w:szCs w:val="21"/>
          <w:highlight w:val="none"/>
        </w:rPr>
      </w:pPr>
      <w:bookmarkStart w:id="88" w:name="_Hlt14560612"/>
      <w:bookmarkEnd w:id="88"/>
      <w:bookmarkStart w:id="89" w:name="_Toc249525161"/>
      <w:bookmarkStart w:id="90" w:name="_Toc249515280"/>
      <w:bookmarkStart w:id="91" w:name="_Toc249515392"/>
      <w:bookmarkStart w:id="92" w:name="_Toc25504"/>
      <w:bookmarkStart w:id="93" w:name="_Toc184043014"/>
      <w:r>
        <w:rPr>
          <w:rFonts w:ascii="Times New Roman" w:hAnsi="Times New Roman" w:eastAsia="仿宋_GB2312"/>
          <w:b/>
          <w:color w:val="auto"/>
          <w:sz w:val="24"/>
          <w:szCs w:val="21"/>
          <w:highlight w:val="none"/>
        </w:rPr>
        <w:t>1.     项目说明</w:t>
      </w:r>
      <w:bookmarkEnd w:id="89"/>
      <w:bookmarkEnd w:id="90"/>
      <w:bookmarkEnd w:id="91"/>
      <w:bookmarkEnd w:id="92"/>
      <w:bookmarkEnd w:id="93"/>
    </w:p>
    <w:p w14:paraId="76ECE1B5">
      <w:pPr>
        <w:pStyle w:val="67"/>
        <w:widowControl w:val="0"/>
        <w:tabs>
          <w:tab w:val="left" w:pos="588"/>
        </w:tabs>
        <w:spacing w:before="0" w:beforeAutospacing="0" w:after="0" w:afterAutospacing="0"/>
        <w:textAlignment w:val="auto"/>
        <w:rPr>
          <w:rFonts w:eastAsia="仿宋_GB2312"/>
          <w:color w:val="auto"/>
          <w:kern w:val="24"/>
          <w:szCs w:val="21"/>
          <w:highlight w:val="none"/>
        </w:rPr>
      </w:pPr>
      <w:r>
        <w:rPr>
          <w:rFonts w:eastAsia="仿宋_GB2312"/>
          <w:color w:val="auto"/>
          <w:kern w:val="24"/>
          <w:szCs w:val="21"/>
          <w:highlight w:val="none"/>
        </w:rPr>
        <w:t>1.1    项目说明：</w:t>
      </w:r>
      <w:r>
        <w:rPr>
          <w:rFonts w:eastAsia="仿宋_GB2312"/>
          <w:b/>
          <w:color w:val="auto"/>
          <w:kern w:val="24"/>
          <w:szCs w:val="21"/>
          <w:highlight w:val="none"/>
        </w:rPr>
        <w:t>见供应商须知前附表</w:t>
      </w:r>
      <w:r>
        <w:rPr>
          <w:rFonts w:eastAsia="仿宋_GB2312"/>
          <w:color w:val="auto"/>
          <w:kern w:val="24"/>
          <w:szCs w:val="21"/>
          <w:highlight w:val="none"/>
        </w:rPr>
        <w:t>。</w:t>
      </w:r>
    </w:p>
    <w:p w14:paraId="5735813B">
      <w:pPr>
        <w:pStyle w:val="4"/>
        <w:rPr>
          <w:rFonts w:ascii="Times New Roman" w:hAnsi="Times New Roman" w:eastAsia="仿宋_GB2312"/>
          <w:b/>
          <w:color w:val="auto"/>
          <w:sz w:val="24"/>
          <w:szCs w:val="21"/>
          <w:highlight w:val="none"/>
        </w:rPr>
      </w:pPr>
      <w:bookmarkStart w:id="94" w:name="_Toc184043015"/>
      <w:bookmarkStart w:id="95" w:name="_Toc249515393"/>
      <w:bookmarkStart w:id="96" w:name="_Toc70687142"/>
      <w:bookmarkStart w:id="97" w:name="_Toc31509"/>
      <w:bookmarkStart w:id="98" w:name="_Toc249525162"/>
      <w:bookmarkStart w:id="99" w:name="_Toc249515281"/>
      <w:r>
        <w:rPr>
          <w:rFonts w:ascii="Times New Roman" w:hAnsi="Times New Roman" w:eastAsia="仿宋_GB2312"/>
          <w:b/>
          <w:color w:val="auto"/>
          <w:sz w:val="24"/>
          <w:szCs w:val="21"/>
          <w:highlight w:val="none"/>
        </w:rPr>
        <w:t>2.     定义</w:t>
      </w:r>
      <w:bookmarkEnd w:id="94"/>
      <w:bookmarkEnd w:id="95"/>
      <w:bookmarkEnd w:id="96"/>
      <w:bookmarkEnd w:id="97"/>
      <w:bookmarkEnd w:id="98"/>
      <w:bookmarkEnd w:id="99"/>
    </w:p>
    <w:p w14:paraId="583AF6DA">
      <w:pPr>
        <w:tabs>
          <w:tab w:val="left" w:pos="588"/>
        </w:tabs>
        <w:spacing w:line="360" w:lineRule="auto"/>
        <w:rPr>
          <w:rFonts w:eastAsia="仿宋_GB2312"/>
          <w:color w:val="auto"/>
          <w:sz w:val="24"/>
          <w:highlight w:val="none"/>
        </w:rPr>
      </w:pPr>
      <w:r>
        <w:rPr>
          <w:rFonts w:eastAsia="仿宋_GB2312"/>
          <w:color w:val="auto"/>
          <w:sz w:val="24"/>
          <w:highlight w:val="none"/>
        </w:rPr>
        <w:t>2.1    采购人：</w:t>
      </w:r>
      <w:r>
        <w:rPr>
          <w:rFonts w:eastAsia="仿宋_GB2312"/>
          <w:b/>
          <w:color w:val="auto"/>
          <w:sz w:val="24"/>
          <w:highlight w:val="none"/>
        </w:rPr>
        <w:t>见供应商须知前附表</w:t>
      </w:r>
      <w:r>
        <w:rPr>
          <w:rFonts w:eastAsia="仿宋_GB2312"/>
          <w:color w:val="auto"/>
          <w:sz w:val="24"/>
          <w:highlight w:val="none"/>
        </w:rPr>
        <w:t>。</w:t>
      </w:r>
    </w:p>
    <w:p w14:paraId="2F38BD5B">
      <w:pPr>
        <w:pStyle w:val="22"/>
        <w:rPr>
          <w:rFonts w:ascii="Times New Roman" w:hAnsi="Times New Roman" w:eastAsia="仿宋_GB2312"/>
          <w:color w:val="auto"/>
          <w:kern w:val="24"/>
          <w:sz w:val="24"/>
          <w:szCs w:val="21"/>
          <w:highlight w:val="none"/>
        </w:rPr>
      </w:pPr>
      <w:r>
        <w:rPr>
          <w:rFonts w:ascii="Times New Roman" w:hAnsi="Times New Roman" w:eastAsia="仿宋_GB2312"/>
          <w:color w:val="auto"/>
          <w:kern w:val="24"/>
          <w:sz w:val="24"/>
          <w:szCs w:val="21"/>
          <w:highlight w:val="none"/>
        </w:rPr>
        <w:t>2.2    采购代理机构：</w:t>
      </w:r>
      <w:r>
        <w:rPr>
          <w:rFonts w:ascii="Times New Roman" w:hAnsi="Times New Roman" w:eastAsia="仿宋_GB2312"/>
          <w:b/>
          <w:color w:val="auto"/>
          <w:kern w:val="24"/>
          <w:sz w:val="24"/>
          <w:szCs w:val="21"/>
          <w:highlight w:val="none"/>
        </w:rPr>
        <w:t>见供应商须知前附表</w:t>
      </w:r>
      <w:r>
        <w:rPr>
          <w:rFonts w:ascii="Times New Roman" w:hAnsi="Times New Roman" w:eastAsia="仿宋_GB2312"/>
          <w:color w:val="auto"/>
          <w:kern w:val="24"/>
          <w:sz w:val="24"/>
          <w:szCs w:val="21"/>
          <w:highlight w:val="none"/>
        </w:rPr>
        <w:t>。</w:t>
      </w:r>
    </w:p>
    <w:p w14:paraId="74F6C7FA">
      <w:pPr>
        <w:pStyle w:val="22"/>
        <w:ind w:left="840" w:hanging="840" w:hangingChars="350"/>
        <w:rPr>
          <w:rFonts w:ascii="Times New Roman" w:hAnsi="Times New Roman" w:eastAsia="仿宋_GB2312"/>
          <w:color w:val="auto"/>
          <w:sz w:val="24"/>
          <w:highlight w:val="none"/>
        </w:rPr>
      </w:pPr>
      <w:r>
        <w:rPr>
          <w:rFonts w:ascii="Times New Roman" w:hAnsi="Times New Roman" w:eastAsia="仿宋_GB2312"/>
          <w:color w:val="auto"/>
          <w:sz w:val="24"/>
          <w:highlight w:val="none"/>
        </w:rPr>
        <w:t>2.3    供应商：指响应磋商文件要求、参加竞争性磋商采购的法人、其他组织或者自然人。本次政府采购项目邀请供应商方式见</w:t>
      </w:r>
      <w:r>
        <w:rPr>
          <w:rFonts w:ascii="Times New Roman" w:hAnsi="Times New Roman" w:eastAsia="仿宋_GB2312"/>
          <w:b/>
          <w:color w:val="auto"/>
          <w:sz w:val="24"/>
          <w:highlight w:val="none"/>
        </w:rPr>
        <w:t>供应商须知前附表。</w:t>
      </w:r>
    </w:p>
    <w:p w14:paraId="421BC28B">
      <w:pPr>
        <w:pStyle w:val="22"/>
        <w:tabs>
          <w:tab w:val="left" w:pos="360"/>
        </w:tabs>
        <w:ind w:left="840" w:hanging="840" w:hangingChars="350"/>
        <w:rPr>
          <w:rFonts w:ascii="Times New Roman" w:hAnsi="Times New Roman" w:eastAsia="仿宋_GB2312"/>
          <w:color w:val="auto"/>
          <w:sz w:val="24"/>
          <w:highlight w:val="none"/>
        </w:rPr>
      </w:pPr>
      <w:r>
        <w:rPr>
          <w:rFonts w:ascii="Times New Roman" w:hAnsi="Times New Roman" w:eastAsia="仿宋_GB2312"/>
          <w:color w:val="auto"/>
          <w:sz w:val="24"/>
          <w:highlight w:val="none"/>
        </w:rPr>
        <w:t>2.4    磋商小组：指依据《中华人民共和国政府采购法》和财政部《政府采购竞争性磋商采购方式管理暂行办法》有关规定组建，依法依规履行其职责和义务的机构。</w:t>
      </w:r>
    </w:p>
    <w:p w14:paraId="7469C710">
      <w:pPr>
        <w:pStyle w:val="4"/>
        <w:rPr>
          <w:rFonts w:ascii="Times New Roman" w:hAnsi="Times New Roman" w:eastAsia="仿宋_GB2312"/>
          <w:b/>
          <w:color w:val="auto"/>
          <w:sz w:val="24"/>
          <w:szCs w:val="21"/>
          <w:highlight w:val="none"/>
        </w:rPr>
      </w:pPr>
      <w:bookmarkStart w:id="100" w:name="_Toc385992329"/>
      <w:bookmarkStart w:id="101" w:name="_Toc23705"/>
      <w:bookmarkStart w:id="102" w:name="_Toc249525163"/>
      <w:bookmarkStart w:id="103" w:name="_Toc249515394"/>
      <w:bookmarkStart w:id="104" w:name="_Toc70687143"/>
      <w:bookmarkStart w:id="105" w:name="_Toc389620168"/>
      <w:bookmarkStart w:id="106" w:name="_Toc184043016"/>
      <w:bookmarkStart w:id="107" w:name="_Toc249515282"/>
      <w:r>
        <w:rPr>
          <w:rFonts w:ascii="Times New Roman" w:hAnsi="Times New Roman" w:eastAsia="仿宋_GB2312"/>
          <w:b/>
          <w:color w:val="auto"/>
          <w:sz w:val="24"/>
          <w:szCs w:val="21"/>
          <w:highlight w:val="none"/>
        </w:rPr>
        <w:t>3.     合格的供应商</w:t>
      </w:r>
      <w:bookmarkEnd w:id="100"/>
      <w:bookmarkEnd w:id="101"/>
      <w:bookmarkEnd w:id="102"/>
      <w:bookmarkEnd w:id="103"/>
      <w:bookmarkEnd w:id="104"/>
      <w:bookmarkEnd w:id="105"/>
      <w:bookmarkEnd w:id="106"/>
      <w:bookmarkEnd w:id="107"/>
    </w:p>
    <w:p w14:paraId="0C8DB187">
      <w:pPr>
        <w:tabs>
          <w:tab w:val="left" w:pos="588"/>
        </w:tabs>
        <w:spacing w:line="360" w:lineRule="auto"/>
        <w:rPr>
          <w:rFonts w:eastAsia="仿宋_GB2312"/>
          <w:color w:val="auto"/>
          <w:kern w:val="24"/>
          <w:sz w:val="24"/>
          <w:szCs w:val="21"/>
          <w:highlight w:val="none"/>
        </w:rPr>
      </w:pPr>
      <w:r>
        <w:rPr>
          <w:rFonts w:eastAsia="仿宋_GB2312"/>
          <w:color w:val="auto"/>
          <w:kern w:val="24"/>
          <w:sz w:val="24"/>
          <w:szCs w:val="21"/>
          <w:highlight w:val="none"/>
        </w:rPr>
        <w:t>3.1    供应商基本资质要求详见</w:t>
      </w:r>
      <w:r>
        <w:rPr>
          <w:rFonts w:eastAsia="仿宋_GB2312"/>
          <w:b/>
          <w:color w:val="auto"/>
          <w:kern w:val="24"/>
          <w:sz w:val="24"/>
          <w:szCs w:val="21"/>
          <w:highlight w:val="none"/>
        </w:rPr>
        <w:t>供应商须知前附表</w:t>
      </w:r>
      <w:r>
        <w:rPr>
          <w:rFonts w:eastAsia="仿宋_GB2312"/>
          <w:color w:val="auto"/>
          <w:kern w:val="24"/>
          <w:sz w:val="24"/>
          <w:szCs w:val="21"/>
          <w:highlight w:val="none"/>
        </w:rPr>
        <w:t>。</w:t>
      </w:r>
    </w:p>
    <w:p w14:paraId="7CC380DB">
      <w:pPr>
        <w:tabs>
          <w:tab w:val="left" w:pos="588"/>
        </w:tabs>
        <w:spacing w:line="360" w:lineRule="auto"/>
        <w:rPr>
          <w:rFonts w:eastAsia="仿宋_GB2312"/>
          <w:color w:val="auto"/>
          <w:kern w:val="24"/>
          <w:sz w:val="24"/>
          <w:szCs w:val="21"/>
          <w:highlight w:val="none"/>
        </w:rPr>
      </w:pPr>
      <w:r>
        <w:rPr>
          <w:rFonts w:eastAsia="仿宋_GB2312"/>
          <w:color w:val="auto"/>
          <w:kern w:val="24"/>
          <w:sz w:val="24"/>
          <w:szCs w:val="21"/>
          <w:highlight w:val="none"/>
        </w:rPr>
        <w:t>3.2    本项目将执行在政府采购活动中查询及使用信用记录的规定，具体要求为：</w:t>
      </w:r>
    </w:p>
    <w:p w14:paraId="49A49311">
      <w:pPr>
        <w:tabs>
          <w:tab w:val="left" w:pos="588"/>
        </w:tabs>
        <w:spacing w:line="360" w:lineRule="auto"/>
        <w:ind w:left="840" w:hanging="840" w:hangingChars="350"/>
        <w:rPr>
          <w:rFonts w:eastAsia="仿宋_GB2312"/>
          <w:color w:val="auto"/>
          <w:kern w:val="24"/>
          <w:sz w:val="24"/>
          <w:szCs w:val="21"/>
          <w:highlight w:val="none"/>
        </w:rPr>
      </w:pPr>
      <w:r>
        <w:rPr>
          <w:rFonts w:eastAsia="仿宋_GB2312"/>
          <w:color w:val="auto"/>
          <w:kern w:val="24"/>
          <w:sz w:val="24"/>
          <w:szCs w:val="21"/>
          <w:highlight w:val="none"/>
        </w:rPr>
        <w:t>3.2.1  供应商应当未被列入失信被执行人、</w:t>
      </w:r>
      <w:r>
        <w:rPr>
          <w:rFonts w:hint="eastAsia" w:eastAsia="仿宋_GB2312"/>
          <w:color w:val="auto"/>
          <w:kern w:val="24"/>
          <w:sz w:val="24"/>
          <w:szCs w:val="21"/>
          <w:highlight w:val="none"/>
        </w:rPr>
        <w:t>重大</w:t>
      </w:r>
      <w:r>
        <w:rPr>
          <w:rFonts w:eastAsia="仿宋_GB2312"/>
          <w:color w:val="auto"/>
          <w:sz w:val="24"/>
          <w:highlight w:val="none"/>
        </w:rPr>
        <w:t>税收违法</w:t>
      </w:r>
      <w:r>
        <w:rPr>
          <w:rFonts w:hint="eastAsia" w:eastAsia="仿宋_GB2312"/>
          <w:color w:val="auto"/>
          <w:sz w:val="24"/>
          <w:highlight w:val="none"/>
        </w:rPr>
        <w:t>失信主体</w:t>
      </w:r>
      <w:r>
        <w:rPr>
          <w:rFonts w:eastAsia="仿宋_GB2312"/>
          <w:color w:val="auto"/>
          <w:kern w:val="24"/>
          <w:sz w:val="24"/>
          <w:szCs w:val="21"/>
          <w:highlight w:val="none"/>
        </w:rPr>
        <w:t>、政府采购严重违法失信行为记录名单，否则不得参与政府采购活动。</w:t>
      </w:r>
    </w:p>
    <w:p w14:paraId="79FCA3FB">
      <w:pPr>
        <w:tabs>
          <w:tab w:val="left" w:pos="588"/>
        </w:tabs>
        <w:spacing w:line="360" w:lineRule="auto"/>
        <w:rPr>
          <w:rFonts w:eastAsia="仿宋_GB2312"/>
          <w:color w:val="auto"/>
          <w:kern w:val="24"/>
          <w:sz w:val="24"/>
          <w:szCs w:val="21"/>
          <w:highlight w:val="none"/>
        </w:rPr>
      </w:pPr>
      <w:r>
        <w:rPr>
          <w:rFonts w:eastAsia="仿宋_GB2312"/>
          <w:color w:val="auto"/>
          <w:kern w:val="24"/>
          <w:sz w:val="24"/>
          <w:szCs w:val="21"/>
          <w:highlight w:val="none"/>
        </w:rPr>
        <w:t>3.2.2  信用信息查询的时间：</w:t>
      </w:r>
      <w:r>
        <w:rPr>
          <w:rFonts w:hint="default" w:eastAsia="仿宋_GB2312"/>
          <w:color w:val="auto"/>
          <w:kern w:val="24"/>
          <w:sz w:val="24"/>
          <w:szCs w:val="21"/>
          <w:highlight w:val="none"/>
          <w:lang w:val="en-US" w:eastAsia="zh-CN"/>
        </w:rPr>
        <w:t>对本项目供应商进行</w:t>
      </w:r>
      <w:r>
        <w:rPr>
          <w:rFonts w:hint="default" w:eastAsia="仿宋_GB2312"/>
          <w:color w:val="auto"/>
          <w:kern w:val="24"/>
          <w:sz w:val="24"/>
          <w:szCs w:val="21"/>
          <w:highlight w:val="none"/>
        </w:rPr>
        <w:t>资格审查</w:t>
      </w:r>
      <w:r>
        <w:rPr>
          <w:rFonts w:hint="default" w:eastAsia="仿宋_GB2312"/>
          <w:color w:val="auto"/>
          <w:kern w:val="24"/>
          <w:sz w:val="24"/>
          <w:szCs w:val="21"/>
          <w:highlight w:val="none"/>
          <w:lang w:val="en-US" w:eastAsia="zh-CN"/>
        </w:rPr>
        <w:t>时</w:t>
      </w:r>
      <w:r>
        <w:rPr>
          <w:rFonts w:hint="default" w:eastAsia="仿宋_GB2312"/>
          <w:color w:val="auto"/>
          <w:kern w:val="24"/>
          <w:sz w:val="24"/>
          <w:szCs w:val="21"/>
          <w:highlight w:val="none"/>
        </w:rPr>
        <w:t>。</w:t>
      </w:r>
      <w:r>
        <w:rPr>
          <w:rFonts w:eastAsia="仿宋_GB2312"/>
          <w:color w:val="auto"/>
          <w:kern w:val="24"/>
          <w:sz w:val="24"/>
          <w:szCs w:val="21"/>
          <w:highlight w:val="none"/>
        </w:rPr>
        <w:t xml:space="preserve"> </w:t>
      </w:r>
    </w:p>
    <w:p w14:paraId="7A3B1E5E">
      <w:pPr>
        <w:tabs>
          <w:tab w:val="left" w:pos="588"/>
        </w:tabs>
        <w:spacing w:line="360" w:lineRule="auto"/>
        <w:ind w:left="840" w:hanging="840" w:hangingChars="350"/>
        <w:rPr>
          <w:rFonts w:eastAsia="仿宋_GB2312"/>
          <w:color w:val="auto"/>
          <w:kern w:val="24"/>
          <w:sz w:val="24"/>
          <w:szCs w:val="21"/>
          <w:highlight w:val="none"/>
        </w:rPr>
      </w:pPr>
      <w:r>
        <w:rPr>
          <w:rFonts w:eastAsia="仿宋_GB2312"/>
          <w:color w:val="auto"/>
          <w:kern w:val="24"/>
          <w:sz w:val="24"/>
          <w:szCs w:val="21"/>
          <w:highlight w:val="none"/>
        </w:rPr>
        <w:t xml:space="preserve">3.2.3  查询渠道：“信用中国”网站（www.creditchina.gov.cn）和中国政府采购网（www.ccgp.gov.cn）； </w:t>
      </w:r>
    </w:p>
    <w:p w14:paraId="74B0D732">
      <w:pPr>
        <w:tabs>
          <w:tab w:val="left" w:pos="588"/>
        </w:tabs>
        <w:spacing w:line="360" w:lineRule="auto"/>
        <w:ind w:left="840" w:hanging="840" w:hangingChars="350"/>
        <w:rPr>
          <w:rFonts w:eastAsia="仿宋_GB2312"/>
          <w:color w:val="auto"/>
          <w:kern w:val="24"/>
          <w:sz w:val="24"/>
          <w:szCs w:val="21"/>
          <w:highlight w:val="none"/>
        </w:rPr>
      </w:pPr>
      <w:r>
        <w:rPr>
          <w:rFonts w:eastAsia="仿宋_GB2312"/>
          <w:color w:val="auto"/>
          <w:kern w:val="24"/>
          <w:sz w:val="24"/>
          <w:szCs w:val="21"/>
          <w:highlight w:val="none"/>
        </w:rPr>
        <w:t xml:space="preserve">3.2.4  </w:t>
      </w:r>
      <w:r>
        <w:rPr>
          <w:rFonts w:hint="default" w:eastAsia="仿宋_GB2312"/>
          <w:color w:val="auto"/>
          <w:kern w:val="24"/>
          <w:sz w:val="24"/>
          <w:szCs w:val="21"/>
          <w:highlight w:val="none"/>
        </w:rPr>
        <w:t>信用信息查询记录和证据留存具体方式：将供应商的查询结果网页截图作为查询记录和证据，与其他采购文件一并保存；</w:t>
      </w:r>
      <w:r>
        <w:rPr>
          <w:rFonts w:eastAsia="仿宋_GB2312"/>
          <w:color w:val="auto"/>
          <w:kern w:val="24"/>
          <w:sz w:val="24"/>
          <w:szCs w:val="21"/>
          <w:highlight w:val="none"/>
        </w:rPr>
        <w:t xml:space="preserve"> </w:t>
      </w:r>
    </w:p>
    <w:p w14:paraId="35350DF8">
      <w:pPr>
        <w:tabs>
          <w:tab w:val="left" w:pos="588"/>
        </w:tabs>
        <w:spacing w:line="360" w:lineRule="auto"/>
        <w:ind w:left="840" w:hanging="840" w:hangingChars="350"/>
        <w:rPr>
          <w:rFonts w:eastAsia="仿宋_GB2312"/>
          <w:color w:val="auto"/>
          <w:kern w:val="24"/>
          <w:sz w:val="24"/>
          <w:szCs w:val="21"/>
          <w:highlight w:val="none"/>
        </w:rPr>
      </w:pPr>
      <w:r>
        <w:rPr>
          <w:rFonts w:eastAsia="仿宋_GB2312"/>
          <w:color w:val="auto"/>
          <w:kern w:val="24"/>
          <w:sz w:val="24"/>
          <w:szCs w:val="21"/>
          <w:highlight w:val="none"/>
        </w:rPr>
        <w:t>3.</w:t>
      </w:r>
      <w:r>
        <w:rPr>
          <w:rFonts w:hint="eastAsia" w:eastAsia="仿宋_GB2312"/>
          <w:color w:val="auto"/>
          <w:kern w:val="24"/>
          <w:sz w:val="24"/>
          <w:szCs w:val="21"/>
          <w:highlight w:val="none"/>
        </w:rPr>
        <w:t>2</w:t>
      </w:r>
      <w:r>
        <w:rPr>
          <w:rFonts w:eastAsia="仿宋_GB2312"/>
          <w:color w:val="auto"/>
          <w:kern w:val="24"/>
          <w:sz w:val="24"/>
          <w:szCs w:val="21"/>
          <w:highlight w:val="none"/>
        </w:rPr>
        <w:t xml:space="preserve">.5  </w:t>
      </w:r>
      <w:r>
        <w:rPr>
          <w:rFonts w:hint="default" w:eastAsia="仿宋_GB2312"/>
          <w:color w:val="auto"/>
          <w:kern w:val="24"/>
          <w:sz w:val="24"/>
          <w:szCs w:val="21"/>
          <w:highlight w:val="none"/>
        </w:rPr>
        <w:t>信用信息的使用规则：采购人或采购代理机构若发现参与本项目政府采购活动的供应商在中国政府采购网（www.ccgp.gov.cn）被列入政府采购严重违法失信行为</w:t>
      </w:r>
      <w:r>
        <w:rPr>
          <w:rFonts w:hint="default" w:eastAsia="仿宋_GB2312"/>
          <w:color w:val="auto"/>
          <w:kern w:val="24"/>
          <w:sz w:val="24"/>
          <w:szCs w:val="21"/>
          <w:highlight w:val="none"/>
          <w:lang w:val="en-US" w:eastAsia="zh-CN"/>
        </w:rPr>
        <w:t>信息</w:t>
      </w:r>
      <w:r>
        <w:rPr>
          <w:rFonts w:hint="default" w:eastAsia="仿宋_GB2312"/>
          <w:color w:val="auto"/>
          <w:kern w:val="24"/>
          <w:sz w:val="24"/>
          <w:szCs w:val="21"/>
          <w:highlight w:val="none"/>
        </w:rPr>
        <w:t>记录名单，或在“信用中国”网站（www.creditchina.gov.cn）被列入失信被执行人、重大税收违法失信主体，以及存在《中华人民共和国政府采购法实施条例》第十九条规定的行政处罚记录</w:t>
      </w:r>
      <w:r>
        <w:rPr>
          <w:rFonts w:hint="default" w:eastAsia="仿宋_GB2312"/>
          <w:color w:val="auto"/>
          <w:kern w:val="24"/>
          <w:sz w:val="24"/>
          <w:szCs w:val="21"/>
          <w:highlight w:val="none"/>
          <w:lang w:eastAsia="zh-CN"/>
        </w:rPr>
        <w:t>的</w:t>
      </w:r>
      <w:r>
        <w:rPr>
          <w:rFonts w:hint="default" w:eastAsia="仿宋_GB2312"/>
          <w:color w:val="auto"/>
          <w:kern w:val="24"/>
          <w:sz w:val="24"/>
          <w:szCs w:val="21"/>
          <w:highlight w:val="none"/>
        </w:rPr>
        <w:t>，将信用信息查询记录提交给磋商小组，作无效文件进行处理。</w:t>
      </w:r>
    </w:p>
    <w:p w14:paraId="7A061F01">
      <w:pPr>
        <w:tabs>
          <w:tab w:val="left" w:pos="588"/>
        </w:tabs>
        <w:spacing w:line="360" w:lineRule="auto"/>
        <w:ind w:left="840" w:hanging="840" w:hangingChars="350"/>
        <w:rPr>
          <w:rFonts w:eastAsia="仿宋_GB2312"/>
          <w:color w:val="auto"/>
          <w:kern w:val="24"/>
          <w:sz w:val="24"/>
          <w:szCs w:val="21"/>
          <w:highlight w:val="none"/>
        </w:rPr>
      </w:pPr>
      <w:r>
        <w:rPr>
          <w:rFonts w:eastAsia="仿宋_GB2312"/>
          <w:color w:val="auto"/>
          <w:kern w:val="24"/>
          <w:sz w:val="24"/>
          <w:szCs w:val="21"/>
          <w:highlight w:val="none"/>
        </w:rPr>
        <w:t>3.</w:t>
      </w:r>
      <w:r>
        <w:rPr>
          <w:rFonts w:hint="eastAsia" w:eastAsia="仿宋_GB2312"/>
          <w:color w:val="auto"/>
          <w:kern w:val="24"/>
          <w:sz w:val="24"/>
          <w:szCs w:val="21"/>
          <w:highlight w:val="none"/>
        </w:rPr>
        <w:t>3</w:t>
      </w:r>
      <w:r>
        <w:rPr>
          <w:rFonts w:eastAsia="仿宋_GB2312"/>
          <w:color w:val="auto"/>
          <w:kern w:val="24"/>
          <w:sz w:val="24"/>
          <w:szCs w:val="21"/>
          <w:highlight w:val="none"/>
        </w:rPr>
        <w:t xml:space="preserve">    供应商必须向采购人或采购代理机构</w:t>
      </w:r>
      <w:r>
        <w:rPr>
          <w:rFonts w:hint="eastAsia" w:eastAsia="仿宋_GB2312"/>
          <w:color w:val="auto"/>
          <w:kern w:val="24"/>
          <w:sz w:val="24"/>
          <w:szCs w:val="21"/>
          <w:highlight w:val="none"/>
        </w:rPr>
        <w:t>获取</w:t>
      </w:r>
      <w:r>
        <w:rPr>
          <w:rFonts w:eastAsia="仿宋_GB2312"/>
          <w:color w:val="auto"/>
          <w:kern w:val="24"/>
          <w:sz w:val="24"/>
          <w:szCs w:val="21"/>
          <w:highlight w:val="none"/>
        </w:rPr>
        <w:t>磋商文件，未向采购人或采购代理机构</w:t>
      </w:r>
      <w:r>
        <w:rPr>
          <w:rFonts w:hint="eastAsia" w:eastAsia="仿宋_GB2312"/>
          <w:color w:val="auto"/>
          <w:kern w:val="24"/>
          <w:sz w:val="24"/>
          <w:szCs w:val="21"/>
          <w:highlight w:val="none"/>
        </w:rPr>
        <w:t>获取</w:t>
      </w:r>
      <w:r>
        <w:rPr>
          <w:rFonts w:eastAsia="仿宋_GB2312"/>
          <w:color w:val="auto"/>
          <w:kern w:val="24"/>
          <w:sz w:val="24"/>
          <w:szCs w:val="21"/>
          <w:highlight w:val="none"/>
        </w:rPr>
        <w:t>磋商文件的潜在供应商均无资格参加本次采购。</w:t>
      </w:r>
    </w:p>
    <w:p w14:paraId="6F48D796">
      <w:pPr>
        <w:tabs>
          <w:tab w:val="left" w:pos="588"/>
        </w:tabs>
        <w:spacing w:line="360" w:lineRule="auto"/>
        <w:rPr>
          <w:rFonts w:eastAsia="仿宋_GB2312"/>
          <w:color w:val="auto"/>
          <w:kern w:val="24"/>
          <w:sz w:val="24"/>
          <w:szCs w:val="21"/>
          <w:highlight w:val="none"/>
        </w:rPr>
      </w:pPr>
      <w:r>
        <w:rPr>
          <w:rFonts w:eastAsia="仿宋_GB2312"/>
          <w:color w:val="auto"/>
          <w:kern w:val="24"/>
          <w:sz w:val="24"/>
          <w:szCs w:val="21"/>
          <w:highlight w:val="none"/>
        </w:rPr>
        <w:t>3.</w:t>
      </w:r>
      <w:r>
        <w:rPr>
          <w:rFonts w:hint="eastAsia" w:eastAsia="仿宋_GB2312"/>
          <w:color w:val="auto"/>
          <w:kern w:val="24"/>
          <w:sz w:val="24"/>
          <w:szCs w:val="21"/>
          <w:highlight w:val="none"/>
        </w:rPr>
        <w:t>4</w:t>
      </w:r>
      <w:r>
        <w:rPr>
          <w:rFonts w:eastAsia="仿宋_GB2312"/>
          <w:color w:val="auto"/>
          <w:kern w:val="24"/>
          <w:sz w:val="24"/>
          <w:szCs w:val="21"/>
          <w:highlight w:val="none"/>
        </w:rPr>
        <w:t xml:space="preserve">    供应商应遵守《中华人民共和国政府采购法》及其它有关的中国法律和法规。</w:t>
      </w:r>
    </w:p>
    <w:p w14:paraId="6D5F37A9">
      <w:pPr>
        <w:pStyle w:val="22"/>
        <w:ind w:left="840" w:hanging="840" w:hangingChars="350"/>
        <w:rPr>
          <w:rFonts w:ascii="Times New Roman" w:hAnsi="Times New Roman" w:eastAsia="仿宋_GB2312"/>
          <w:color w:val="auto"/>
          <w:kern w:val="24"/>
          <w:sz w:val="24"/>
          <w:szCs w:val="21"/>
          <w:highlight w:val="none"/>
        </w:rPr>
      </w:pPr>
      <w:r>
        <w:rPr>
          <w:rFonts w:ascii="Times New Roman" w:hAnsi="Times New Roman" w:eastAsia="仿宋_GB2312"/>
          <w:color w:val="auto"/>
          <w:kern w:val="24"/>
          <w:sz w:val="24"/>
          <w:szCs w:val="21"/>
          <w:highlight w:val="none"/>
        </w:rPr>
        <w:t>3.</w:t>
      </w:r>
      <w:r>
        <w:rPr>
          <w:rFonts w:hint="eastAsia" w:ascii="Times New Roman" w:hAnsi="Times New Roman" w:eastAsia="仿宋_GB2312"/>
          <w:color w:val="auto"/>
          <w:kern w:val="24"/>
          <w:sz w:val="24"/>
          <w:szCs w:val="21"/>
          <w:highlight w:val="none"/>
        </w:rPr>
        <w:t>5</w:t>
      </w:r>
      <w:r>
        <w:rPr>
          <w:rFonts w:ascii="Times New Roman" w:hAnsi="Times New Roman" w:eastAsia="仿宋_GB2312"/>
          <w:color w:val="auto"/>
          <w:kern w:val="24"/>
          <w:sz w:val="24"/>
          <w:szCs w:val="21"/>
          <w:highlight w:val="none"/>
        </w:rPr>
        <w:t xml:space="preserve">    若前附表中写明允许采购进口产品，供应商应保证所投产品可履行合法报通关手续进入中国关境内。</w:t>
      </w:r>
    </w:p>
    <w:p w14:paraId="61C1293B">
      <w:pPr>
        <w:pStyle w:val="22"/>
        <w:ind w:left="838" w:leftChars="399"/>
        <w:rPr>
          <w:rFonts w:ascii="Times New Roman" w:hAnsi="Times New Roman" w:eastAsia="仿宋_GB2312"/>
          <w:color w:val="auto"/>
          <w:kern w:val="24"/>
          <w:sz w:val="24"/>
          <w:szCs w:val="21"/>
          <w:highlight w:val="none"/>
        </w:rPr>
      </w:pPr>
      <w:r>
        <w:rPr>
          <w:rFonts w:ascii="Times New Roman" w:hAnsi="Times New Roman" w:eastAsia="仿宋_GB2312"/>
          <w:color w:val="auto"/>
          <w:kern w:val="24"/>
          <w:sz w:val="24"/>
          <w:szCs w:val="21"/>
          <w:highlight w:val="none"/>
        </w:rPr>
        <w:t>若前附表中不允许采购进口产品，如供应商所投产品为进口产品，其响应文件将被认定为无效。</w:t>
      </w:r>
    </w:p>
    <w:p w14:paraId="3B4241E0">
      <w:pPr>
        <w:pStyle w:val="22"/>
        <w:rPr>
          <w:rFonts w:ascii="Times New Roman" w:hAnsi="Times New Roman" w:eastAsia="仿宋_GB2312"/>
          <w:color w:val="auto"/>
          <w:kern w:val="24"/>
          <w:sz w:val="24"/>
          <w:szCs w:val="21"/>
          <w:highlight w:val="none"/>
        </w:rPr>
      </w:pPr>
      <w:r>
        <w:rPr>
          <w:rFonts w:ascii="Times New Roman" w:hAnsi="Times New Roman" w:eastAsia="仿宋_GB2312"/>
          <w:color w:val="auto"/>
          <w:kern w:val="24"/>
          <w:sz w:val="24"/>
          <w:szCs w:val="21"/>
          <w:highlight w:val="none"/>
        </w:rPr>
        <w:t>3.</w:t>
      </w:r>
      <w:r>
        <w:rPr>
          <w:rFonts w:hint="eastAsia" w:ascii="Times New Roman" w:hAnsi="Times New Roman" w:eastAsia="仿宋_GB2312"/>
          <w:color w:val="auto"/>
          <w:kern w:val="24"/>
          <w:sz w:val="24"/>
          <w:szCs w:val="21"/>
          <w:highlight w:val="none"/>
        </w:rPr>
        <w:t>6</w:t>
      </w:r>
      <w:r>
        <w:rPr>
          <w:rFonts w:ascii="Times New Roman" w:hAnsi="Times New Roman" w:eastAsia="仿宋_GB2312"/>
          <w:color w:val="auto"/>
          <w:kern w:val="24"/>
          <w:sz w:val="24"/>
          <w:szCs w:val="21"/>
          <w:highlight w:val="none"/>
        </w:rPr>
        <w:t xml:space="preserve">    如须知前附表中允许联合体投标，对联合体规定如下：</w:t>
      </w:r>
    </w:p>
    <w:p w14:paraId="74589F89">
      <w:pPr>
        <w:pStyle w:val="22"/>
        <w:rPr>
          <w:rFonts w:ascii="Times New Roman" w:hAnsi="Times New Roman" w:eastAsia="仿宋_GB2312"/>
          <w:color w:val="auto"/>
          <w:kern w:val="24"/>
          <w:sz w:val="24"/>
          <w:szCs w:val="21"/>
          <w:highlight w:val="none"/>
        </w:rPr>
      </w:pPr>
      <w:r>
        <w:rPr>
          <w:rFonts w:ascii="Times New Roman" w:hAnsi="Times New Roman" w:eastAsia="仿宋_GB2312"/>
          <w:color w:val="auto"/>
          <w:kern w:val="24"/>
          <w:sz w:val="24"/>
          <w:szCs w:val="21"/>
          <w:highlight w:val="none"/>
        </w:rPr>
        <w:t>3.</w:t>
      </w:r>
      <w:r>
        <w:rPr>
          <w:rFonts w:hint="eastAsia" w:ascii="Times New Roman" w:hAnsi="Times New Roman" w:eastAsia="仿宋_GB2312"/>
          <w:color w:val="auto"/>
          <w:kern w:val="24"/>
          <w:sz w:val="24"/>
          <w:szCs w:val="21"/>
          <w:highlight w:val="none"/>
        </w:rPr>
        <w:t>6</w:t>
      </w:r>
      <w:r>
        <w:rPr>
          <w:rFonts w:ascii="Times New Roman" w:hAnsi="Times New Roman" w:eastAsia="仿宋_GB2312"/>
          <w:color w:val="auto"/>
          <w:kern w:val="24"/>
          <w:sz w:val="24"/>
          <w:szCs w:val="21"/>
          <w:highlight w:val="none"/>
        </w:rPr>
        <w:t>.1  两个及以上供应商可以组成一个投标联合体，以一个供应商的身份投标。</w:t>
      </w:r>
    </w:p>
    <w:p w14:paraId="7807DFD9">
      <w:pPr>
        <w:pStyle w:val="22"/>
        <w:rPr>
          <w:rFonts w:ascii="Times New Roman" w:hAnsi="Times New Roman" w:eastAsia="仿宋_GB2312"/>
          <w:color w:val="auto"/>
          <w:kern w:val="24"/>
          <w:sz w:val="24"/>
          <w:szCs w:val="21"/>
          <w:highlight w:val="none"/>
        </w:rPr>
      </w:pPr>
      <w:r>
        <w:rPr>
          <w:rFonts w:ascii="Times New Roman" w:hAnsi="Times New Roman" w:eastAsia="仿宋_GB2312"/>
          <w:color w:val="auto"/>
          <w:kern w:val="24"/>
          <w:sz w:val="24"/>
          <w:szCs w:val="21"/>
          <w:highlight w:val="none"/>
        </w:rPr>
        <w:t>3.</w:t>
      </w:r>
      <w:r>
        <w:rPr>
          <w:rFonts w:hint="eastAsia" w:ascii="Times New Roman" w:hAnsi="Times New Roman" w:eastAsia="仿宋_GB2312"/>
          <w:color w:val="auto"/>
          <w:kern w:val="24"/>
          <w:sz w:val="24"/>
          <w:szCs w:val="21"/>
          <w:highlight w:val="none"/>
        </w:rPr>
        <w:t>6</w:t>
      </w:r>
      <w:r>
        <w:rPr>
          <w:rFonts w:ascii="Times New Roman" w:hAnsi="Times New Roman" w:eastAsia="仿宋_GB2312"/>
          <w:color w:val="auto"/>
          <w:kern w:val="24"/>
          <w:sz w:val="24"/>
          <w:szCs w:val="21"/>
          <w:highlight w:val="none"/>
        </w:rPr>
        <w:t>.2  联合体各方均应符合本须知规定。</w:t>
      </w:r>
    </w:p>
    <w:p w14:paraId="5AB73682">
      <w:pPr>
        <w:pStyle w:val="22"/>
        <w:ind w:left="840" w:hanging="840" w:hangingChars="350"/>
        <w:rPr>
          <w:rFonts w:ascii="Times New Roman" w:hAnsi="Times New Roman" w:eastAsia="仿宋_GB2312"/>
          <w:color w:val="auto"/>
          <w:kern w:val="24"/>
          <w:sz w:val="24"/>
          <w:szCs w:val="21"/>
          <w:highlight w:val="none"/>
        </w:rPr>
      </w:pPr>
      <w:r>
        <w:rPr>
          <w:rFonts w:ascii="Times New Roman" w:hAnsi="Times New Roman" w:eastAsia="仿宋_GB2312"/>
          <w:color w:val="auto"/>
          <w:kern w:val="24"/>
          <w:sz w:val="24"/>
          <w:szCs w:val="21"/>
          <w:highlight w:val="none"/>
        </w:rPr>
        <w:t>3.</w:t>
      </w:r>
      <w:r>
        <w:rPr>
          <w:rFonts w:hint="eastAsia" w:ascii="Times New Roman" w:hAnsi="Times New Roman" w:eastAsia="仿宋_GB2312"/>
          <w:color w:val="auto"/>
          <w:kern w:val="24"/>
          <w:sz w:val="24"/>
          <w:szCs w:val="21"/>
          <w:highlight w:val="none"/>
        </w:rPr>
        <w:t>6</w:t>
      </w:r>
      <w:r>
        <w:rPr>
          <w:rFonts w:ascii="Times New Roman" w:hAnsi="Times New Roman" w:eastAsia="仿宋_GB2312"/>
          <w:color w:val="auto"/>
          <w:kern w:val="24"/>
          <w:sz w:val="24"/>
          <w:szCs w:val="21"/>
          <w:highlight w:val="none"/>
        </w:rPr>
        <w:t>.3  采购人根据采购项目对供应商的特殊要求，联合体中至少应当有一方符合相关规定。</w:t>
      </w:r>
    </w:p>
    <w:p w14:paraId="18DDF342">
      <w:pPr>
        <w:pStyle w:val="22"/>
        <w:ind w:left="840" w:hanging="840" w:hangingChars="350"/>
        <w:rPr>
          <w:rFonts w:ascii="Times New Roman" w:hAnsi="Times New Roman" w:eastAsia="仿宋_GB2312"/>
          <w:color w:val="auto"/>
          <w:kern w:val="24"/>
          <w:sz w:val="24"/>
          <w:szCs w:val="21"/>
          <w:highlight w:val="none"/>
        </w:rPr>
      </w:pPr>
      <w:r>
        <w:rPr>
          <w:rFonts w:ascii="Times New Roman" w:hAnsi="Times New Roman" w:eastAsia="仿宋_GB2312"/>
          <w:color w:val="auto"/>
          <w:kern w:val="24"/>
          <w:sz w:val="24"/>
          <w:szCs w:val="21"/>
          <w:highlight w:val="none"/>
        </w:rPr>
        <w:t>3.</w:t>
      </w:r>
      <w:r>
        <w:rPr>
          <w:rFonts w:hint="eastAsia" w:ascii="Times New Roman" w:hAnsi="Times New Roman" w:eastAsia="仿宋_GB2312"/>
          <w:color w:val="auto"/>
          <w:kern w:val="24"/>
          <w:sz w:val="24"/>
          <w:szCs w:val="21"/>
          <w:highlight w:val="none"/>
        </w:rPr>
        <w:t>6</w:t>
      </w:r>
      <w:r>
        <w:rPr>
          <w:rFonts w:ascii="Times New Roman" w:hAnsi="Times New Roman" w:eastAsia="仿宋_GB2312"/>
          <w:color w:val="auto"/>
          <w:kern w:val="24"/>
          <w:sz w:val="24"/>
          <w:szCs w:val="21"/>
          <w:highlight w:val="none"/>
        </w:rPr>
        <w:t>.4  联合体各方应签订共同磋商响应协议，明确约定联合体各方承担的工作和相应的责任，并将共同响应协议作为响应文件的内容提交。</w:t>
      </w:r>
    </w:p>
    <w:p w14:paraId="21292A86">
      <w:pPr>
        <w:pStyle w:val="22"/>
        <w:ind w:left="840" w:hanging="840" w:hangingChars="350"/>
        <w:rPr>
          <w:rFonts w:ascii="Times New Roman" w:hAnsi="Times New Roman" w:eastAsia="仿宋_GB2312"/>
          <w:color w:val="auto"/>
          <w:kern w:val="24"/>
          <w:sz w:val="24"/>
          <w:szCs w:val="21"/>
          <w:highlight w:val="none"/>
        </w:rPr>
      </w:pPr>
      <w:r>
        <w:rPr>
          <w:rFonts w:ascii="Times New Roman" w:hAnsi="Times New Roman" w:eastAsia="仿宋_GB2312"/>
          <w:color w:val="auto"/>
          <w:kern w:val="24"/>
          <w:sz w:val="24"/>
          <w:szCs w:val="21"/>
          <w:highlight w:val="none"/>
        </w:rPr>
        <w:t>3.</w:t>
      </w:r>
      <w:r>
        <w:rPr>
          <w:rFonts w:hint="eastAsia" w:ascii="Times New Roman" w:hAnsi="Times New Roman" w:eastAsia="仿宋_GB2312"/>
          <w:color w:val="auto"/>
          <w:kern w:val="24"/>
          <w:sz w:val="24"/>
          <w:szCs w:val="21"/>
          <w:highlight w:val="none"/>
        </w:rPr>
        <w:t>6</w:t>
      </w:r>
      <w:r>
        <w:rPr>
          <w:rFonts w:ascii="Times New Roman" w:hAnsi="Times New Roman" w:eastAsia="仿宋_GB2312"/>
          <w:color w:val="auto"/>
          <w:kern w:val="24"/>
          <w:sz w:val="24"/>
          <w:szCs w:val="21"/>
          <w:highlight w:val="none"/>
        </w:rPr>
        <w:t>.5  大中型企业、其他自然人、法人或者其他组织与小型、微型企业组成联合体共同参加磋商，共同响应协议中应写明小型、微型企业的协议合同金额占到共同响应协议报价总金额的比例。</w:t>
      </w:r>
    </w:p>
    <w:p w14:paraId="15D41C08">
      <w:pPr>
        <w:pStyle w:val="22"/>
        <w:ind w:left="840" w:hanging="840" w:hangingChars="350"/>
        <w:rPr>
          <w:rFonts w:ascii="Times New Roman" w:hAnsi="Times New Roman" w:eastAsia="仿宋_GB2312"/>
          <w:color w:val="auto"/>
          <w:kern w:val="24"/>
          <w:sz w:val="24"/>
          <w:szCs w:val="21"/>
          <w:highlight w:val="none"/>
        </w:rPr>
      </w:pPr>
      <w:r>
        <w:rPr>
          <w:rFonts w:ascii="Times New Roman" w:hAnsi="Times New Roman" w:eastAsia="仿宋_GB2312"/>
          <w:color w:val="auto"/>
          <w:kern w:val="24"/>
          <w:sz w:val="24"/>
          <w:szCs w:val="21"/>
          <w:highlight w:val="none"/>
        </w:rPr>
        <w:t>3.</w:t>
      </w:r>
      <w:r>
        <w:rPr>
          <w:rFonts w:hint="eastAsia" w:ascii="Times New Roman" w:hAnsi="Times New Roman" w:eastAsia="仿宋_GB2312"/>
          <w:color w:val="auto"/>
          <w:kern w:val="24"/>
          <w:sz w:val="24"/>
          <w:szCs w:val="21"/>
          <w:highlight w:val="none"/>
        </w:rPr>
        <w:t>6</w:t>
      </w:r>
      <w:r>
        <w:rPr>
          <w:rFonts w:ascii="Times New Roman" w:hAnsi="Times New Roman" w:eastAsia="仿宋_GB2312"/>
          <w:color w:val="auto"/>
          <w:kern w:val="24"/>
          <w:sz w:val="24"/>
          <w:szCs w:val="21"/>
          <w:highlight w:val="none"/>
        </w:rPr>
        <w:t>.6  以联合体形式参加政府采购活动的，联合体各方不得再单独参加或者与其他供应商另外组成联合体参加本项目同一合同项下的磋商，否则相关响应文件将被认定为无效。</w:t>
      </w:r>
    </w:p>
    <w:p w14:paraId="063CA1B2">
      <w:pPr>
        <w:pStyle w:val="22"/>
        <w:rPr>
          <w:rFonts w:ascii="Times New Roman" w:hAnsi="Times New Roman" w:eastAsia="仿宋_GB2312"/>
          <w:color w:val="auto"/>
          <w:kern w:val="24"/>
          <w:sz w:val="24"/>
          <w:szCs w:val="21"/>
          <w:highlight w:val="none"/>
        </w:rPr>
      </w:pPr>
      <w:r>
        <w:rPr>
          <w:rFonts w:ascii="Times New Roman" w:hAnsi="Times New Roman" w:eastAsia="仿宋_GB2312"/>
          <w:color w:val="auto"/>
          <w:kern w:val="24"/>
          <w:sz w:val="24"/>
          <w:szCs w:val="21"/>
          <w:highlight w:val="none"/>
        </w:rPr>
        <w:t>3.</w:t>
      </w:r>
      <w:r>
        <w:rPr>
          <w:rFonts w:hint="eastAsia" w:ascii="Times New Roman" w:hAnsi="Times New Roman" w:eastAsia="仿宋_GB2312"/>
          <w:color w:val="auto"/>
          <w:kern w:val="24"/>
          <w:sz w:val="24"/>
          <w:szCs w:val="21"/>
          <w:highlight w:val="none"/>
        </w:rPr>
        <w:t>6</w:t>
      </w:r>
      <w:r>
        <w:rPr>
          <w:rFonts w:ascii="Times New Roman" w:hAnsi="Times New Roman" w:eastAsia="仿宋_GB2312"/>
          <w:color w:val="auto"/>
          <w:kern w:val="24"/>
          <w:sz w:val="24"/>
          <w:szCs w:val="21"/>
          <w:highlight w:val="none"/>
        </w:rPr>
        <w:t>.7  对联合体磋商的其他资格要求见须知前附表。</w:t>
      </w:r>
    </w:p>
    <w:p w14:paraId="3A1151C0">
      <w:pPr>
        <w:pStyle w:val="22"/>
        <w:ind w:left="840" w:hanging="840" w:hangingChars="350"/>
        <w:rPr>
          <w:rFonts w:ascii="Times New Roman" w:hAnsi="Times New Roman" w:eastAsia="仿宋_GB2312"/>
          <w:color w:val="auto"/>
          <w:kern w:val="24"/>
          <w:sz w:val="24"/>
          <w:szCs w:val="21"/>
          <w:highlight w:val="none"/>
        </w:rPr>
      </w:pPr>
      <w:r>
        <w:rPr>
          <w:rFonts w:ascii="Times New Roman" w:hAnsi="Times New Roman" w:eastAsia="仿宋_GB2312"/>
          <w:color w:val="auto"/>
          <w:kern w:val="24"/>
          <w:sz w:val="24"/>
          <w:szCs w:val="21"/>
          <w:highlight w:val="none"/>
        </w:rPr>
        <w:t>3.</w:t>
      </w:r>
      <w:r>
        <w:rPr>
          <w:rFonts w:hint="eastAsia" w:ascii="Times New Roman" w:hAnsi="Times New Roman" w:eastAsia="仿宋_GB2312"/>
          <w:color w:val="auto"/>
          <w:kern w:val="24"/>
          <w:sz w:val="24"/>
          <w:szCs w:val="21"/>
          <w:highlight w:val="none"/>
        </w:rPr>
        <w:t>7</w:t>
      </w:r>
      <w:r>
        <w:rPr>
          <w:rFonts w:ascii="Times New Roman" w:hAnsi="Times New Roman" w:eastAsia="仿宋_GB2312"/>
          <w:color w:val="auto"/>
          <w:kern w:val="24"/>
          <w:sz w:val="24"/>
          <w:szCs w:val="21"/>
          <w:highlight w:val="none"/>
        </w:rPr>
        <w:t xml:space="preserve">    </w:t>
      </w:r>
      <w:r>
        <w:rPr>
          <w:rFonts w:ascii="Times New Roman" w:hAnsi="Times New Roman" w:eastAsia="仿宋_GB2312"/>
          <w:color w:val="auto"/>
          <w:sz w:val="24"/>
          <w:highlight w:val="none"/>
        </w:rPr>
        <w:t>若前附表中写明专门面向中小企业采购的，如供应商为非中小企业或所投产品为非中小企业产品，其响应文件将被认定为无效。</w:t>
      </w:r>
    </w:p>
    <w:p w14:paraId="5D648B9E">
      <w:pPr>
        <w:pStyle w:val="4"/>
        <w:rPr>
          <w:rFonts w:ascii="Times New Roman" w:hAnsi="Times New Roman" w:eastAsia="仿宋_GB2312"/>
          <w:b/>
          <w:color w:val="auto"/>
          <w:sz w:val="24"/>
          <w:szCs w:val="21"/>
          <w:highlight w:val="none"/>
        </w:rPr>
      </w:pPr>
      <w:bookmarkStart w:id="108" w:name="_Toc249515283"/>
      <w:bookmarkStart w:id="109" w:name="_Toc70687144"/>
      <w:bookmarkStart w:id="110" w:name="_Toc184043017"/>
      <w:bookmarkStart w:id="111" w:name="_Toc389620169"/>
      <w:bookmarkStart w:id="112" w:name="_Toc385992330"/>
      <w:bookmarkStart w:id="113" w:name="_Toc249525164"/>
      <w:bookmarkStart w:id="114" w:name="_Toc26580"/>
      <w:bookmarkStart w:id="115" w:name="_Toc249515395"/>
      <w:r>
        <w:rPr>
          <w:rFonts w:ascii="Times New Roman" w:hAnsi="Times New Roman" w:eastAsia="仿宋_GB2312"/>
          <w:b/>
          <w:color w:val="auto"/>
          <w:sz w:val="24"/>
          <w:szCs w:val="21"/>
          <w:highlight w:val="none"/>
        </w:rPr>
        <w:t>4.     磋商费用</w:t>
      </w:r>
      <w:bookmarkEnd w:id="108"/>
      <w:bookmarkEnd w:id="109"/>
      <w:bookmarkEnd w:id="110"/>
      <w:bookmarkEnd w:id="111"/>
      <w:bookmarkEnd w:id="112"/>
      <w:bookmarkEnd w:id="113"/>
      <w:bookmarkEnd w:id="114"/>
      <w:bookmarkEnd w:id="115"/>
    </w:p>
    <w:p w14:paraId="554D6173">
      <w:pPr>
        <w:tabs>
          <w:tab w:val="left" w:pos="588"/>
        </w:tabs>
        <w:spacing w:line="360" w:lineRule="auto"/>
        <w:ind w:left="840" w:hanging="840" w:hangingChars="350"/>
        <w:rPr>
          <w:rFonts w:eastAsia="仿宋_GB2312"/>
          <w:color w:val="auto"/>
          <w:kern w:val="24"/>
          <w:sz w:val="24"/>
          <w:szCs w:val="21"/>
          <w:highlight w:val="none"/>
        </w:rPr>
      </w:pPr>
      <w:r>
        <w:rPr>
          <w:rFonts w:eastAsia="仿宋_GB2312"/>
          <w:color w:val="auto"/>
          <w:kern w:val="24"/>
          <w:sz w:val="24"/>
          <w:szCs w:val="21"/>
          <w:highlight w:val="none"/>
        </w:rPr>
        <w:t>4.1    供应商应承担所有与编写和提交响应文件有关的费用，无论磋商过程和结果如何，采购人在任何情况下均无义务和责任承担这些费用。</w:t>
      </w:r>
    </w:p>
    <w:p w14:paraId="45750507">
      <w:pPr>
        <w:pStyle w:val="22"/>
        <w:rPr>
          <w:rFonts w:ascii="Times New Roman" w:hAnsi="Times New Roman" w:eastAsia="仿宋_GB2312"/>
          <w:color w:val="auto"/>
          <w:highlight w:val="none"/>
        </w:rPr>
      </w:pPr>
    </w:p>
    <w:p w14:paraId="7F32AD8F">
      <w:pPr>
        <w:pStyle w:val="81"/>
        <w:spacing w:before="24" w:after="24"/>
        <w:ind w:left="3313"/>
        <w:rPr>
          <w:rFonts w:eastAsia="仿宋_GB2312"/>
          <w:color w:val="auto"/>
          <w:sz w:val="30"/>
          <w:szCs w:val="30"/>
          <w:highlight w:val="none"/>
        </w:rPr>
      </w:pPr>
      <w:bookmarkStart w:id="116" w:name="_Toc8516"/>
      <w:r>
        <w:rPr>
          <w:rFonts w:eastAsia="仿宋_GB2312"/>
          <w:color w:val="auto"/>
          <w:sz w:val="30"/>
          <w:szCs w:val="30"/>
          <w:highlight w:val="none"/>
        </w:rPr>
        <w:t>二、磋商文件说明</w:t>
      </w:r>
      <w:bookmarkEnd w:id="116"/>
    </w:p>
    <w:p w14:paraId="6379B6B4">
      <w:pPr>
        <w:rPr>
          <w:rFonts w:eastAsia="仿宋_GB2312"/>
          <w:color w:val="auto"/>
          <w:highlight w:val="none"/>
        </w:rPr>
      </w:pPr>
    </w:p>
    <w:p w14:paraId="2D23B98F">
      <w:pPr>
        <w:pStyle w:val="4"/>
        <w:numPr>
          <w:ilvl w:val="0"/>
          <w:numId w:val="6"/>
        </w:numPr>
        <w:rPr>
          <w:rFonts w:ascii="Times New Roman" w:hAnsi="Times New Roman" w:eastAsia="仿宋_GB2312"/>
          <w:b/>
          <w:color w:val="auto"/>
          <w:sz w:val="24"/>
          <w:szCs w:val="21"/>
          <w:highlight w:val="none"/>
        </w:rPr>
      </w:pPr>
      <w:bookmarkStart w:id="117" w:name="_Toc128"/>
      <w:bookmarkStart w:id="118" w:name="_Toc249515397"/>
      <w:bookmarkStart w:id="119" w:name="_Toc184043019"/>
      <w:bookmarkStart w:id="120" w:name="_Toc249525166"/>
      <w:bookmarkStart w:id="121" w:name="_Toc70687146"/>
      <w:bookmarkStart w:id="122" w:name="_Toc385992332"/>
      <w:bookmarkStart w:id="123" w:name="_Toc249515285"/>
      <w:bookmarkStart w:id="124" w:name="_Toc389620171"/>
      <w:r>
        <w:rPr>
          <w:rFonts w:ascii="Times New Roman" w:hAnsi="Times New Roman" w:eastAsia="仿宋_GB2312"/>
          <w:b/>
          <w:color w:val="auto"/>
          <w:sz w:val="24"/>
          <w:szCs w:val="21"/>
          <w:highlight w:val="none"/>
        </w:rPr>
        <w:t xml:space="preserve">    通知</w:t>
      </w:r>
      <w:bookmarkEnd w:id="117"/>
    </w:p>
    <w:p w14:paraId="4D231738">
      <w:pPr>
        <w:tabs>
          <w:tab w:val="left" w:pos="588"/>
        </w:tabs>
        <w:spacing w:line="360" w:lineRule="auto"/>
        <w:ind w:left="840" w:hanging="840" w:hangingChars="350"/>
        <w:rPr>
          <w:rFonts w:eastAsia="仿宋_GB2312"/>
          <w:color w:val="auto"/>
          <w:kern w:val="24"/>
          <w:sz w:val="24"/>
          <w:szCs w:val="21"/>
          <w:highlight w:val="none"/>
        </w:rPr>
      </w:pPr>
      <w:r>
        <w:rPr>
          <w:rFonts w:eastAsia="仿宋_GB2312"/>
          <w:color w:val="auto"/>
          <w:kern w:val="24"/>
          <w:sz w:val="24"/>
          <w:szCs w:val="21"/>
          <w:highlight w:val="none"/>
        </w:rPr>
        <w:t>5.1    对与本项目有关的通知，采购人或采购代理机构将以书面（包括书面材料、信函、传真、电子邮件等，下同）的形式，送达所有与通知有关的已</w:t>
      </w:r>
      <w:r>
        <w:rPr>
          <w:rFonts w:hint="eastAsia" w:eastAsia="仿宋_GB2312"/>
          <w:color w:val="auto"/>
          <w:kern w:val="24"/>
          <w:sz w:val="24"/>
          <w:szCs w:val="21"/>
          <w:highlight w:val="none"/>
        </w:rPr>
        <w:t>获取</w:t>
      </w:r>
      <w:r>
        <w:rPr>
          <w:rFonts w:eastAsia="仿宋_GB2312"/>
          <w:color w:val="auto"/>
          <w:kern w:val="24"/>
          <w:sz w:val="24"/>
          <w:szCs w:val="21"/>
          <w:highlight w:val="none"/>
        </w:rPr>
        <w:t>了磋商文件的供应商（潜在供应商），传真号码以供应商登记的为准。供应商应于收到通知后按规定时间以书面方式予以回复确认。因登记有误或传真线路故障导致通知延迟送达或无法送达，采购人或采购代理机构不承担责任。</w:t>
      </w:r>
    </w:p>
    <w:p w14:paraId="56566E5C">
      <w:pPr>
        <w:pStyle w:val="4"/>
        <w:rPr>
          <w:rFonts w:ascii="Times New Roman" w:hAnsi="Times New Roman" w:eastAsia="仿宋_GB2312"/>
          <w:b/>
          <w:color w:val="auto"/>
          <w:sz w:val="24"/>
          <w:szCs w:val="21"/>
          <w:highlight w:val="none"/>
        </w:rPr>
      </w:pPr>
      <w:bookmarkStart w:id="125" w:name="_Toc27223"/>
      <w:r>
        <w:rPr>
          <w:rFonts w:ascii="Times New Roman" w:hAnsi="Times New Roman" w:eastAsia="仿宋_GB2312"/>
          <w:b/>
          <w:color w:val="auto"/>
          <w:sz w:val="24"/>
          <w:szCs w:val="21"/>
          <w:highlight w:val="none"/>
        </w:rPr>
        <w:t>6.     磋商文件的构成</w:t>
      </w:r>
      <w:bookmarkEnd w:id="118"/>
      <w:bookmarkEnd w:id="119"/>
      <w:bookmarkEnd w:id="120"/>
      <w:bookmarkEnd w:id="121"/>
      <w:bookmarkEnd w:id="122"/>
      <w:bookmarkEnd w:id="123"/>
      <w:bookmarkEnd w:id="124"/>
      <w:bookmarkEnd w:id="125"/>
    </w:p>
    <w:p w14:paraId="710299C6">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6.1    磋商文件用以阐明供应商所需提供的服务、工程或货物以及其它类似的义务、采购响应程序和合同条款。磋商文件包括如下五章内容：</w:t>
      </w:r>
    </w:p>
    <w:p w14:paraId="1546377B">
      <w:pPr>
        <w:pStyle w:val="22"/>
        <w:ind w:left="838" w:leftChars="399"/>
        <w:rPr>
          <w:rFonts w:ascii="Times New Roman" w:hAnsi="Times New Roman" w:eastAsia="仿宋_GB2312"/>
          <w:color w:val="auto"/>
          <w:sz w:val="24"/>
          <w:highlight w:val="none"/>
        </w:rPr>
      </w:pPr>
      <w:r>
        <w:rPr>
          <w:rFonts w:ascii="Times New Roman" w:hAnsi="Times New Roman" w:eastAsia="仿宋_GB2312"/>
          <w:color w:val="auto"/>
          <w:sz w:val="24"/>
          <w:highlight w:val="none"/>
        </w:rPr>
        <w:t>第一章</w:t>
      </w:r>
      <w:r>
        <w:rPr>
          <w:rFonts w:ascii="Times New Roman" w:hAnsi="Times New Roman" w:eastAsia="仿宋_GB2312"/>
          <w:color w:val="auto"/>
          <w:sz w:val="24"/>
          <w:highlight w:val="none"/>
        </w:rPr>
        <w:tab/>
      </w:r>
      <w:r>
        <w:rPr>
          <w:rFonts w:ascii="Times New Roman" w:hAnsi="Times New Roman" w:eastAsia="仿宋_GB2312"/>
          <w:color w:val="auto"/>
          <w:sz w:val="24"/>
          <w:highlight w:val="none"/>
        </w:rPr>
        <w:t>磋商公告</w:t>
      </w:r>
    </w:p>
    <w:p w14:paraId="2BE30176">
      <w:pPr>
        <w:pStyle w:val="22"/>
        <w:ind w:left="838" w:leftChars="399"/>
        <w:rPr>
          <w:rFonts w:ascii="Times New Roman" w:hAnsi="Times New Roman" w:eastAsia="仿宋_GB2312"/>
          <w:color w:val="auto"/>
          <w:sz w:val="24"/>
          <w:highlight w:val="none"/>
        </w:rPr>
      </w:pPr>
      <w:r>
        <w:rPr>
          <w:rFonts w:ascii="Times New Roman" w:hAnsi="Times New Roman" w:eastAsia="仿宋_GB2312"/>
          <w:color w:val="auto"/>
          <w:sz w:val="24"/>
          <w:highlight w:val="none"/>
        </w:rPr>
        <w:t>第二章</w:t>
      </w:r>
      <w:r>
        <w:rPr>
          <w:rFonts w:ascii="Times New Roman" w:hAnsi="Times New Roman" w:eastAsia="仿宋_GB2312"/>
          <w:color w:val="auto"/>
          <w:sz w:val="24"/>
          <w:highlight w:val="none"/>
        </w:rPr>
        <w:tab/>
      </w:r>
      <w:r>
        <w:rPr>
          <w:rFonts w:ascii="Times New Roman" w:hAnsi="Times New Roman" w:eastAsia="仿宋_GB2312"/>
          <w:color w:val="auto"/>
          <w:sz w:val="24"/>
          <w:highlight w:val="none"/>
        </w:rPr>
        <w:t>供应商须知</w:t>
      </w:r>
    </w:p>
    <w:p w14:paraId="4BE89268">
      <w:pPr>
        <w:pStyle w:val="22"/>
        <w:ind w:left="838" w:leftChars="399"/>
        <w:rPr>
          <w:rFonts w:ascii="Times New Roman" w:hAnsi="Times New Roman" w:eastAsia="仿宋_GB2312"/>
          <w:color w:val="auto"/>
          <w:sz w:val="24"/>
          <w:highlight w:val="none"/>
        </w:rPr>
      </w:pPr>
      <w:r>
        <w:rPr>
          <w:rFonts w:ascii="Times New Roman" w:hAnsi="Times New Roman" w:eastAsia="仿宋_GB2312"/>
          <w:color w:val="auto"/>
          <w:sz w:val="24"/>
          <w:highlight w:val="none"/>
        </w:rPr>
        <w:t>第三章</w:t>
      </w:r>
      <w:r>
        <w:rPr>
          <w:rFonts w:ascii="Times New Roman" w:hAnsi="Times New Roman" w:eastAsia="仿宋_GB2312"/>
          <w:color w:val="auto"/>
          <w:sz w:val="24"/>
          <w:highlight w:val="none"/>
        </w:rPr>
        <w:tab/>
      </w:r>
      <w:r>
        <w:rPr>
          <w:rFonts w:ascii="Times New Roman" w:hAnsi="Times New Roman" w:eastAsia="仿宋_GB2312"/>
          <w:color w:val="auto"/>
          <w:sz w:val="24"/>
          <w:highlight w:val="none"/>
        </w:rPr>
        <w:t>评审办法和标准</w:t>
      </w:r>
    </w:p>
    <w:p w14:paraId="7167423C">
      <w:pPr>
        <w:pStyle w:val="22"/>
        <w:ind w:left="838" w:leftChars="399"/>
        <w:rPr>
          <w:rFonts w:ascii="Times New Roman" w:hAnsi="Times New Roman" w:eastAsia="仿宋_GB2312"/>
          <w:color w:val="auto"/>
          <w:sz w:val="24"/>
          <w:highlight w:val="none"/>
        </w:rPr>
      </w:pPr>
      <w:r>
        <w:rPr>
          <w:rFonts w:ascii="Times New Roman" w:hAnsi="Times New Roman" w:eastAsia="仿宋_GB2312"/>
          <w:color w:val="auto"/>
          <w:sz w:val="24"/>
          <w:highlight w:val="none"/>
        </w:rPr>
        <w:t>第四章</w:t>
      </w:r>
      <w:r>
        <w:rPr>
          <w:rFonts w:ascii="Times New Roman" w:hAnsi="Times New Roman" w:eastAsia="仿宋_GB2312"/>
          <w:color w:val="auto"/>
          <w:sz w:val="24"/>
          <w:highlight w:val="none"/>
        </w:rPr>
        <w:tab/>
      </w:r>
      <w:r>
        <w:rPr>
          <w:rFonts w:ascii="Times New Roman" w:hAnsi="Times New Roman" w:eastAsia="仿宋_GB2312"/>
          <w:color w:val="auto"/>
          <w:sz w:val="24"/>
          <w:highlight w:val="none"/>
        </w:rPr>
        <w:t>拟签订的合同文本</w:t>
      </w:r>
    </w:p>
    <w:p w14:paraId="2123FDEA">
      <w:pPr>
        <w:pStyle w:val="22"/>
        <w:ind w:left="838" w:leftChars="399"/>
        <w:rPr>
          <w:rFonts w:ascii="Times New Roman" w:hAnsi="Times New Roman" w:eastAsia="仿宋_GB2312"/>
          <w:color w:val="auto"/>
          <w:sz w:val="24"/>
          <w:highlight w:val="none"/>
        </w:rPr>
      </w:pPr>
      <w:r>
        <w:rPr>
          <w:rFonts w:ascii="Times New Roman" w:hAnsi="Times New Roman" w:eastAsia="仿宋_GB2312"/>
          <w:color w:val="auto"/>
          <w:sz w:val="24"/>
          <w:highlight w:val="none"/>
        </w:rPr>
        <w:t>第五章</w:t>
      </w:r>
      <w:r>
        <w:rPr>
          <w:rFonts w:ascii="Times New Roman" w:hAnsi="Times New Roman" w:eastAsia="仿宋_GB2312"/>
          <w:color w:val="auto"/>
          <w:sz w:val="24"/>
          <w:highlight w:val="none"/>
        </w:rPr>
        <w:tab/>
      </w:r>
      <w:r>
        <w:rPr>
          <w:rFonts w:ascii="Times New Roman" w:hAnsi="Times New Roman" w:eastAsia="仿宋_GB2312"/>
          <w:color w:val="auto"/>
          <w:sz w:val="24"/>
          <w:highlight w:val="none"/>
        </w:rPr>
        <w:t>采购内容及要求</w:t>
      </w:r>
    </w:p>
    <w:p w14:paraId="4E095989">
      <w:pPr>
        <w:pStyle w:val="22"/>
        <w:ind w:left="838" w:leftChars="399"/>
        <w:rPr>
          <w:rFonts w:ascii="Times New Roman" w:hAnsi="Times New Roman" w:eastAsia="仿宋_GB2312"/>
          <w:color w:val="auto"/>
          <w:sz w:val="24"/>
          <w:highlight w:val="none"/>
        </w:rPr>
      </w:pPr>
      <w:r>
        <w:rPr>
          <w:rFonts w:ascii="Times New Roman" w:hAnsi="Times New Roman" w:eastAsia="仿宋_GB2312"/>
          <w:color w:val="auto"/>
          <w:sz w:val="24"/>
          <w:highlight w:val="none"/>
        </w:rPr>
        <w:t>第六章</w:t>
      </w:r>
      <w:r>
        <w:rPr>
          <w:rFonts w:ascii="Times New Roman" w:hAnsi="Times New Roman" w:eastAsia="仿宋_GB2312"/>
          <w:color w:val="auto"/>
          <w:sz w:val="24"/>
          <w:highlight w:val="none"/>
        </w:rPr>
        <w:tab/>
      </w:r>
      <w:r>
        <w:rPr>
          <w:rFonts w:ascii="Times New Roman" w:hAnsi="Times New Roman" w:eastAsia="仿宋_GB2312"/>
          <w:color w:val="auto"/>
          <w:sz w:val="24"/>
          <w:highlight w:val="none"/>
        </w:rPr>
        <w:t>磋商响应文件格式</w:t>
      </w:r>
    </w:p>
    <w:p w14:paraId="218CA106">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6.2    供应商应认真阅读磋商文件中所有的事项、格式条款和规范要求等。供应商没有对磋商文件做出全面的实质性响应是供应商的风险。采购人有权拒绝没有对磋商文件要求做出实质性响应的响应文件。</w:t>
      </w:r>
    </w:p>
    <w:p w14:paraId="07989C60">
      <w:pPr>
        <w:pStyle w:val="4"/>
        <w:rPr>
          <w:rFonts w:ascii="Times New Roman" w:hAnsi="Times New Roman" w:eastAsia="仿宋_GB2312"/>
          <w:b/>
          <w:color w:val="auto"/>
          <w:sz w:val="24"/>
          <w:szCs w:val="21"/>
          <w:highlight w:val="none"/>
        </w:rPr>
      </w:pPr>
      <w:bookmarkStart w:id="126" w:name="_Toc184043020"/>
      <w:bookmarkStart w:id="127" w:name="_Toc385992333"/>
      <w:bookmarkStart w:id="128" w:name="_Toc249525167"/>
      <w:bookmarkStart w:id="129" w:name="_Toc389620172"/>
      <w:bookmarkStart w:id="130" w:name="_Toc70687147"/>
      <w:bookmarkStart w:id="131" w:name="_Toc249515398"/>
      <w:bookmarkStart w:id="132" w:name="_Toc249515286"/>
      <w:bookmarkStart w:id="133" w:name="_Toc10350"/>
      <w:r>
        <w:rPr>
          <w:rFonts w:ascii="Times New Roman" w:hAnsi="Times New Roman" w:eastAsia="仿宋_GB2312"/>
          <w:b/>
          <w:color w:val="auto"/>
          <w:sz w:val="24"/>
          <w:szCs w:val="21"/>
          <w:highlight w:val="none"/>
        </w:rPr>
        <w:t>7.     磋商文件的澄清</w:t>
      </w:r>
      <w:bookmarkEnd w:id="126"/>
      <w:bookmarkEnd w:id="127"/>
      <w:bookmarkEnd w:id="128"/>
      <w:bookmarkEnd w:id="129"/>
      <w:bookmarkEnd w:id="130"/>
      <w:bookmarkEnd w:id="131"/>
      <w:bookmarkEnd w:id="132"/>
      <w:r>
        <w:rPr>
          <w:rFonts w:ascii="Times New Roman" w:hAnsi="Times New Roman" w:eastAsia="仿宋_GB2312"/>
          <w:b/>
          <w:color w:val="auto"/>
          <w:sz w:val="24"/>
          <w:szCs w:val="21"/>
          <w:highlight w:val="none"/>
        </w:rPr>
        <w:t>和修改</w:t>
      </w:r>
      <w:bookmarkEnd w:id="133"/>
    </w:p>
    <w:p w14:paraId="300E560F">
      <w:pPr>
        <w:tabs>
          <w:tab w:val="left" w:pos="588"/>
        </w:tabs>
        <w:spacing w:line="360" w:lineRule="auto"/>
        <w:ind w:left="840" w:hanging="840" w:hangingChars="350"/>
        <w:rPr>
          <w:rFonts w:eastAsia="仿宋_GB2312"/>
          <w:color w:val="auto"/>
          <w:sz w:val="24"/>
          <w:highlight w:val="none"/>
        </w:rPr>
      </w:pPr>
      <w:bookmarkStart w:id="134" w:name="_Toc389620173"/>
      <w:bookmarkStart w:id="135" w:name="_Toc70687148"/>
      <w:bookmarkStart w:id="136" w:name="_Toc385992334"/>
      <w:r>
        <w:rPr>
          <w:rFonts w:eastAsia="仿宋_GB2312"/>
          <w:color w:val="auto"/>
          <w:sz w:val="24"/>
          <w:highlight w:val="none"/>
        </w:rPr>
        <w:t xml:space="preserve">7.1    </w:t>
      </w:r>
      <w:bookmarkEnd w:id="134"/>
      <w:bookmarkEnd w:id="135"/>
      <w:bookmarkEnd w:id="136"/>
      <w:bookmarkStart w:id="137" w:name="_Toc503063425"/>
      <w:bookmarkStart w:id="138" w:name="_Toc70687149"/>
      <w:bookmarkStart w:id="139" w:name="_Toc496324582"/>
      <w:bookmarkStart w:id="140" w:name="_Toc499711046"/>
      <w:bookmarkStart w:id="141" w:name="_Toc53722843"/>
      <w:bookmarkStart w:id="142" w:name="_Toc500747192"/>
      <w:bookmarkStart w:id="143" w:name="_Toc500747065"/>
      <w:bookmarkStart w:id="144" w:name="_Toc385992335"/>
      <w:bookmarkStart w:id="145" w:name="_Toc500746969"/>
      <w:bookmarkStart w:id="146" w:name="_Toc499711887"/>
      <w:bookmarkStart w:id="147" w:name="_Toc492955418"/>
      <w:bookmarkStart w:id="148" w:name="_Toc389620174"/>
      <w:r>
        <w:rPr>
          <w:rFonts w:eastAsia="仿宋_GB2312"/>
          <w:color w:val="auto"/>
          <w:sz w:val="24"/>
          <w:highlight w:val="none"/>
        </w:rPr>
        <w:t>在首次响应文件递交截止时间前，采购人或采购代理机构可以对已发出的磋商文件进行必要的澄清或修改，澄清或修改的内容为磋商文件的组成部分。</w:t>
      </w:r>
    </w:p>
    <w:p w14:paraId="7085889B">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7.2    磋商文件的修改将以书面形式通知所有</w:t>
      </w:r>
      <w:r>
        <w:rPr>
          <w:rFonts w:hint="eastAsia" w:eastAsia="仿宋_GB2312"/>
          <w:color w:val="auto"/>
          <w:sz w:val="24"/>
          <w:highlight w:val="none"/>
        </w:rPr>
        <w:t>获取</w:t>
      </w:r>
      <w:r>
        <w:rPr>
          <w:rFonts w:eastAsia="仿宋_GB2312"/>
          <w:color w:val="auto"/>
          <w:sz w:val="24"/>
          <w:highlight w:val="none"/>
        </w:rPr>
        <w:t>磋商文件的供应商，并对其具有约束力。供应商在收到上述通知后，应立即向采购人回函确认。</w:t>
      </w:r>
    </w:p>
    <w:p w14:paraId="41B8ADC8">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7.3    澄清或修改的内容可能影响响应文件编制的，采购人或采购代理机构可适当延长首次响应文件递交截止时间，并以书面形式通知所有</w:t>
      </w:r>
      <w:r>
        <w:rPr>
          <w:rFonts w:hint="eastAsia" w:eastAsia="仿宋_GB2312"/>
          <w:color w:val="auto"/>
          <w:sz w:val="24"/>
          <w:highlight w:val="none"/>
        </w:rPr>
        <w:t>获取</w:t>
      </w:r>
      <w:r>
        <w:rPr>
          <w:rFonts w:eastAsia="仿宋_GB2312"/>
          <w:color w:val="auto"/>
          <w:sz w:val="24"/>
          <w:highlight w:val="none"/>
        </w:rPr>
        <w:t>磋商文件的供应商。</w:t>
      </w:r>
    </w:p>
    <w:p w14:paraId="597A8256">
      <w:pPr>
        <w:pStyle w:val="22"/>
        <w:rPr>
          <w:color w:val="auto"/>
          <w:highlight w:val="none"/>
        </w:rPr>
      </w:pPr>
    </w:p>
    <w:p w14:paraId="0BF002F7">
      <w:pPr>
        <w:pStyle w:val="81"/>
        <w:spacing w:before="24" w:after="24"/>
        <w:ind w:left="3313"/>
        <w:rPr>
          <w:rFonts w:eastAsia="仿宋_GB2312"/>
          <w:color w:val="auto"/>
          <w:sz w:val="30"/>
          <w:szCs w:val="30"/>
          <w:highlight w:val="none"/>
        </w:rPr>
      </w:pPr>
      <w:bookmarkStart w:id="149" w:name="_Toc232395215"/>
      <w:bookmarkStart w:id="150" w:name="_Toc249525169"/>
      <w:bookmarkStart w:id="151" w:name="_Toc249515400"/>
      <w:bookmarkStart w:id="152" w:name="_Toc249515288"/>
      <w:bookmarkStart w:id="153" w:name="_Toc177189238"/>
      <w:bookmarkStart w:id="154" w:name="_Toc184043022"/>
      <w:bookmarkStart w:id="155" w:name="_Toc177995476"/>
      <w:bookmarkStart w:id="156" w:name="_Toc232176275"/>
      <w:bookmarkStart w:id="157" w:name="_Toc16549"/>
      <w:bookmarkStart w:id="158" w:name="_Toc230099800"/>
      <w:bookmarkStart w:id="159" w:name="_Toc176882545"/>
      <w:bookmarkStart w:id="160" w:name="_Toc230583544"/>
      <w:bookmarkStart w:id="161" w:name="_Toc256342146"/>
      <w:bookmarkStart w:id="162" w:name="_Toc230013635"/>
      <w:bookmarkStart w:id="163" w:name="_Toc177817337"/>
      <w:r>
        <w:rPr>
          <w:rFonts w:eastAsia="仿宋_GB2312"/>
          <w:color w:val="auto"/>
          <w:sz w:val="30"/>
          <w:szCs w:val="30"/>
          <w:highlight w:val="none"/>
        </w:rPr>
        <w:t>三、响应文件的编写</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10D15078">
      <w:pPr>
        <w:pStyle w:val="4"/>
        <w:rPr>
          <w:rFonts w:ascii="Times New Roman" w:hAnsi="Times New Roman" w:eastAsia="仿宋_GB2312"/>
          <w:b/>
          <w:color w:val="auto"/>
          <w:sz w:val="24"/>
          <w:szCs w:val="21"/>
          <w:highlight w:val="none"/>
        </w:rPr>
      </w:pPr>
      <w:bookmarkStart w:id="164" w:name="_Toc70687150"/>
      <w:bookmarkStart w:id="165" w:name="_Toc249525170"/>
      <w:bookmarkStart w:id="166" w:name="_Toc249515401"/>
      <w:bookmarkStart w:id="167" w:name="_Toc184043023"/>
      <w:bookmarkStart w:id="168" w:name="_Toc30150"/>
      <w:bookmarkStart w:id="169" w:name="_Toc249515289"/>
      <w:bookmarkStart w:id="170" w:name="_Toc389620176"/>
      <w:bookmarkStart w:id="171" w:name="_Toc385992337"/>
      <w:r>
        <w:rPr>
          <w:rFonts w:ascii="Times New Roman" w:hAnsi="Times New Roman" w:eastAsia="仿宋_GB2312"/>
          <w:b/>
          <w:color w:val="auto"/>
          <w:sz w:val="24"/>
          <w:szCs w:val="21"/>
          <w:highlight w:val="none"/>
        </w:rPr>
        <w:t>8.     响应文件语言</w:t>
      </w:r>
      <w:bookmarkEnd w:id="164"/>
      <w:bookmarkEnd w:id="165"/>
      <w:bookmarkEnd w:id="166"/>
      <w:bookmarkEnd w:id="167"/>
      <w:bookmarkEnd w:id="168"/>
      <w:bookmarkEnd w:id="169"/>
    </w:p>
    <w:p w14:paraId="2A98F030">
      <w:pPr>
        <w:tabs>
          <w:tab w:val="left" w:pos="588"/>
        </w:tabs>
        <w:spacing w:line="360" w:lineRule="auto"/>
        <w:rPr>
          <w:rFonts w:eastAsia="仿宋_GB2312"/>
          <w:color w:val="auto"/>
          <w:sz w:val="24"/>
          <w:highlight w:val="none"/>
        </w:rPr>
      </w:pPr>
      <w:r>
        <w:rPr>
          <w:rFonts w:eastAsia="仿宋_GB2312"/>
          <w:color w:val="auto"/>
          <w:sz w:val="24"/>
          <w:highlight w:val="none"/>
        </w:rPr>
        <w:t>8.1    响应文件及与响应相关的所有文件均应以中文书写。</w:t>
      </w:r>
    </w:p>
    <w:p w14:paraId="7CA76EB6">
      <w:pPr>
        <w:pStyle w:val="4"/>
        <w:rPr>
          <w:rFonts w:ascii="Times New Roman" w:hAnsi="Times New Roman" w:eastAsia="仿宋_GB2312"/>
          <w:b/>
          <w:color w:val="auto"/>
          <w:sz w:val="24"/>
          <w:szCs w:val="21"/>
          <w:highlight w:val="none"/>
        </w:rPr>
      </w:pPr>
      <w:bookmarkStart w:id="172" w:name="_Toc184043024"/>
      <w:bookmarkStart w:id="173" w:name="_Toc249515290"/>
      <w:bookmarkStart w:id="174" w:name="_Toc249525171"/>
      <w:bookmarkStart w:id="175" w:name="_Toc249515402"/>
      <w:bookmarkStart w:id="176" w:name="_Toc70687151"/>
      <w:bookmarkStart w:id="177" w:name="_Toc18327"/>
      <w:r>
        <w:rPr>
          <w:rFonts w:ascii="Times New Roman" w:hAnsi="Times New Roman" w:eastAsia="仿宋_GB2312"/>
          <w:b/>
          <w:color w:val="auto"/>
          <w:sz w:val="24"/>
          <w:szCs w:val="21"/>
          <w:highlight w:val="none"/>
        </w:rPr>
        <w:t>9.     计量单位</w:t>
      </w:r>
      <w:bookmarkEnd w:id="170"/>
      <w:bookmarkEnd w:id="171"/>
      <w:bookmarkEnd w:id="172"/>
      <w:bookmarkEnd w:id="173"/>
      <w:bookmarkEnd w:id="174"/>
      <w:bookmarkEnd w:id="175"/>
      <w:bookmarkEnd w:id="176"/>
      <w:bookmarkEnd w:id="177"/>
    </w:p>
    <w:p w14:paraId="1D17C9DD">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9.1    除在磋商文件的技术规格中另有规定外，计量单位应使用中华人民共和国法定计量单位。</w:t>
      </w:r>
    </w:p>
    <w:p w14:paraId="6D2EDF46">
      <w:pPr>
        <w:pStyle w:val="4"/>
        <w:rPr>
          <w:rFonts w:ascii="Times New Roman" w:hAnsi="Times New Roman" w:eastAsia="仿宋_GB2312"/>
          <w:b/>
          <w:color w:val="auto"/>
          <w:sz w:val="24"/>
          <w:szCs w:val="21"/>
          <w:highlight w:val="none"/>
        </w:rPr>
      </w:pPr>
      <w:bookmarkStart w:id="178" w:name="_Toc70687152"/>
      <w:bookmarkStart w:id="179" w:name="_Toc385992338"/>
      <w:bookmarkStart w:id="180" w:name="_Toc249515291"/>
      <w:bookmarkStart w:id="181" w:name="_Toc249515403"/>
      <w:bookmarkStart w:id="182" w:name="_Toc389620177"/>
      <w:bookmarkStart w:id="183" w:name="_Toc29318"/>
      <w:bookmarkStart w:id="184" w:name="_Toc184043025"/>
      <w:bookmarkStart w:id="185" w:name="_Toc249525172"/>
      <w:r>
        <w:rPr>
          <w:rFonts w:ascii="Times New Roman" w:hAnsi="Times New Roman" w:eastAsia="仿宋_GB2312"/>
          <w:b/>
          <w:color w:val="auto"/>
          <w:sz w:val="24"/>
          <w:szCs w:val="21"/>
          <w:highlight w:val="none"/>
        </w:rPr>
        <w:t>10.    响应文件的组成</w:t>
      </w:r>
      <w:bookmarkEnd w:id="178"/>
      <w:bookmarkEnd w:id="179"/>
      <w:bookmarkEnd w:id="180"/>
      <w:bookmarkEnd w:id="181"/>
      <w:bookmarkEnd w:id="182"/>
      <w:bookmarkEnd w:id="183"/>
      <w:bookmarkEnd w:id="184"/>
      <w:bookmarkEnd w:id="185"/>
    </w:p>
    <w:p w14:paraId="4B636FAB">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10.1   供应商编写的响应文件</w:t>
      </w:r>
      <w:r>
        <w:rPr>
          <w:rFonts w:eastAsia="仿宋_GB2312"/>
          <w:b/>
          <w:color w:val="auto"/>
          <w:sz w:val="24"/>
          <w:highlight w:val="none"/>
        </w:rPr>
        <w:t>由《资格证明文件》、《商务及技术文件》两部分</w:t>
      </w:r>
      <w:r>
        <w:rPr>
          <w:rFonts w:eastAsia="仿宋_GB2312"/>
          <w:color w:val="auto"/>
          <w:sz w:val="24"/>
          <w:highlight w:val="none"/>
        </w:rPr>
        <w:t>组成。供应商应完整地按照磋商文件提供的响应文件格式及要求编写响应文件。响应文件中资格审查和符合性审查涉及的事项不满足要求的，其响应文件将被认定为无效。</w:t>
      </w:r>
    </w:p>
    <w:p w14:paraId="24C6CB56">
      <w:pPr>
        <w:tabs>
          <w:tab w:val="left" w:pos="588"/>
        </w:tabs>
        <w:spacing w:line="360" w:lineRule="auto"/>
        <w:rPr>
          <w:rFonts w:eastAsia="仿宋_GB2312"/>
          <w:color w:val="auto"/>
          <w:sz w:val="24"/>
          <w:highlight w:val="none"/>
        </w:rPr>
      </w:pPr>
      <w:r>
        <w:rPr>
          <w:rFonts w:eastAsia="仿宋_GB2312"/>
          <w:color w:val="auto"/>
          <w:sz w:val="24"/>
          <w:highlight w:val="none"/>
        </w:rPr>
        <w:t>10.2   供应商提供的以上材料必须真实有效，任何一项的虚假将导致其响应被拒绝。</w:t>
      </w:r>
    </w:p>
    <w:p w14:paraId="16447C1B">
      <w:pPr>
        <w:pStyle w:val="4"/>
        <w:rPr>
          <w:rFonts w:ascii="Times New Roman" w:hAnsi="Times New Roman" w:eastAsia="仿宋_GB2312"/>
          <w:b/>
          <w:color w:val="auto"/>
          <w:sz w:val="24"/>
          <w:szCs w:val="21"/>
          <w:highlight w:val="none"/>
        </w:rPr>
      </w:pPr>
      <w:bookmarkStart w:id="186" w:name="_Toc249515404"/>
      <w:bookmarkStart w:id="187" w:name="_Toc249515292"/>
      <w:bookmarkStart w:id="188" w:name="_Toc249525173"/>
      <w:bookmarkStart w:id="189" w:name="_Toc389620178"/>
      <w:bookmarkStart w:id="190" w:name="_Toc70687153"/>
      <w:bookmarkStart w:id="191" w:name="_Toc184043026"/>
      <w:bookmarkStart w:id="192" w:name="_Toc385992339"/>
      <w:bookmarkStart w:id="193" w:name="_Toc26312"/>
      <w:r>
        <w:rPr>
          <w:rFonts w:ascii="Times New Roman" w:hAnsi="Times New Roman" w:eastAsia="仿宋_GB2312"/>
          <w:b/>
          <w:color w:val="auto"/>
          <w:sz w:val="24"/>
          <w:highlight w:val="none"/>
        </w:rPr>
        <w:t>11.    响应文件格式</w:t>
      </w:r>
      <w:bookmarkEnd w:id="186"/>
      <w:bookmarkEnd w:id="187"/>
      <w:bookmarkEnd w:id="188"/>
      <w:bookmarkEnd w:id="189"/>
      <w:bookmarkEnd w:id="190"/>
      <w:bookmarkEnd w:id="191"/>
      <w:bookmarkEnd w:id="192"/>
      <w:bookmarkEnd w:id="193"/>
    </w:p>
    <w:p w14:paraId="0C5BE469">
      <w:pPr>
        <w:tabs>
          <w:tab w:val="left" w:pos="588"/>
        </w:tabs>
        <w:spacing w:line="360" w:lineRule="auto"/>
        <w:ind w:left="840" w:hanging="840" w:hangingChars="350"/>
        <w:rPr>
          <w:rFonts w:eastAsia="仿宋_GB2312"/>
          <w:color w:val="auto"/>
          <w:kern w:val="24"/>
          <w:sz w:val="24"/>
          <w:szCs w:val="21"/>
          <w:highlight w:val="none"/>
        </w:rPr>
      </w:pPr>
      <w:r>
        <w:rPr>
          <w:rFonts w:eastAsia="仿宋_GB2312"/>
          <w:color w:val="auto"/>
          <w:kern w:val="24"/>
          <w:sz w:val="24"/>
          <w:szCs w:val="21"/>
          <w:highlight w:val="none"/>
        </w:rPr>
        <w:t>11.1   对于磋商文件第六章中已经提供了格式的响应文件内容，供应商必须按提供的响应文件格式进行填写和编制，没有提供格式的可自行设计。</w:t>
      </w:r>
    </w:p>
    <w:p w14:paraId="60C52126">
      <w:pPr>
        <w:pStyle w:val="4"/>
        <w:rPr>
          <w:rFonts w:ascii="Times New Roman" w:hAnsi="Times New Roman" w:eastAsia="仿宋_GB2312"/>
          <w:b/>
          <w:color w:val="auto"/>
          <w:sz w:val="24"/>
          <w:szCs w:val="21"/>
          <w:highlight w:val="none"/>
        </w:rPr>
      </w:pPr>
      <w:bookmarkStart w:id="194" w:name="_Toc26688"/>
      <w:r>
        <w:rPr>
          <w:rFonts w:ascii="Times New Roman" w:hAnsi="Times New Roman" w:eastAsia="仿宋_GB2312"/>
          <w:b/>
          <w:color w:val="auto"/>
          <w:sz w:val="24"/>
          <w:szCs w:val="21"/>
          <w:highlight w:val="none"/>
        </w:rPr>
        <w:t>12.    响应报价</w:t>
      </w:r>
      <w:bookmarkEnd w:id="194"/>
    </w:p>
    <w:p w14:paraId="5B95BBBC">
      <w:pPr>
        <w:tabs>
          <w:tab w:val="left" w:pos="0"/>
          <w:tab w:val="left" w:pos="540"/>
          <w:tab w:val="left" w:pos="720"/>
        </w:tabs>
        <w:spacing w:line="360" w:lineRule="auto"/>
        <w:ind w:left="840" w:hanging="840" w:hangingChars="350"/>
        <w:rPr>
          <w:rFonts w:eastAsia="仿宋_GB2312"/>
          <w:color w:val="auto"/>
          <w:highlight w:val="none"/>
        </w:rPr>
      </w:pPr>
      <w:r>
        <w:rPr>
          <w:rFonts w:eastAsia="仿宋_GB2312"/>
          <w:color w:val="auto"/>
          <w:kern w:val="24"/>
          <w:sz w:val="24"/>
          <w:szCs w:val="21"/>
          <w:highlight w:val="none"/>
        </w:rPr>
        <w:t>12.1   响应报价应包括供应商为完成磋商文件中规定的本项目采购内容和范围所需要的全部费用，以及与所报货物、服务相关的所有税费，具体包括但不限于第五章列出的内容。供应商估算错误或漏项的风险一律由供应商承担。见</w:t>
      </w:r>
      <w:r>
        <w:rPr>
          <w:rFonts w:eastAsia="仿宋_GB2312"/>
          <w:b/>
          <w:color w:val="auto"/>
          <w:kern w:val="24"/>
          <w:sz w:val="24"/>
          <w:szCs w:val="21"/>
          <w:highlight w:val="none"/>
        </w:rPr>
        <w:t>供应商须知前附表。</w:t>
      </w:r>
    </w:p>
    <w:p w14:paraId="70EF0C5B">
      <w:pPr>
        <w:tabs>
          <w:tab w:val="left" w:pos="540"/>
          <w:tab w:val="left" w:pos="840"/>
        </w:tabs>
        <w:spacing w:line="360" w:lineRule="auto"/>
        <w:ind w:left="840" w:hanging="840" w:hangingChars="350"/>
        <w:rPr>
          <w:rFonts w:eastAsia="仿宋_GB2312"/>
          <w:color w:val="auto"/>
          <w:kern w:val="24"/>
          <w:sz w:val="24"/>
          <w:szCs w:val="21"/>
          <w:highlight w:val="none"/>
        </w:rPr>
      </w:pPr>
      <w:r>
        <w:rPr>
          <w:rFonts w:eastAsia="仿宋_GB2312"/>
          <w:color w:val="auto"/>
          <w:kern w:val="24"/>
          <w:sz w:val="24"/>
          <w:szCs w:val="21"/>
          <w:highlight w:val="none"/>
        </w:rPr>
        <w:t>12.2   供应商应在响应分项报价表中详细列出所报货物和</w:t>
      </w:r>
      <w:r>
        <w:rPr>
          <w:rFonts w:eastAsia="仿宋_GB2312"/>
          <w:color w:val="auto"/>
          <w:sz w:val="24"/>
          <w:highlight w:val="none"/>
        </w:rPr>
        <w:t>服务</w:t>
      </w:r>
      <w:r>
        <w:rPr>
          <w:rFonts w:eastAsia="仿宋_GB2312"/>
          <w:color w:val="auto"/>
          <w:kern w:val="24"/>
          <w:sz w:val="24"/>
          <w:szCs w:val="21"/>
          <w:highlight w:val="none"/>
        </w:rPr>
        <w:t>的单价（如适用）和总价，并由法定代表人或其授权代表签署并加盖公章。响应分项报价表上的价格应按磋商文件第六章的格式填写。</w:t>
      </w:r>
    </w:p>
    <w:p w14:paraId="2B43873A">
      <w:pPr>
        <w:tabs>
          <w:tab w:val="left" w:pos="180"/>
          <w:tab w:val="left" w:pos="540"/>
        </w:tabs>
        <w:spacing w:line="360" w:lineRule="auto"/>
        <w:ind w:left="840" w:hanging="840" w:hangingChars="350"/>
        <w:rPr>
          <w:rFonts w:eastAsia="仿宋_GB2312"/>
          <w:color w:val="auto"/>
          <w:kern w:val="24"/>
          <w:sz w:val="24"/>
          <w:szCs w:val="21"/>
          <w:highlight w:val="none"/>
        </w:rPr>
      </w:pPr>
      <w:r>
        <w:rPr>
          <w:rFonts w:eastAsia="仿宋_GB2312"/>
          <w:color w:val="auto"/>
          <w:kern w:val="24"/>
          <w:sz w:val="24"/>
          <w:szCs w:val="21"/>
          <w:highlight w:val="none"/>
        </w:rPr>
        <w:t>12.3   响应分项报价表的总价应和响应报价一览表的响应报价相一致，也包括供应商为完成本项目所发生的一切费用且已包括与所报服务相关的所有税费。若响应分项报价表的总价和响应报价一览表的响应报价不一致，则供应商的报价以《响应报价一览表》的响应报价为准。</w:t>
      </w:r>
    </w:p>
    <w:p w14:paraId="5083B8E0">
      <w:pPr>
        <w:tabs>
          <w:tab w:val="left" w:pos="180"/>
          <w:tab w:val="left" w:pos="540"/>
        </w:tabs>
        <w:spacing w:line="360" w:lineRule="auto"/>
        <w:ind w:left="840" w:hanging="840" w:hangingChars="350"/>
        <w:rPr>
          <w:rFonts w:eastAsia="仿宋_GB2312"/>
          <w:color w:val="auto"/>
          <w:kern w:val="24"/>
          <w:sz w:val="24"/>
          <w:szCs w:val="21"/>
          <w:highlight w:val="none"/>
        </w:rPr>
      </w:pPr>
      <w:r>
        <w:rPr>
          <w:rFonts w:eastAsia="仿宋_GB2312"/>
          <w:color w:val="auto"/>
          <w:kern w:val="24"/>
          <w:sz w:val="24"/>
          <w:szCs w:val="21"/>
          <w:highlight w:val="none"/>
        </w:rPr>
        <w:t>12.4   供应商的所报单价在合同执行过程中是固定不变的，未经采购人许可不得以任何理由予以变更。以可调整的价格提交的响应文件将作为非实质性响应而予以拒绝。</w:t>
      </w:r>
    </w:p>
    <w:p w14:paraId="79785126">
      <w:pPr>
        <w:tabs>
          <w:tab w:val="left" w:pos="588"/>
        </w:tabs>
        <w:spacing w:line="360" w:lineRule="auto"/>
        <w:ind w:left="840" w:hanging="840" w:hangingChars="350"/>
        <w:rPr>
          <w:rFonts w:eastAsia="仿宋_GB2312"/>
          <w:color w:val="auto"/>
          <w:kern w:val="24"/>
          <w:sz w:val="24"/>
          <w:szCs w:val="21"/>
          <w:highlight w:val="none"/>
        </w:rPr>
      </w:pPr>
      <w:r>
        <w:rPr>
          <w:rFonts w:eastAsia="仿宋_GB2312"/>
          <w:color w:val="auto"/>
          <w:kern w:val="24"/>
          <w:sz w:val="24"/>
          <w:szCs w:val="21"/>
          <w:highlight w:val="none"/>
        </w:rPr>
        <w:t>12.5   供应商每次对每种</w:t>
      </w:r>
      <w:r>
        <w:rPr>
          <w:rFonts w:eastAsia="仿宋_GB2312"/>
          <w:color w:val="auto"/>
          <w:kern w:val="24"/>
          <w:sz w:val="24"/>
          <w:szCs w:val="21"/>
          <w:highlight w:val="none"/>
          <w:u w:val="single"/>
        </w:rPr>
        <w:t xml:space="preserve"> 服务（或工程、或产品）</w:t>
      </w:r>
      <w:r>
        <w:rPr>
          <w:rFonts w:eastAsia="仿宋_GB2312"/>
          <w:color w:val="auto"/>
          <w:kern w:val="24"/>
          <w:sz w:val="24"/>
          <w:szCs w:val="21"/>
          <w:highlight w:val="none"/>
        </w:rPr>
        <w:t>只允许有一个报价，采购人不接受有任何选择的报价。</w:t>
      </w:r>
    </w:p>
    <w:p w14:paraId="4F0EAD95">
      <w:pPr>
        <w:tabs>
          <w:tab w:val="left" w:pos="180"/>
          <w:tab w:val="left" w:pos="540"/>
        </w:tabs>
        <w:spacing w:line="360" w:lineRule="auto"/>
        <w:ind w:left="840" w:hanging="840" w:hangingChars="350"/>
        <w:rPr>
          <w:rFonts w:eastAsia="仿宋_GB2312"/>
          <w:color w:val="auto"/>
          <w:kern w:val="24"/>
          <w:sz w:val="24"/>
          <w:szCs w:val="21"/>
          <w:highlight w:val="none"/>
        </w:rPr>
      </w:pPr>
      <w:r>
        <w:rPr>
          <w:rFonts w:eastAsia="仿宋_GB2312"/>
          <w:color w:val="auto"/>
          <w:sz w:val="24"/>
          <w:highlight w:val="none"/>
        </w:rPr>
        <w:t>12.6   供应商根据本须知12.2条规定将响应报价分成几部分并按</w:t>
      </w:r>
      <w:r>
        <w:rPr>
          <w:rFonts w:eastAsia="仿宋_GB2312"/>
          <w:color w:val="auto"/>
          <w:kern w:val="24"/>
          <w:sz w:val="24"/>
          <w:szCs w:val="21"/>
          <w:highlight w:val="none"/>
        </w:rPr>
        <w:t>磋商文件第六章提供的格式填写“响应分项报价表”，只是为了方便采购人对响应文件进行比较，并不限制采购人以其它方式签订合同的权力。</w:t>
      </w:r>
    </w:p>
    <w:p w14:paraId="3F0D41C8">
      <w:pPr>
        <w:pStyle w:val="4"/>
        <w:rPr>
          <w:rFonts w:ascii="Times New Roman" w:hAnsi="Times New Roman" w:eastAsia="仿宋_GB2312"/>
          <w:b/>
          <w:color w:val="auto"/>
          <w:sz w:val="24"/>
          <w:szCs w:val="21"/>
          <w:highlight w:val="none"/>
        </w:rPr>
      </w:pPr>
      <w:bookmarkStart w:id="195" w:name="_Toc70687155"/>
      <w:bookmarkStart w:id="196" w:name="_Toc249515406"/>
      <w:bookmarkStart w:id="197" w:name="_Toc184043028"/>
      <w:bookmarkStart w:id="198" w:name="_Toc389620180"/>
      <w:bookmarkStart w:id="199" w:name="_Toc249525175"/>
      <w:bookmarkStart w:id="200" w:name="_Toc20687"/>
      <w:bookmarkStart w:id="201" w:name="_Toc385992341"/>
      <w:bookmarkStart w:id="202" w:name="_Toc249515294"/>
      <w:r>
        <w:rPr>
          <w:rFonts w:ascii="Times New Roman" w:hAnsi="Times New Roman" w:eastAsia="仿宋_GB2312"/>
          <w:b/>
          <w:color w:val="auto"/>
          <w:sz w:val="24"/>
          <w:szCs w:val="21"/>
          <w:highlight w:val="none"/>
        </w:rPr>
        <w:t>13.    报价货币</w:t>
      </w:r>
      <w:bookmarkEnd w:id="195"/>
      <w:bookmarkEnd w:id="196"/>
      <w:bookmarkEnd w:id="197"/>
      <w:bookmarkEnd w:id="198"/>
      <w:bookmarkEnd w:id="199"/>
      <w:bookmarkEnd w:id="200"/>
      <w:bookmarkEnd w:id="201"/>
      <w:bookmarkEnd w:id="202"/>
    </w:p>
    <w:p w14:paraId="0F8DDA08">
      <w:pPr>
        <w:tabs>
          <w:tab w:val="left" w:pos="180"/>
          <w:tab w:val="left" w:pos="540"/>
        </w:tabs>
        <w:spacing w:line="360" w:lineRule="auto"/>
        <w:ind w:left="840" w:hanging="840" w:hangingChars="350"/>
        <w:rPr>
          <w:rFonts w:eastAsia="仿宋_GB2312"/>
          <w:color w:val="auto"/>
          <w:kern w:val="24"/>
          <w:sz w:val="24"/>
          <w:szCs w:val="21"/>
          <w:highlight w:val="none"/>
        </w:rPr>
      </w:pPr>
      <w:r>
        <w:rPr>
          <w:rFonts w:eastAsia="仿宋_GB2312"/>
          <w:color w:val="auto"/>
          <w:kern w:val="24"/>
          <w:sz w:val="24"/>
          <w:szCs w:val="21"/>
          <w:highlight w:val="none"/>
        </w:rPr>
        <w:t>12.3   磋商响应函、响应报价一览表、响应分项报价表、最后报价表等所有报价一律用人民币填报。采购人不接受任何非人民币币种的报价。</w:t>
      </w:r>
      <w:bookmarkStart w:id="203" w:name="_Toc385992342"/>
      <w:bookmarkStart w:id="204" w:name="_Toc389620181"/>
    </w:p>
    <w:bookmarkEnd w:id="203"/>
    <w:bookmarkEnd w:id="204"/>
    <w:p w14:paraId="640DC7F9">
      <w:pPr>
        <w:pStyle w:val="4"/>
        <w:rPr>
          <w:rFonts w:ascii="Times New Roman" w:hAnsi="Times New Roman" w:eastAsia="仿宋_GB2312"/>
          <w:b/>
          <w:color w:val="auto"/>
          <w:kern w:val="24"/>
          <w:sz w:val="24"/>
          <w:szCs w:val="21"/>
          <w:highlight w:val="none"/>
        </w:rPr>
      </w:pPr>
      <w:bookmarkStart w:id="205" w:name="止观"/>
      <w:bookmarkEnd w:id="205"/>
      <w:r>
        <w:rPr>
          <w:rFonts w:ascii="Times New Roman" w:hAnsi="Times New Roman" w:eastAsia="仿宋_GB2312"/>
          <w:b/>
          <w:color w:val="auto"/>
          <w:sz w:val="24"/>
          <w:szCs w:val="21"/>
          <w:highlight w:val="none"/>
        </w:rPr>
        <w:t>14.    磋商保证金</w:t>
      </w:r>
    </w:p>
    <w:p w14:paraId="7044C392">
      <w:pPr>
        <w:tabs>
          <w:tab w:val="left" w:pos="588"/>
        </w:tabs>
        <w:spacing w:line="360" w:lineRule="auto"/>
        <w:ind w:left="840" w:hanging="840" w:hangingChars="350"/>
        <w:rPr>
          <w:rFonts w:eastAsia="仿宋_GB2312"/>
          <w:color w:val="auto"/>
          <w:kern w:val="24"/>
          <w:sz w:val="24"/>
          <w:szCs w:val="21"/>
          <w:highlight w:val="none"/>
        </w:rPr>
      </w:pPr>
      <w:r>
        <w:rPr>
          <w:rFonts w:eastAsia="仿宋_GB2312"/>
          <w:color w:val="auto"/>
          <w:sz w:val="24"/>
          <w:szCs w:val="21"/>
          <w:highlight w:val="none"/>
        </w:rPr>
        <w:t>14.1   本项目须在磋商前向采购代理机构提供</w:t>
      </w:r>
      <w:r>
        <w:rPr>
          <w:rFonts w:eastAsia="仿宋_GB2312"/>
          <w:b/>
          <w:color w:val="auto"/>
          <w:sz w:val="24"/>
          <w:szCs w:val="21"/>
          <w:highlight w:val="none"/>
        </w:rPr>
        <w:t>供应商须知前附表</w:t>
      </w:r>
      <w:r>
        <w:rPr>
          <w:rFonts w:eastAsia="仿宋_GB2312"/>
          <w:color w:val="auto"/>
          <w:sz w:val="24"/>
          <w:szCs w:val="21"/>
          <w:highlight w:val="none"/>
        </w:rPr>
        <w:t>规定金额的保证金，并作为其响应文件的一部分。</w:t>
      </w:r>
    </w:p>
    <w:p w14:paraId="37D82C40">
      <w:pPr>
        <w:tabs>
          <w:tab w:val="left" w:pos="588"/>
        </w:tabs>
        <w:spacing w:line="360" w:lineRule="auto"/>
        <w:rPr>
          <w:rFonts w:eastAsia="仿宋_GB2312"/>
          <w:color w:val="auto"/>
          <w:kern w:val="24"/>
          <w:sz w:val="24"/>
          <w:szCs w:val="21"/>
          <w:highlight w:val="none"/>
        </w:rPr>
      </w:pPr>
      <w:r>
        <w:rPr>
          <w:rFonts w:eastAsia="仿宋_GB2312"/>
          <w:color w:val="auto"/>
          <w:kern w:val="24"/>
          <w:sz w:val="24"/>
          <w:szCs w:val="21"/>
          <w:highlight w:val="none"/>
        </w:rPr>
        <w:t>14.2   保证金的货币为人民币，并采用下列任何一种非现金形式向采购代理机构递交：</w:t>
      </w:r>
    </w:p>
    <w:p w14:paraId="23A6E3F2">
      <w:pPr>
        <w:numPr>
          <w:ilvl w:val="0"/>
          <w:numId w:val="7"/>
        </w:numPr>
        <w:tabs>
          <w:tab w:val="left" w:pos="588"/>
        </w:tabs>
        <w:spacing w:line="360" w:lineRule="auto"/>
        <w:ind w:hanging="5"/>
        <w:rPr>
          <w:rFonts w:eastAsia="仿宋_GB2312"/>
          <w:color w:val="auto"/>
          <w:kern w:val="24"/>
          <w:sz w:val="24"/>
          <w:szCs w:val="21"/>
          <w:highlight w:val="none"/>
        </w:rPr>
      </w:pPr>
      <w:r>
        <w:rPr>
          <w:rFonts w:eastAsia="仿宋_GB2312"/>
          <w:color w:val="auto"/>
          <w:kern w:val="24"/>
          <w:sz w:val="24"/>
          <w:szCs w:val="21"/>
          <w:highlight w:val="none"/>
        </w:rPr>
        <w:t>电汇；</w:t>
      </w:r>
    </w:p>
    <w:p w14:paraId="208BE332">
      <w:pPr>
        <w:numPr>
          <w:ilvl w:val="0"/>
          <w:numId w:val="7"/>
        </w:numPr>
        <w:tabs>
          <w:tab w:val="left" w:pos="588"/>
        </w:tabs>
        <w:spacing w:line="360" w:lineRule="auto"/>
        <w:ind w:hanging="5"/>
        <w:rPr>
          <w:rFonts w:eastAsia="仿宋_GB2312"/>
          <w:color w:val="auto"/>
          <w:kern w:val="24"/>
          <w:sz w:val="24"/>
          <w:szCs w:val="21"/>
          <w:highlight w:val="none"/>
        </w:rPr>
      </w:pPr>
      <w:r>
        <w:rPr>
          <w:rFonts w:eastAsia="仿宋_GB2312"/>
          <w:color w:val="auto"/>
          <w:kern w:val="24"/>
          <w:sz w:val="24"/>
          <w:szCs w:val="21"/>
          <w:highlight w:val="none"/>
        </w:rPr>
        <w:t>银行转账；</w:t>
      </w:r>
    </w:p>
    <w:p w14:paraId="3BC6F780">
      <w:pPr>
        <w:numPr>
          <w:ilvl w:val="0"/>
          <w:numId w:val="7"/>
        </w:numPr>
        <w:tabs>
          <w:tab w:val="left" w:pos="588"/>
        </w:tabs>
        <w:spacing w:line="360" w:lineRule="auto"/>
        <w:ind w:hanging="5"/>
        <w:rPr>
          <w:rFonts w:eastAsia="仿宋_GB2312"/>
          <w:color w:val="auto"/>
          <w:kern w:val="24"/>
          <w:sz w:val="24"/>
          <w:szCs w:val="21"/>
          <w:highlight w:val="none"/>
        </w:rPr>
      </w:pPr>
      <w:r>
        <w:rPr>
          <w:rFonts w:eastAsia="仿宋_GB2312"/>
          <w:color w:val="auto"/>
          <w:kern w:val="24"/>
          <w:sz w:val="24"/>
          <w:szCs w:val="21"/>
          <w:highlight w:val="none"/>
        </w:rPr>
        <w:t>支票、汇票、本票、金融机构或担保机构出具的保函等非现金形式。</w:t>
      </w:r>
    </w:p>
    <w:p w14:paraId="51A53D9E">
      <w:pPr>
        <w:tabs>
          <w:tab w:val="left" w:pos="588"/>
        </w:tabs>
        <w:spacing w:line="360" w:lineRule="auto"/>
        <w:ind w:left="840" w:hanging="840" w:hangingChars="350"/>
        <w:rPr>
          <w:rFonts w:eastAsia="仿宋_GB2312"/>
          <w:color w:val="auto"/>
          <w:kern w:val="24"/>
          <w:sz w:val="24"/>
          <w:szCs w:val="21"/>
          <w:highlight w:val="none"/>
        </w:rPr>
      </w:pPr>
      <w:r>
        <w:rPr>
          <w:rFonts w:eastAsia="仿宋_GB2312"/>
          <w:color w:val="auto"/>
          <w:kern w:val="24"/>
          <w:sz w:val="24"/>
          <w:szCs w:val="21"/>
          <w:highlight w:val="none"/>
        </w:rPr>
        <w:t>14.3   保证金以保函形式交纳的，供应商须按格式和内容开具保函，并将保函原件附在磋商响应文件中或随磋商响应文件同时递交，否则视为无效文件。联合体参加磋商的，可以由联合体中的一方或者共同提交保证金，以一方提交保证金的，对联合体各方均具有约束力。</w:t>
      </w:r>
    </w:p>
    <w:p w14:paraId="54A2BA37">
      <w:pPr>
        <w:tabs>
          <w:tab w:val="left" w:pos="588"/>
        </w:tabs>
        <w:spacing w:line="360" w:lineRule="auto"/>
        <w:ind w:left="840" w:hanging="840" w:hangingChars="350"/>
        <w:rPr>
          <w:rFonts w:eastAsia="仿宋_GB2312"/>
          <w:color w:val="auto"/>
          <w:kern w:val="24"/>
          <w:sz w:val="24"/>
          <w:szCs w:val="21"/>
          <w:highlight w:val="none"/>
        </w:rPr>
      </w:pPr>
      <w:r>
        <w:rPr>
          <w:rFonts w:eastAsia="仿宋_GB2312"/>
          <w:color w:val="auto"/>
          <w:kern w:val="24"/>
          <w:sz w:val="24"/>
          <w:szCs w:val="21"/>
          <w:highlight w:val="none"/>
        </w:rPr>
        <w:t>14.4   凡没有根据本须知第14.1条的规定随附保证金的响应文件，将被视为非响应性予以拒绝。</w:t>
      </w:r>
    </w:p>
    <w:p w14:paraId="0CCC8C78">
      <w:pPr>
        <w:tabs>
          <w:tab w:val="left" w:pos="588"/>
        </w:tabs>
        <w:spacing w:line="360" w:lineRule="auto"/>
        <w:ind w:left="840" w:hanging="840" w:hangingChars="350"/>
        <w:rPr>
          <w:rFonts w:eastAsia="仿宋_GB2312"/>
          <w:color w:val="auto"/>
          <w:kern w:val="24"/>
          <w:sz w:val="24"/>
          <w:szCs w:val="21"/>
          <w:highlight w:val="none"/>
        </w:rPr>
      </w:pPr>
      <w:r>
        <w:rPr>
          <w:rFonts w:eastAsia="仿宋_GB2312"/>
          <w:color w:val="auto"/>
          <w:kern w:val="24"/>
          <w:sz w:val="24"/>
          <w:szCs w:val="21"/>
          <w:highlight w:val="none"/>
        </w:rPr>
        <w:t>14.5   未成交供应商的保证金, 采购代理机构将在成交通知书发出后5个工作日内退还。</w:t>
      </w:r>
    </w:p>
    <w:p w14:paraId="35EB7D66">
      <w:pPr>
        <w:tabs>
          <w:tab w:val="left" w:pos="588"/>
        </w:tabs>
        <w:spacing w:line="360" w:lineRule="auto"/>
        <w:rPr>
          <w:rFonts w:eastAsia="仿宋_GB2312"/>
          <w:color w:val="auto"/>
          <w:kern w:val="24"/>
          <w:sz w:val="24"/>
          <w:szCs w:val="21"/>
          <w:highlight w:val="none"/>
        </w:rPr>
      </w:pPr>
      <w:r>
        <w:rPr>
          <w:rFonts w:eastAsia="仿宋_GB2312"/>
          <w:color w:val="auto"/>
          <w:kern w:val="24"/>
          <w:sz w:val="24"/>
          <w:szCs w:val="21"/>
          <w:highlight w:val="none"/>
        </w:rPr>
        <w:t>14.6   成交供应商的保证金在按本须知第26条规定签订合同后5个工作日退还。</w:t>
      </w:r>
    </w:p>
    <w:p w14:paraId="52EA2014">
      <w:pPr>
        <w:tabs>
          <w:tab w:val="left" w:pos="588"/>
        </w:tabs>
        <w:spacing w:line="360" w:lineRule="auto"/>
        <w:ind w:left="840" w:hanging="840" w:hangingChars="350"/>
        <w:rPr>
          <w:rFonts w:eastAsia="仿宋_GB2312"/>
          <w:color w:val="auto"/>
          <w:kern w:val="24"/>
          <w:sz w:val="24"/>
          <w:szCs w:val="21"/>
          <w:highlight w:val="none"/>
        </w:rPr>
      </w:pPr>
      <w:r>
        <w:rPr>
          <w:rFonts w:eastAsia="仿宋_GB2312"/>
          <w:color w:val="auto"/>
          <w:kern w:val="24"/>
          <w:sz w:val="24"/>
          <w:szCs w:val="21"/>
          <w:highlight w:val="none"/>
        </w:rPr>
        <w:t>14.7   成交供应商有下列情形之一的，采购代理机构不予退还其交纳的保证金，并在项目财政主管部门备案；情节严重的，由财政部门将其列入不良行为纪录名单予以通报，在一至三年内禁止参加政府采购活动：</w:t>
      </w:r>
    </w:p>
    <w:p w14:paraId="1D1BB397">
      <w:pPr>
        <w:numPr>
          <w:ilvl w:val="0"/>
          <w:numId w:val="8"/>
        </w:numPr>
        <w:tabs>
          <w:tab w:val="left" w:pos="588"/>
        </w:tabs>
        <w:spacing w:line="360" w:lineRule="auto"/>
        <w:ind w:hanging="5"/>
        <w:rPr>
          <w:rFonts w:eastAsia="仿宋_GB2312"/>
          <w:color w:val="auto"/>
          <w:kern w:val="24"/>
          <w:sz w:val="24"/>
          <w:szCs w:val="21"/>
          <w:highlight w:val="none"/>
        </w:rPr>
      </w:pPr>
      <w:r>
        <w:rPr>
          <w:rFonts w:eastAsia="仿宋_GB2312"/>
          <w:color w:val="auto"/>
          <w:kern w:val="24"/>
          <w:sz w:val="24"/>
          <w:szCs w:val="21"/>
          <w:highlight w:val="none"/>
        </w:rPr>
        <w:t>供应商在提交响应文件截止时间后撤销响应文件的；</w:t>
      </w:r>
    </w:p>
    <w:p w14:paraId="10684AF4">
      <w:pPr>
        <w:numPr>
          <w:ilvl w:val="0"/>
          <w:numId w:val="8"/>
        </w:numPr>
        <w:tabs>
          <w:tab w:val="left" w:pos="588"/>
        </w:tabs>
        <w:spacing w:line="360" w:lineRule="auto"/>
        <w:ind w:hanging="5"/>
        <w:rPr>
          <w:rFonts w:eastAsia="仿宋_GB2312"/>
          <w:color w:val="auto"/>
          <w:kern w:val="24"/>
          <w:sz w:val="24"/>
          <w:szCs w:val="21"/>
          <w:highlight w:val="none"/>
        </w:rPr>
      </w:pPr>
      <w:r>
        <w:rPr>
          <w:rFonts w:eastAsia="仿宋_GB2312"/>
          <w:color w:val="auto"/>
          <w:kern w:val="24"/>
          <w:sz w:val="24"/>
          <w:szCs w:val="21"/>
          <w:highlight w:val="none"/>
        </w:rPr>
        <w:t>供应商在响应文件中提供虚假材料的；</w:t>
      </w:r>
    </w:p>
    <w:p w14:paraId="38C28F47">
      <w:pPr>
        <w:numPr>
          <w:ilvl w:val="0"/>
          <w:numId w:val="8"/>
        </w:numPr>
        <w:tabs>
          <w:tab w:val="left" w:pos="588"/>
        </w:tabs>
        <w:spacing w:line="360" w:lineRule="auto"/>
        <w:ind w:hanging="5"/>
        <w:rPr>
          <w:rFonts w:eastAsia="仿宋_GB2312"/>
          <w:color w:val="auto"/>
          <w:kern w:val="24"/>
          <w:sz w:val="24"/>
          <w:szCs w:val="21"/>
          <w:highlight w:val="none"/>
        </w:rPr>
      </w:pPr>
      <w:r>
        <w:rPr>
          <w:rFonts w:eastAsia="仿宋_GB2312"/>
          <w:color w:val="auto"/>
          <w:kern w:val="24"/>
          <w:sz w:val="24"/>
          <w:szCs w:val="21"/>
          <w:highlight w:val="none"/>
        </w:rPr>
        <w:t xml:space="preserve">除因不可抗力外，成交供应商在规定期限内未能根据本须知第26条规定签订合同； </w:t>
      </w:r>
    </w:p>
    <w:p w14:paraId="2C01A78E">
      <w:pPr>
        <w:numPr>
          <w:ilvl w:val="0"/>
          <w:numId w:val="8"/>
        </w:numPr>
        <w:tabs>
          <w:tab w:val="left" w:pos="588"/>
        </w:tabs>
        <w:spacing w:line="360" w:lineRule="auto"/>
        <w:ind w:hanging="5"/>
        <w:rPr>
          <w:rFonts w:eastAsia="仿宋_GB2312"/>
          <w:color w:val="auto"/>
          <w:kern w:val="24"/>
          <w:sz w:val="24"/>
          <w:szCs w:val="21"/>
          <w:highlight w:val="none"/>
        </w:rPr>
      </w:pPr>
      <w:r>
        <w:rPr>
          <w:rFonts w:eastAsia="仿宋_GB2312"/>
          <w:color w:val="auto"/>
          <w:kern w:val="24"/>
          <w:sz w:val="24"/>
          <w:szCs w:val="21"/>
          <w:highlight w:val="none"/>
        </w:rPr>
        <w:t>供应商与采购人、其他供应商或者采购代理机构恶意串通的；</w:t>
      </w:r>
    </w:p>
    <w:p w14:paraId="12D51EB1">
      <w:pPr>
        <w:numPr>
          <w:ilvl w:val="0"/>
          <w:numId w:val="8"/>
        </w:numPr>
        <w:tabs>
          <w:tab w:val="left" w:pos="588"/>
        </w:tabs>
        <w:spacing w:line="360" w:lineRule="auto"/>
        <w:ind w:hanging="5"/>
        <w:rPr>
          <w:rFonts w:eastAsia="仿宋_GB2312"/>
          <w:color w:val="auto"/>
          <w:kern w:val="24"/>
          <w:sz w:val="24"/>
          <w:szCs w:val="21"/>
          <w:highlight w:val="none"/>
        </w:rPr>
      </w:pPr>
      <w:r>
        <w:rPr>
          <w:rFonts w:eastAsia="仿宋_GB2312"/>
          <w:color w:val="auto"/>
          <w:kern w:val="24"/>
          <w:sz w:val="24"/>
          <w:szCs w:val="21"/>
          <w:highlight w:val="none"/>
        </w:rPr>
        <w:t>成交供应商未按本须知第29条规定缴纳服务费。</w:t>
      </w:r>
    </w:p>
    <w:p w14:paraId="544D584C">
      <w:pPr>
        <w:pStyle w:val="4"/>
        <w:rPr>
          <w:rFonts w:ascii="Times New Roman" w:hAnsi="Times New Roman" w:eastAsia="仿宋_GB2312"/>
          <w:b/>
          <w:color w:val="auto"/>
          <w:sz w:val="24"/>
          <w:szCs w:val="21"/>
          <w:highlight w:val="none"/>
        </w:rPr>
      </w:pPr>
      <w:bookmarkStart w:id="206" w:name="_Toc249515408"/>
      <w:bookmarkStart w:id="207" w:name="_Toc249525177"/>
      <w:bookmarkStart w:id="208" w:name="_Toc7949"/>
      <w:bookmarkStart w:id="209" w:name="_Toc249515296"/>
      <w:r>
        <w:rPr>
          <w:rFonts w:ascii="Times New Roman" w:hAnsi="Times New Roman" w:eastAsia="仿宋_GB2312"/>
          <w:b/>
          <w:color w:val="auto"/>
          <w:sz w:val="24"/>
          <w:szCs w:val="21"/>
          <w:highlight w:val="none"/>
        </w:rPr>
        <w:t>15.    磋商有效期</w:t>
      </w:r>
      <w:bookmarkEnd w:id="206"/>
      <w:bookmarkEnd w:id="207"/>
      <w:bookmarkEnd w:id="208"/>
      <w:bookmarkEnd w:id="209"/>
    </w:p>
    <w:p w14:paraId="6216934F">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15.1   磋商有效期见</w:t>
      </w:r>
      <w:r>
        <w:rPr>
          <w:rFonts w:eastAsia="仿宋_GB2312"/>
          <w:b/>
          <w:color w:val="auto"/>
          <w:sz w:val="24"/>
          <w:highlight w:val="none"/>
        </w:rPr>
        <w:t>本须知前附表</w:t>
      </w:r>
      <w:r>
        <w:rPr>
          <w:rFonts w:eastAsia="仿宋_GB2312"/>
          <w:color w:val="auto"/>
          <w:sz w:val="24"/>
          <w:highlight w:val="none"/>
        </w:rPr>
        <w:t>。在磋商有效期内，所有响应文件均保持有效。响应文件的有效期比本须知规定的有效期短的，将被视为非实质响应，采购人有权拒绝。</w:t>
      </w:r>
    </w:p>
    <w:p w14:paraId="1B4EBD36">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15.2   特殊情况下，采购人可于原磋商有效期满之前要求供应商同意延长有效期，要求与答复均应为书面形式。供应商可以拒绝上述要求，其投标保证金不被没收。对于同意该要求的供应商，既不要求也不允许其修改响应文件，但将要求其相应延长磋商保证金的有效期，有关退还和保证金不予退还的规定在磋商有效期的延长期内继续有效。</w:t>
      </w:r>
    </w:p>
    <w:p w14:paraId="74FE0FEC">
      <w:pPr>
        <w:pStyle w:val="4"/>
        <w:rPr>
          <w:rFonts w:ascii="Times New Roman" w:hAnsi="Times New Roman" w:eastAsia="仿宋_GB2312"/>
          <w:b/>
          <w:color w:val="auto"/>
          <w:sz w:val="24"/>
          <w:szCs w:val="21"/>
          <w:highlight w:val="none"/>
        </w:rPr>
      </w:pPr>
      <w:bookmarkStart w:id="210" w:name="_Toc249515409"/>
      <w:bookmarkStart w:id="211" w:name="_Toc385992346"/>
      <w:bookmarkStart w:id="212" w:name="_Toc389620185"/>
      <w:bookmarkStart w:id="213" w:name="_Toc184043033"/>
      <w:bookmarkStart w:id="214" w:name="_Toc70687160"/>
      <w:bookmarkStart w:id="215" w:name="_Toc249515297"/>
      <w:bookmarkStart w:id="216" w:name="_Toc249525178"/>
      <w:bookmarkStart w:id="217" w:name="_Toc16612"/>
      <w:r>
        <w:rPr>
          <w:rFonts w:ascii="Times New Roman" w:hAnsi="Times New Roman" w:eastAsia="仿宋_GB2312"/>
          <w:b/>
          <w:color w:val="auto"/>
          <w:sz w:val="24"/>
          <w:szCs w:val="21"/>
          <w:highlight w:val="none"/>
        </w:rPr>
        <w:t>16.    响应文件的制作和签署</w:t>
      </w:r>
      <w:bookmarkEnd w:id="210"/>
      <w:bookmarkEnd w:id="211"/>
      <w:bookmarkEnd w:id="212"/>
      <w:bookmarkEnd w:id="213"/>
      <w:bookmarkEnd w:id="214"/>
      <w:bookmarkEnd w:id="215"/>
      <w:bookmarkEnd w:id="216"/>
      <w:bookmarkEnd w:id="217"/>
    </w:p>
    <w:p w14:paraId="5A0D3317">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16.1   供应商应准备“</w:t>
      </w:r>
      <w:r>
        <w:rPr>
          <w:rFonts w:eastAsia="仿宋_GB2312"/>
          <w:b/>
          <w:color w:val="auto"/>
          <w:sz w:val="24"/>
          <w:highlight w:val="none"/>
        </w:rPr>
        <w:t>供应商须知前附表</w:t>
      </w:r>
      <w:r>
        <w:rPr>
          <w:rFonts w:eastAsia="仿宋_GB2312"/>
          <w:color w:val="auto"/>
          <w:sz w:val="24"/>
          <w:highlight w:val="none"/>
        </w:rPr>
        <w:t>”中规定数目的</w:t>
      </w:r>
      <w:r>
        <w:rPr>
          <w:rFonts w:hint="eastAsia" w:eastAsia="仿宋_GB2312"/>
          <w:color w:val="auto"/>
          <w:sz w:val="24"/>
          <w:highlight w:val="none"/>
          <w:lang w:eastAsia="zh-CN"/>
        </w:rPr>
        <w:t>文件。</w:t>
      </w:r>
    </w:p>
    <w:p w14:paraId="6DCFE516">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16.2   响应文件须用中文编写，并采用A4纸张装订成册。装订须牢固，不易拆散和换页，采用软胶装，不得采用活页方式装订，封面不建议硬装。</w:t>
      </w:r>
    </w:p>
    <w:p w14:paraId="690B213D">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16.3   响应文件的正本，一律用不褪色的墨水书写或打印，签字页加盖供应商单位公章，并由供应商的法定代表人或其授权的代理人签署。响应文件的副本可采用正本的复印件。</w:t>
      </w:r>
    </w:p>
    <w:p w14:paraId="2212D929">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16.4   任何行间插字、涂改或增删，必须由响应文件签字人将姓或首字母在旁边签字才有效。</w:t>
      </w:r>
    </w:p>
    <w:p w14:paraId="6051D6B3">
      <w:pPr>
        <w:tabs>
          <w:tab w:val="left" w:pos="588"/>
        </w:tabs>
        <w:spacing w:line="360" w:lineRule="auto"/>
        <w:rPr>
          <w:rFonts w:eastAsia="仿宋_GB2312"/>
          <w:color w:val="auto"/>
          <w:sz w:val="24"/>
          <w:highlight w:val="none"/>
        </w:rPr>
      </w:pPr>
      <w:r>
        <w:rPr>
          <w:rFonts w:eastAsia="仿宋_GB2312"/>
          <w:color w:val="auto"/>
          <w:sz w:val="24"/>
          <w:highlight w:val="none"/>
        </w:rPr>
        <w:t>16.5   采购人不接受以电报、电话、传真、电子邮件形式递交的响应文件。</w:t>
      </w:r>
    </w:p>
    <w:p w14:paraId="67B4CBB6">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16.6   供应商在磋商过程中，签订、履行、通知等事项的书面文件中的单位盖章、印章、公章等处均应使用与供应商全称相一致的公章，不得使用其他形式（如带有“专用章”等字样）的印章。如响应过程中供应商使用专用章，须提供特别说明函，明确该专用章作为相关响应文件的盖章，其效力等同于公章（该特别说明函须同时加盖供应商公章和供应商专用章）。</w:t>
      </w:r>
    </w:p>
    <w:p w14:paraId="0E219611">
      <w:pPr>
        <w:tabs>
          <w:tab w:val="left" w:pos="588"/>
        </w:tabs>
        <w:spacing w:line="360" w:lineRule="auto"/>
        <w:ind w:left="840" w:hanging="840" w:hangingChars="350"/>
        <w:rPr>
          <w:rFonts w:eastAsia="仿宋_GB2312"/>
          <w:color w:val="auto"/>
          <w:sz w:val="24"/>
          <w:highlight w:val="none"/>
        </w:rPr>
      </w:pPr>
      <w:bookmarkStart w:id="218" w:name="_Hlt491765640"/>
      <w:bookmarkEnd w:id="218"/>
      <w:bookmarkStart w:id="219" w:name="_Toc177189239"/>
      <w:bookmarkStart w:id="220" w:name="_Toc177995477"/>
      <w:bookmarkStart w:id="221" w:name="_Toc256342147"/>
      <w:bookmarkStart w:id="222" w:name="_Toc496324583"/>
      <w:bookmarkStart w:id="223" w:name="_Toc176882546"/>
      <w:bookmarkStart w:id="224" w:name="_Toc232176276"/>
      <w:bookmarkStart w:id="225" w:name="_Toc249515410"/>
      <w:bookmarkStart w:id="226" w:name="_Toc53722844"/>
      <w:bookmarkStart w:id="227" w:name="_Toc230583545"/>
      <w:bookmarkStart w:id="228" w:name="_Toc500747193"/>
      <w:bookmarkStart w:id="229" w:name="_Toc70687161"/>
      <w:bookmarkStart w:id="230" w:name="_Toc249525179"/>
      <w:bookmarkStart w:id="231" w:name="_Toc184043034"/>
      <w:bookmarkStart w:id="232" w:name="_Toc499711047"/>
      <w:bookmarkStart w:id="233" w:name="_Toc230013636"/>
      <w:bookmarkStart w:id="234" w:name="_Toc503063426"/>
      <w:bookmarkStart w:id="235" w:name="_Toc500746970"/>
      <w:bookmarkStart w:id="236" w:name="_Toc249515298"/>
      <w:bookmarkStart w:id="237" w:name="_Toc232395216"/>
      <w:bookmarkStart w:id="238" w:name="_Toc389620186"/>
      <w:bookmarkStart w:id="239" w:name="_Toc385992347"/>
      <w:bookmarkStart w:id="240" w:name="_Toc177817338"/>
      <w:bookmarkStart w:id="241" w:name="_Toc499711888"/>
      <w:bookmarkStart w:id="242" w:name="_Toc230099801"/>
      <w:bookmarkStart w:id="243" w:name="_Toc492955419"/>
      <w:bookmarkStart w:id="244" w:name="_Toc500747066"/>
      <w:r>
        <w:rPr>
          <w:rFonts w:eastAsia="仿宋_GB2312"/>
          <w:color w:val="auto"/>
          <w:sz w:val="24"/>
          <w:highlight w:val="none"/>
        </w:rPr>
        <w:t xml:space="preserve">16.7   </w:t>
      </w:r>
      <w:r>
        <w:rPr>
          <w:rFonts w:hint="eastAsia" w:eastAsia="仿宋_GB2312"/>
          <w:color w:val="auto"/>
          <w:sz w:val="24"/>
          <w:highlight w:val="none"/>
        </w:rPr>
        <w:t>上述文件应按照</w:t>
      </w:r>
      <w:r>
        <w:rPr>
          <w:rFonts w:hint="eastAsia" w:eastAsia="仿宋_GB2312"/>
          <w:color w:val="auto"/>
          <w:sz w:val="24"/>
          <w:highlight w:val="none"/>
          <w:lang w:val="en-US" w:eastAsia="zh-CN"/>
        </w:rPr>
        <w:t>磋商</w:t>
      </w:r>
      <w:r>
        <w:rPr>
          <w:rFonts w:hint="eastAsia" w:eastAsia="仿宋_GB2312"/>
          <w:color w:val="auto"/>
          <w:sz w:val="24"/>
          <w:highlight w:val="none"/>
        </w:rPr>
        <w:t>文件的规定签署和盖公章。电子</w:t>
      </w:r>
      <w:r>
        <w:rPr>
          <w:rFonts w:hint="eastAsia" w:eastAsia="仿宋_GB2312"/>
          <w:color w:val="auto"/>
          <w:sz w:val="24"/>
          <w:highlight w:val="none"/>
          <w:lang w:val="en-US" w:eastAsia="zh-CN"/>
        </w:rPr>
        <w:t>响应</w:t>
      </w:r>
      <w:r>
        <w:rPr>
          <w:rFonts w:hint="eastAsia" w:eastAsia="仿宋_GB2312"/>
          <w:color w:val="auto"/>
          <w:sz w:val="24"/>
          <w:highlight w:val="none"/>
        </w:rPr>
        <w:t>文件制作过程中，需要法定代表人签字或盖章的地方，请使用“法人CA锁”进行签章；需要加盖</w:t>
      </w:r>
      <w:r>
        <w:rPr>
          <w:rFonts w:hint="eastAsia" w:eastAsia="仿宋_GB2312"/>
          <w:color w:val="auto"/>
          <w:sz w:val="24"/>
          <w:highlight w:val="none"/>
          <w:lang w:eastAsia="zh-CN"/>
        </w:rPr>
        <w:t>供应商</w:t>
      </w:r>
      <w:r>
        <w:rPr>
          <w:rFonts w:hint="eastAsia" w:eastAsia="仿宋_GB2312"/>
          <w:color w:val="auto"/>
          <w:sz w:val="24"/>
          <w:highlight w:val="none"/>
        </w:rPr>
        <w:t>公章的地方，请使用“企业CA锁”进行签章。</w:t>
      </w:r>
      <w:r>
        <w:rPr>
          <w:rFonts w:eastAsia="仿宋_GB2312"/>
          <w:color w:val="auto"/>
          <w:sz w:val="24"/>
          <w:highlight w:val="none"/>
        </w:rPr>
        <w:t>。</w:t>
      </w:r>
    </w:p>
    <w:p w14:paraId="55AAE422">
      <w:pPr>
        <w:pStyle w:val="22"/>
        <w:rPr>
          <w:color w:val="auto"/>
          <w:highlight w:val="none"/>
        </w:rPr>
      </w:pPr>
    </w:p>
    <w:p w14:paraId="62E4051F">
      <w:pPr>
        <w:pStyle w:val="81"/>
        <w:spacing w:before="24" w:after="24"/>
        <w:jc w:val="center"/>
        <w:rPr>
          <w:rFonts w:eastAsia="仿宋_GB2312"/>
          <w:color w:val="auto"/>
          <w:sz w:val="30"/>
          <w:szCs w:val="30"/>
          <w:highlight w:val="none"/>
        </w:rPr>
      </w:pPr>
      <w:bookmarkStart w:id="245" w:name="_Toc30883"/>
      <w:r>
        <w:rPr>
          <w:rFonts w:eastAsia="仿宋_GB2312"/>
          <w:color w:val="auto"/>
          <w:sz w:val="30"/>
          <w:szCs w:val="30"/>
          <w:highlight w:val="none"/>
        </w:rPr>
        <w:t>四、响应文件的</w:t>
      </w:r>
      <w:r>
        <w:rPr>
          <w:rFonts w:hint="eastAsia" w:eastAsia="仿宋_GB2312"/>
          <w:color w:val="auto"/>
          <w:sz w:val="30"/>
          <w:szCs w:val="30"/>
          <w:highlight w:val="none"/>
          <w:lang w:val="en-US" w:eastAsia="zh-CN"/>
        </w:rPr>
        <w:t>加密</w:t>
      </w:r>
      <w:r>
        <w:rPr>
          <w:rFonts w:eastAsia="仿宋_GB2312"/>
          <w:color w:val="auto"/>
          <w:sz w:val="30"/>
          <w:szCs w:val="30"/>
          <w:highlight w:val="none"/>
        </w:rPr>
        <w:t>和递交</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p w14:paraId="129A4719">
      <w:pPr>
        <w:rPr>
          <w:rFonts w:eastAsia="仿宋_GB2312"/>
          <w:color w:val="auto"/>
          <w:highlight w:val="none"/>
        </w:rPr>
      </w:pPr>
    </w:p>
    <w:p w14:paraId="49696874">
      <w:pPr>
        <w:pStyle w:val="4"/>
        <w:rPr>
          <w:rFonts w:ascii="Times New Roman" w:hAnsi="Times New Roman" w:eastAsia="仿宋_GB2312"/>
          <w:b/>
          <w:color w:val="auto"/>
          <w:sz w:val="24"/>
          <w:szCs w:val="21"/>
          <w:highlight w:val="none"/>
        </w:rPr>
      </w:pPr>
      <w:bookmarkStart w:id="246" w:name="_Toc389620187"/>
      <w:bookmarkStart w:id="247" w:name="_Toc249525180"/>
      <w:bookmarkStart w:id="248" w:name="_Toc4042"/>
      <w:bookmarkStart w:id="249" w:name="_Toc249515411"/>
      <w:bookmarkStart w:id="250" w:name="_Toc249515299"/>
      <w:bookmarkStart w:id="251" w:name="_Toc184043035"/>
      <w:bookmarkStart w:id="252" w:name="_Toc385992348"/>
      <w:bookmarkStart w:id="253" w:name="_Toc70687162"/>
      <w:r>
        <w:rPr>
          <w:rFonts w:ascii="Times New Roman" w:hAnsi="Times New Roman" w:eastAsia="仿宋_GB2312"/>
          <w:b/>
          <w:color w:val="auto"/>
          <w:sz w:val="24"/>
          <w:szCs w:val="21"/>
          <w:highlight w:val="none"/>
        </w:rPr>
        <w:t>17.    响应文件的密封和标记</w:t>
      </w:r>
      <w:bookmarkEnd w:id="246"/>
      <w:bookmarkEnd w:id="247"/>
      <w:bookmarkEnd w:id="248"/>
      <w:bookmarkEnd w:id="249"/>
      <w:bookmarkEnd w:id="250"/>
      <w:bookmarkEnd w:id="251"/>
      <w:bookmarkEnd w:id="252"/>
      <w:bookmarkEnd w:id="253"/>
    </w:p>
    <w:p w14:paraId="3265EF84">
      <w:pPr>
        <w:tabs>
          <w:tab w:val="left" w:pos="588"/>
        </w:tabs>
        <w:spacing w:line="360" w:lineRule="auto"/>
        <w:ind w:left="840" w:hanging="840" w:hangingChars="350"/>
        <w:rPr>
          <w:rFonts w:hint="eastAsia" w:eastAsia="仿宋_GB2312"/>
          <w:color w:val="auto"/>
          <w:kern w:val="0"/>
          <w:sz w:val="24"/>
          <w:szCs w:val="21"/>
          <w:highlight w:val="none"/>
        </w:rPr>
      </w:pPr>
      <w:bookmarkStart w:id="254" w:name="_Toc389620188"/>
      <w:bookmarkStart w:id="255" w:name="_Toc385992349"/>
      <w:bookmarkStart w:id="256" w:name="_Toc184043036"/>
      <w:bookmarkStart w:id="257" w:name="_Toc70687163"/>
      <w:r>
        <w:rPr>
          <w:rFonts w:eastAsia="仿宋_GB2312"/>
          <w:color w:val="auto"/>
          <w:kern w:val="0"/>
          <w:sz w:val="24"/>
          <w:szCs w:val="21"/>
          <w:highlight w:val="none"/>
        </w:rPr>
        <w:t xml:space="preserve">17.1   </w:t>
      </w:r>
      <w:r>
        <w:rPr>
          <w:rFonts w:hint="eastAsia" w:eastAsia="仿宋_GB2312"/>
          <w:color w:val="auto"/>
          <w:kern w:val="0"/>
          <w:sz w:val="24"/>
          <w:szCs w:val="21"/>
          <w:highlight w:val="none"/>
        </w:rPr>
        <w:t>电子</w:t>
      </w:r>
      <w:r>
        <w:rPr>
          <w:rFonts w:hint="eastAsia" w:eastAsia="仿宋_GB2312"/>
          <w:color w:val="auto"/>
          <w:kern w:val="0"/>
          <w:sz w:val="24"/>
          <w:szCs w:val="21"/>
          <w:highlight w:val="none"/>
          <w:lang w:val="en-US" w:eastAsia="zh-CN"/>
        </w:rPr>
        <w:t>响应</w:t>
      </w:r>
      <w:r>
        <w:rPr>
          <w:rFonts w:hint="eastAsia" w:eastAsia="仿宋_GB2312"/>
          <w:color w:val="auto"/>
          <w:kern w:val="0"/>
          <w:sz w:val="24"/>
          <w:szCs w:val="21"/>
          <w:highlight w:val="none"/>
        </w:rPr>
        <w:t>文件可于提交</w:t>
      </w:r>
      <w:r>
        <w:rPr>
          <w:rFonts w:hint="eastAsia" w:eastAsia="仿宋_GB2312"/>
          <w:color w:val="auto"/>
          <w:kern w:val="0"/>
          <w:sz w:val="24"/>
          <w:szCs w:val="21"/>
          <w:highlight w:val="none"/>
          <w:lang w:val="en-US" w:eastAsia="zh-CN"/>
        </w:rPr>
        <w:t>响应</w:t>
      </w:r>
      <w:r>
        <w:rPr>
          <w:rFonts w:hint="eastAsia" w:eastAsia="仿宋_GB2312"/>
          <w:color w:val="auto"/>
          <w:kern w:val="0"/>
          <w:sz w:val="24"/>
          <w:szCs w:val="21"/>
          <w:highlight w:val="none"/>
        </w:rPr>
        <w:t>文件截止时间前任意时段，登录</w:t>
      </w:r>
      <w:r>
        <w:rPr>
          <w:rFonts w:hint="eastAsia" w:eastAsia="仿宋_GB2312"/>
          <w:color w:val="auto"/>
          <w:kern w:val="0"/>
          <w:sz w:val="24"/>
          <w:szCs w:val="21"/>
          <w:highlight w:val="none"/>
          <w:lang w:val="en-US" w:eastAsia="zh-CN"/>
        </w:rPr>
        <w:t>西咸新区</w:t>
      </w:r>
      <w:r>
        <w:rPr>
          <w:rFonts w:hint="eastAsia" w:eastAsia="仿宋_GB2312"/>
          <w:color w:val="auto"/>
          <w:kern w:val="0"/>
          <w:sz w:val="24"/>
          <w:szCs w:val="21"/>
          <w:highlight w:val="none"/>
        </w:rPr>
        <w:t>公共资源交易平台〖首页·〉电子交易平台·〉企业端〗，登录后切换到〖我的项目〗模块下，依次点选〖项目流程·〉项目管理·〉上传投标文件〗，上传加密后的电子</w:t>
      </w:r>
      <w:r>
        <w:rPr>
          <w:rFonts w:hint="eastAsia" w:eastAsia="仿宋_GB2312"/>
          <w:color w:val="auto"/>
          <w:kern w:val="0"/>
          <w:sz w:val="24"/>
          <w:szCs w:val="21"/>
          <w:highlight w:val="none"/>
          <w:lang w:val="en-US" w:eastAsia="zh-CN"/>
        </w:rPr>
        <w:t>响应</w:t>
      </w:r>
      <w:r>
        <w:rPr>
          <w:rFonts w:hint="eastAsia" w:eastAsia="仿宋_GB2312"/>
          <w:color w:val="auto"/>
          <w:kern w:val="0"/>
          <w:sz w:val="24"/>
          <w:szCs w:val="21"/>
          <w:highlight w:val="none"/>
        </w:rPr>
        <w:t>文件（*.SXSTF）。上传成功后，</w:t>
      </w:r>
      <w:r>
        <w:rPr>
          <w:rFonts w:hint="eastAsia" w:eastAsia="仿宋_GB2312"/>
          <w:color w:val="auto"/>
          <w:kern w:val="0"/>
          <w:sz w:val="24"/>
          <w:szCs w:val="21"/>
          <w:highlight w:val="none"/>
          <w:lang w:eastAsia="zh-CN"/>
        </w:rPr>
        <w:t>西咸新区</w:t>
      </w:r>
      <w:r>
        <w:rPr>
          <w:rFonts w:hint="eastAsia" w:eastAsia="仿宋_GB2312"/>
          <w:color w:val="auto"/>
          <w:kern w:val="0"/>
          <w:sz w:val="24"/>
          <w:szCs w:val="21"/>
          <w:highlight w:val="none"/>
        </w:rPr>
        <w:t>公共资源交易平台政府采购系统将予以记录。</w:t>
      </w:r>
    </w:p>
    <w:p w14:paraId="0EE2E01C">
      <w:pPr>
        <w:tabs>
          <w:tab w:val="left" w:pos="588"/>
        </w:tabs>
        <w:autoSpaceDE w:val="0"/>
        <w:autoSpaceDN w:val="0"/>
        <w:adjustRightInd w:val="0"/>
        <w:spacing w:line="360" w:lineRule="auto"/>
        <w:ind w:left="840" w:hanging="840" w:hangingChars="350"/>
        <w:rPr>
          <w:rFonts w:eastAsia="仿宋_GB2312"/>
          <w:color w:val="auto"/>
          <w:sz w:val="24"/>
          <w:szCs w:val="21"/>
          <w:highlight w:val="none"/>
        </w:rPr>
      </w:pPr>
      <w:r>
        <w:rPr>
          <w:rFonts w:eastAsia="仿宋_GB2312"/>
          <w:color w:val="auto"/>
          <w:kern w:val="0"/>
          <w:sz w:val="24"/>
          <w:szCs w:val="21"/>
          <w:highlight w:val="none"/>
        </w:rPr>
        <w:t xml:space="preserve">17.2   </w:t>
      </w:r>
      <w:r>
        <w:rPr>
          <w:rFonts w:hint="eastAsia" w:eastAsia="仿宋_GB2312"/>
          <w:color w:val="auto"/>
          <w:kern w:val="0"/>
          <w:sz w:val="24"/>
          <w:szCs w:val="21"/>
          <w:highlight w:val="none"/>
          <w:lang w:val="en-US" w:eastAsia="zh-CN"/>
        </w:rPr>
        <w:t>文件加密要求按照全国公共资源交易平台（陕西省·西咸新区）平台有关要求进行</w:t>
      </w:r>
      <w:r>
        <w:rPr>
          <w:rFonts w:eastAsia="仿宋_GB2312"/>
          <w:color w:val="auto"/>
          <w:sz w:val="24"/>
          <w:szCs w:val="21"/>
          <w:highlight w:val="none"/>
        </w:rPr>
        <w:t>。</w:t>
      </w:r>
    </w:p>
    <w:p w14:paraId="2450FC0B">
      <w:pPr>
        <w:pStyle w:val="22"/>
        <w:ind w:left="840" w:hanging="840" w:hangingChars="350"/>
        <w:rPr>
          <w:rFonts w:ascii="Times New Roman" w:hAnsi="Times New Roman" w:eastAsia="仿宋_GB2312"/>
          <w:color w:val="auto"/>
          <w:sz w:val="24"/>
          <w:highlight w:val="none"/>
        </w:rPr>
      </w:pPr>
      <w:r>
        <w:rPr>
          <w:rFonts w:ascii="Times New Roman" w:hAnsi="Times New Roman" w:eastAsia="仿宋_GB2312"/>
          <w:color w:val="auto"/>
          <w:sz w:val="24"/>
          <w:highlight w:val="none"/>
        </w:rPr>
        <w:t>17.3   书面方式不能准确描述采购需求或者需要对样品进行主观判断以确认是否满足采购需求的情况下需提交样品。成交单位样品不予退还，成为合同内容的一部分，做为验收依据。样品的要求见</w:t>
      </w:r>
      <w:r>
        <w:rPr>
          <w:rFonts w:ascii="Times New Roman" w:hAnsi="Times New Roman" w:eastAsia="仿宋_GB2312"/>
          <w:b/>
          <w:color w:val="auto"/>
          <w:sz w:val="24"/>
          <w:highlight w:val="none"/>
        </w:rPr>
        <w:t>供应商须知前附表</w:t>
      </w:r>
      <w:r>
        <w:rPr>
          <w:rFonts w:ascii="Times New Roman" w:hAnsi="Times New Roman" w:eastAsia="仿宋_GB2312"/>
          <w:color w:val="auto"/>
          <w:sz w:val="24"/>
          <w:highlight w:val="none"/>
        </w:rPr>
        <w:t>。</w:t>
      </w:r>
    </w:p>
    <w:bookmarkEnd w:id="254"/>
    <w:bookmarkEnd w:id="255"/>
    <w:p w14:paraId="54817662">
      <w:pPr>
        <w:pStyle w:val="4"/>
        <w:rPr>
          <w:rFonts w:ascii="Times New Roman" w:hAnsi="Times New Roman" w:eastAsia="仿宋_GB2312"/>
          <w:b/>
          <w:color w:val="auto"/>
          <w:sz w:val="24"/>
          <w:szCs w:val="21"/>
          <w:highlight w:val="none"/>
        </w:rPr>
      </w:pPr>
      <w:bookmarkStart w:id="258" w:name="_Toc249515300"/>
      <w:bookmarkStart w:id="259" w:name="_Toc249525181"/>
      <w:bookmarkStart w:id="260" w:name="_Toc249515412"/>
      <w:bookmarkStart w:id="261" w:name="_Toc31171"/>
      <w:r>
        <w:rPr>
          <w:rFonts w:ascii="Times New Roman" w:hAnsi="Times New Roman" w:eastAsia="仿宋_GB2312"/>
          <w:b/>
          <w:color w:val="auto"/>
          <w:sz w:val="24"/>
          <w:szCs w:val="21"/>
          <w:highlight w:val="none"/>
        </w:rPr>
        <w:t>18.    响应文件递交截止时间</w:t>
      </w:r>
      <w:bookmarkEnd w:id="256"/>
      <w:bookmarkEnd w:id="257"/>
      <w:bookmarkEnd w:id="258"/>
      <w:bookmarkEnd w:id="259"/>
      <w:bookmarkEnd w:id="260"/>
      <w:bookmarkEnd w:id="261"/>
    </w:p>
    <w:p w14:paraId="1E695C92">
      <w:pPr>
        <w:tabs>
          <w:tab w:val="left" w:pos="588"/>
        </w:tabs>
        <w:spacing w:line="360" w:lineRule="auto"/>
        <w:rPr>
          <w:rFonts w:eastAsia="仿宋_GB2312"/>
          <w:color w:val="auto"/>
          <w:sz w:val="24"/>
          <w:highlight w:val="none"/>
        </w:rPr>
      </w:pPr>
      <w:bookmarkStart w:id="262" w:name="_Toc389620189"/>
      <w:bookmarkStart w:id="263" w:name="_Toc385992350"/>
      <w:bookmarkStart w:id="264" w:name="_Toc70687164"/>
      <w:bookmarkStart w:id="265" w:name="_Toc184043037"/>
      <w:r>
        <w:rPr>
          <w:rFonts w:eastAsia="仿宋_GB2312"/>
          <w:color w:val="auto"/>
          <w:sz w:val="24"/>
          <w:highlight w:val="none"/>
        </w:rPr>
        <w:t>18.1   响应文件递交截止时间和地点见</w:t>
      </w:r>
      <w:r>
        <w:rPr>
          <w:rFonts w:eastAsia="仿宋_GB2312"/>
          <w:b/>
          <w:color w:val="auto"/>
          <w:sz w:val="24"/>
          <w:highlight w:val="none"/>
        </w:rPr>
        <w:t>供应商须知前附表</w:t>
      </w:r>
      <w:r>
        <w:rPr>
          <w:rFonts w:eastAsia="仿宋_GB2312"/>
          <w:color w:val="auto"/>
          <w:sz w:val="24"/>
          <w:highlight w:val="none"/>
        </w:rPr>
        <w:t>。</w:t>
      </w:r>
    </w:p>
    <w:p w14:paraId="46D0A505">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 xml:space="preserve">18.2   </w:t>
      </w:r>
      <w:r>
        <w:rPr>
          <w:rFonts w:hint="eastAsia" w:eastAsia="仿宋_GB2312"/>
          <w:color w:val="auto"/>
          <w:sz w:val="24"/>
          <w:highlight w:val="none"/>
          <w:lang w:eastAsia="zh-CN"/>
        </w:rPr>
        <w:t>供应商</w:t>
      </w:r>
      <w:r>
        <w:rPr>
          <w:rFonts w:hint="eastAsia" w:eastAsia="仿宋_GB2312"/>
          <w:color w:val="auto"/>
          <w:sz w:val="24"/>
          <w:highlight w:val="none"/>
        </w:rPr>
        <w:t>在提交</w:t>
      </w:r>
      <w:r>
        <w:rPr>
          <w:rFonts w:hint="eastAsia" w:eastAsia="仿宋_GB2312"/>
          <w:color w:val="auto"/>
          <w:kern w:val="0"/>
          <w:sz w:val="24"/>
          <w:szCs w:val="21"/>
          <w:highlight w:val="none"/>
          <w:lang w:val="en-US" w:eastAsia="zh-CN"/>
        </w:rPr>
        <w:t>响应</w:t>
      </w:r>
      <w:r>
        <w:rPr>
          <w:rFonts w:hint="eastAsia" w:eastAsia="仿宋_GB2312"/>
          <w:color w:val="auto"/>
          <w:sz w:val="24"/>
          <w:highlight w:val="none"/>
        </w:rPr>
        <w:t>文件截止时间前，可以对所提交的</w:t>
      </w:r>
      <w:r>
        <w:rPr>
          <w:rFonts w:hint="eastAsia" w:eastAsia="仿宋_GB2312"/>
          <w:color w:val="auto"/>
          <w:kern w:val="0"/>
          <w:sz w:val="24"/>
          <w:szCs w:val="21"/>
          <w:highlight w:val="none"/>
          <w:lang w:val="en-US" w:eastAsia="zh-CN"/>
        </w:rPr>
        <w:t>响应</w:t>
      </w:r>
      <w:r>
        <w:rPr>
          <w:rFonts w:hint="eastAsia" w:eastAsia="仿宋_GB2312"/>
          <w:color w:val="auto"/>
          <w:sz w:val="24"/>
          <w:highlight w:val="none"/>
        </w:rPr>
        <w:t>文件进行补充、修改或者撤回，并书面通知采购人、采购代理机构。补充、修改的内容作为</w:t>
      </w:r>
      <w:r>
        <w:rPr>
          <w:rFonts w:hint="eastAsia" w:eastAsia="仿宋_GB2312"/>
          <w:color w:val="auto"/>
          <w:kern w:val="0"/>
          <w:sz w:val="24"/>
          <w:szCs w:val="21"/>
          <w:highlight w:val="none"/>
          <w:lang w:val="en-US" w:eastAsia="zh-CN"/>
        </w:rPr>
        <w:t>响应</w:t>
      </w:r>
      <w:r>
        <w:rPr>
          <w:rFonts w:hint="eastAsia" w:eastAsia="仿宋_GB2312"/>
          <w:color w:val="auto"/>
          <w:sz w:val="24"/>
          <w:highlight w:val="none"/>
        </w:rPr>
        <w:t>文件的组成部分。补充、修改的内容与</w:t>
      </w:r>
      <w:r>
        <w:rPr>
          <w:rFonts w:hint="eastAsia" w:eastAsia="仿宋_GB2312"/>
          <w:color w:val="auto"/>
          <w:kern w:val="0"/>
          <w:sz w:val="24"/>
          <w:szCs w:val="21"/>
          <w:highlight w:val="none"/>
          <w:lang w:val="en-US" w:eastAsia="zh-CN"/>
        </w:rPr>
        <w:t>响应</w:t>
      </w:r>
      <w:r>
        <w:rPr>
          <w:rFonts w:hint="eastAsia" w:eastAsia="仿宋_GB2312"/>
          <w:color w:val="auto"/>
          <w:sz w:val="24"/>
          <w:highlight w:val="none"/>
        </w:rPr>
        <w:t>文件不一致的，以补充、修改的内容为准。对已提交的电子</w:t>
      </w:r>
      <w:r>
        <w:rPr>
          <w:rFonts w:hint="eastAsia" w:eastAsia="仿宋_GB2312"/>
          <w:color w:val="auto"/>
          <w:kern w:val="0"/>
          <w:sz w:val="24"/>
          <w:szCs w:val="21"/>
          <w:highlight w:val="none"/>
          <w:lang w:val="en-US" w:eastAsia="zh-CN"/>
        </w:rPr>
        <w:t>响应</w:t>
      </w:r>
      <w:r>
        <w:rPr>
          <w:rFonts w:hint="eastAsia" w:eastAsia="仿宋_GB2312"/>
          <w:color w:val="auto"/>
          <w:sz w:val="24"/>
          <w:highlight w:val="none"/>
        </w:rPr>
        <w:t>文件进行补充、修改的，应先从电子交易平台上撤回旧文件，再重新提交新文件；提交的纸质文件（备案用）应从专用制作软件中直接打印，与电子</w:t>
      </w:r>
      <w:r>
        <w:rPr>
          <w:rFonts w:hint="eastAsia" w:eastAsia="仿宋_GB2312"/>
          <w:color w:val="auto"/>
          <w:kern w:val="0"/>
          <w:sz w:val="24"/>
          <w:szCs w:val="21"/>
          <w:highlight w:val="none"/>
          <w:lang w:val="en-US" w:eastAsia="zh-CN"/>
        </w:rPr>
        <w:t>响应</w:t>
      </w:r>
      <w:r>
        <w:rPr>
          <w:rFonts w:hint="eastAsia" w:eastAsia="仿宋_GB2312"/>
          <w:color w:val="auto"/>
          <w:sz w:val="24"/>
          <w:highlight w:val="none"/>
        </w:rPr>
        <w:t>文件保持一致，不允许补充和修改。</w:t>
      </w:r>
      <w:r>
        <w:rPr>
          <w:rFonts w:eastAsia="仿宋_GB2312"/>
          <w:color w:val="auto"/>
          <w:sz w:val="24"/>
          <w:highlight w:val="none"/>
        </w:rPr>
        <w:t>。</w:t>
      </w:r>
    </w:p>
    <w:p w14:paraId="1559EED0">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18.3   采购人可以按本须知第7条规定，通知修改磋商文件，适当延长响应文件递交截止时间。在此情况下，采购人和供应商受响应文件递交截止时间制约的所有权利和义务均应延长至新的截止期。</w:t>
      </w:r>
    </w:p>
    <w:p w14:paraId="4B6AAE08">
      <w:pPr>
        <w:pStyle w:val="4"/>
        <w:rPr>
          <w:rFonts w:ascii="Times New Roman" w:hAnsi="Times New Roman" w:eastAsia="仿宋_GB2312"/>
          <w:b/>
          <w:color w:val="auto"/>
          <w:sz w:val="24"/>
          <w:szCs w:val="21"/>
          <w:highlight w:val="none"/>
        </w:rPr>
      </w:pPr>
      <w:bookmarkStart w:id="266" w:name="_Toc249515301"/>
      <w:bookmarkStart w:id="267" w:name="_Toc7175"/>
      <w:bookmarkStart w:id="268" w:name="_Toc249515413"/>
      <w:bookmarkStart w:id="269" w:name="_Toc249525182"/>
      <w:r>
        <w:rPr>
          <w:rFonts w:ascii="Times New Roman" w:hAnsi="Times New Roman" w:eastAsia="仿宋_GB2312"/>
          <w:b/>
          <w:color w:val="auto"/>
          <w:sz w:val="24"/>
          <w:szCs w:val="21"/>
          <w:highlight w:val="none"/>
        </w:rPr>
        <w:t>19.    迟交的响应文件</w:t>
      </w:r>
      <w:bookmarkEnd w:id="262"/>
      <w:bookmarkEnd w:id="263"/>
      <w:bookmarkEnd w:id="264"/>
      <w:bookmarkEnd w:id="265"/>
      <w:bookmarkEnd w:id="266"/>
      <w:bookmarkEnd w:id="267"/>
      <w:bookmarkEnd w:id="268"/>
      <w:bookmarkEnd w:id="269"/>
    </w:p>
    <w:p w14:paraId="2C54A2E1">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19.1   采购人将拒绝接收第18条规定的响应文件递交截止时间后递交的任何响应文件。</w:t>
      </w:r>
    </w:p>
    <w:p w14:paraId="6B2D9E24">
      <w:pPr>
        <w:pStyle w:val="4"/>
        <w:rPr>
          <w:rFonts w:ascii="Times New Roman" w:hAnsi="Times New Roman" w:eastAsia="仿宋_GB2312"/>
          <w:b/>
          <w:color w:val="auto"/>
          <w:sz w:val="24"/>
          <w:szCs w:val="21"/>
          <w:highlight w:val="none"/>
        </w:rPr>
      </w:pPr>
      <w:bookmarkStart w:id="270" w:name="_Toc385992351"/>
      <w:bookmarkStart w:id="271" w:name="_Toc249515302"/>
      <w:bookmarkStart w:id="272" w:name="_Toc70687165"/>
      <w:bookmarkStart w:id="273" w:name="_Toc10272"/>
      <w:bookmarkStart w:id="274" w:name="_Toc389620190"/>
      <w:bookmarkStart w:id="275" w:name="_Toc184043038"/>
      <w:bookmarkStart w:id="276" w:name="_Toc249525183"/>
      <w:bookmarkStart w:id="277" w:name="_Toc249515414"/>
      <w:r>
        <w:rPr>
          <w:rFonts w:ascii="Times New Roman" w:hAnsi="Times New Roman" w:eastAsia="仿宋_GB2312"/>
          <w:b/>
          <w:color w:val="auto"/>
          <w:sz w:val="24"/>
          <w:szCs w:val="21"/>
          <w:highlight w:val="none"/>
        </w:rPr>
        <w:t>20.    响应文件的修改和撤</w:t>
      </w:r>
      <w:bookmarkEnd w:id="270"/>
      <w:bookmarkEnd w:id="271"/>
      <w:bookmarkEnd w:id="272"/>
      <w:bookmarkEnd w:id="273"/>
      <w:bookmarkEnd w:id="274"/>
      <w:bookmarkEnd w:id="275"/>
      <w:bookmarkEnd w:id="276"/>
      <w:bookmarkEnd w:id="277"/>
      <w:r>
        <w:rPr>
          <w:rFonts w:ascii="Times New Roman" w:hAnsi="Times New Roman" w:eastAsia="仿宋_GB2312"/>
          <w:b/>
          <w:color w:val="auto"/>
          <w:sz w:val="24"/>
          <w:szCs w:val="21"/>
          <w:highlight w:val="none"/>
        </w:rPr>
        <w:t>回</w:t>
      </w:r>
    </w:p>
    <w:p w14:paraId="052ED1D3">
      <w:pPr>
        <w:pStyle w:val="4"/>
        <w:keepNext w:val="0"/>
        <w:keepLines w:val="0"/>
        <w:pageBreakBefore w:val="0"/>
        <w:widowControl w:val="0"/>
        <w:kinsoku/>
        <w:wordWrap/>
        <w:overflowPunct/>
        <w:topLinePunct w:val="0"/>
        <w:autoSpaceDE/>
        <w:autoSpaceDN/>
        <w:bidi w:val="0"/>
        <w:adjustRightInd/>
        <w:snapToGrid/>
        <w:textAlignment w:val="auto"/>
        <w:rPr>
          <w:rFonts w:eastAsia="仿宋_GB2312"/>
          <w:color w:val="auto"/>
          <w:sz w:val="24"/>
          <w:highlight w:val="none"/>
        </w:rPr>
      </w:pPr>
      <w:r>
        <w:rPr>
          <w:rFonts w:eastAsia="仿宋_GB2312"/>
          <w:color w:val="auto"/>
          <w:sz w:val="24"/>
          <w:highlight w:val="none"/>
        </w:rPr>
        <w:t>供应商在提交响应文件后可对其响应文件进行修改或撤回，</w:t>
      </w:r>
      <w:r>
        <w:rPr>
          <w:rFonts w:hint="eastAsia" w:eastAsia="仿宋_GB2312"/>
          <w:color w:val="auto"/>
          <w:sz w:val="24"/>
          <w:highlight w:val="none"/>
          <w:lang w:val="en-US" w:eastAsia="zh-CN"/>
        </w:rPr>
        <w:t>相关程序按公共资源交易中心有关规定执行</w:t>
      </w:r>
      <w:r>
        <w:rPr>
          <w:rFonts w:eastAsia="仿宋_GB2312"/>
          <w:color w:val="auto"/>
          <w:sz w:val="24"/>
          <w:highlight w:val="none"/>
        </w:rPr>
        <w:t>。</w:t>
      </w:r>
    </w:p>
    <w:p w14:paraId="4466F772">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20.1   供应商对响应文件修改的书面材料或撤回的通知应按第16和17条规定进行编写、密封、标注和递送，并注明“修改响应文件”或“撤回响应文件”字样。</w:t>
      </w:r>
    </w:p>
    <w:p w14:paraId="4C148CBE">
      <w:pPr>
        <w:tabs>
          <w:tab w:val="left" w:pos="588"/>
        </w:tabs>
        <w:spacing w:line="360" w:lineRule="auto"/>
        <w:rPr>
          <w:rFonts w:eastAsia="仿宋_GB2312"/>
          <w:color w:val="auto"/>
          <w:sz w:val="24"/>
          <w:highlight w:val="none"/>
        </w:rPr>
      </w:pPr>
      <w:r>
        <w:rPr>
          <w:rFonts w:eastAsia="仿宋_GB2312"/>
          <w:color w:val="auto"/>
          <w:sz w:val="24"/>
          <w:highlight w:val="none"/>
        </w:rPr>
        <w:t>20.2   在响应文件递交截止时间之后，供应商不得对其响应文件做任何修改。</w:t>
      </w:r>
    </w:p>
    <w:p w14:paraId="6C0F1544">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20.3   供应商不得在响应文件递交截止时间起至响应文件有效期期满前撤销其响应文件。</w:t>
      </w:r>
    </w:p>
    <w:p w14:paraId="0977D83E">
      <w:pPr>
        <w:pStyle w:val="22"/>
        <w:rPr>
          <w:color w:val="auto"/>
          <w:highlight w:val="none"/>
        </w:rPr>
      </w:pPr>
    </w:p>
    <w:p w14:paraId="2EDA4340">
      <w:pPr>
        <w:pStyle w:val="81"/>
        <w:spacing w:before="24" w:after="24"/>
        <w:ind w:left="3313"/>
        <w:rPr>
          <w:rFonts w:eastAsia="仿宋_GB2312"/>
          <w:color w:val="auto"/>
          <w:sz w:val="30"/>
          <w:szCs w:val="30"/>
          <w:highlight w:val="none"/>
        </w:rPr>
      </w:pPr>
      <w:bookmarkStart w:id="278" w:name="_Hlt491765712"/>
      <w:bookmarkEnd w:id="278"/>
      <w:bookmarkStart w:id="279" w:name="_Hlt497729441"/>
      <w:bookmarkEnd w:id="279"/>
      <w:bookmarkStart w:id="280" w:name="_Toc249515415"/>
      <w:bookmarkStart w:id="281" w:name="_Toc249525184"/>
      <w:bookmarkStart w:id="282" w:name="_Toc256342148"/>
      <w:bookmarkStart w:id="283" w:name="_Toc249515303"/>
      <w:bookmarkStart w:id="284" w:name="_Toc21748"/>
      <w:bookmarkStart w:id="285" w:name="_Toc53722845"/>
      <w:bookmarkStart w:id="286" w:name="_Toc500746971"/>
      <w:bookmarkStart w:id="287" w:name="_Toc70687166"/>
      <w:bookmarkStart w:id="288" w:name="_Toc500747067"/>
      <w:bookmarkStart w:id="289" w:name="_Toc177995478"/>
      <w:bookmarkStart w:id="290" w:name="_Toc177189240"/>
      <w:bookmarkStart w:id="291" w:name="_Toc184043039"/>
      <w:bookmarkStart w:id="292" w:name="_Toc503063427"/>
      <w:bookmarkStart w:id="293" w:name="_Toc389620191"/>
      <w:bookmarkStart w:id="294" w:name="_Toc499711889"/>
      <w:bookmarkStart w:id="295" w:name="_Toc492955420"/>
      <w:bookmarkStart w:id="296" w:name="_Toc499711048"/>
      <w:bookmarkStart w:id="297" w:name="_Toc176882547"/>
      <w:bookmarkStart w:id="298" w:name="_Toc385992352"/>
      <w:bookmarkStart w:id="299" w:name="_Toc500747194"/>
      <w:bookmarkStart w:id="300" w:name="_Toc496324584"/>
      <w:bookmarkStart w:id="301" w:name="_Toc177817339"/>
      <w:r>
        <w:rPr>
          <w:rFonts w:eastAsia="仿宋_GB2312"/>
          <w:color w:val="auto"/>
          <w:sz w:val="30"/>
          <w:szCs w:val="30"/>
          <w:highlight w:val="none"/>
        </w:rPr>
        <w:t>五、评审与</w:t>
      </w:r>
      <w:bookmarkEnd w:id="280"/>
      <w:bookmarkEnd w:id="281"/>
      <w:bookmarkEnd w:id="282"/>
      <w:bookmarkEnd w:id="283"/>
      <w:r>
        <w:rPr>
          <w:rFonts w:eastAsia="仿宋_GB2312"/>
          <w:color w:val="auto"/>
          <w:sz w:val="30"/>
          <w:szCs w:val="30"/>
          <w:highlight w:val="none"/>
        </w:rPr>
        <w:t>磋商</w:t>
      </w:r>
      <w:bookmarkEnd w:id="284"/>
    </w:p>
    <w:p w14:paraId="57E14219">
      <w:pPr>
        <w:pStyle w:val="4"/>
        <w:numPr>
          <w:ilvl w:val="0"/>
          <w:numId w:val="9"/>
        </w:numPr>
        <w:rPr>
          <w:rFonts w:ascii="Times New Roman" w:hAnsi="Times New Roman" w:eastAsia="仿宋_GB2312"/>
          <w:b/>
          <w:color w:val="auto"/>
          <w:sz w:val="24"/>
          <w:highlight w:val="none"/>
        </w:rPr>
      </w:pPr>
      <w:bookmarkStart w:id="302" w:name="_Toc249515417"/>
      <w:bookmarkStart w:id="303" w:name="_Toc16042"/>
      <w:bookmarkStart w:id="304" w:name="_Toc249515305"/>
      <w:bookmarkStart w:id="305" w:name="_Toc249525186"/>
      <w:r>
        <w:rPr>
          <w:rFonts w:ascii="Times New Roman" w:hAnsi="Times New Roman" w:eastAsia="仿宋_GB2312"/>
          <w:b/>
          <w:color w:val="auto"/>
          <w:sz w:val="24"/>
          <w:highlight w:val="none"/>
        </w:rPr>
        <w:t xml:space="preserve">   磋商小组</w:t>
      </w:r>
      <w:bookmarkEnd w:id="302"/>
      <w:bookmarkEnd w:id="303"/>
      <w:bookmarkEnd w:id="304"/>
      <w:bookmarkEnd w:id="305"/>
    </w:p>
    <w:p w14:paraId="2AFA7811">
      <w:pPr>
        <w:pStyle w:val="28"/>
        <w:adjustRightInd w:val="0"/>
        <w:snapToGrid w:val="0"/>
        <w:ind w:left="840" w:hanging="840" w:hangingChars="350"/>
        <w:rPr>
          <w:rFonts w:ascii="Times New Roman" w:hAnsi="Times New Roman" w:eastAsia="仿宋_GB2312"/>
          <w:b/>
          <w:color w:val="auto"/>
          <w:sz w:val="24"/>
          <w:highlight w:val="none"/>
        </w:rPr>
      </w:pPr>
      <w:r>
        <w:rPr>
          <w:rFonts w:ascii="Times New Roman" w:hAnsi="Times New Roman" w:eastAsia="仿宋_GB2312"/>
          <w:color w:val="auto"/>
          <w:sz w:val="24"/>
          <w:szCs w:val="24"/>
          <w:highlight w:val="none"/>
        </w:rPr>
        <w:t>21.1   在磋商开始前组建磋商小组，磋商小组由采购人代表和有关专家组成。专家从政府采购评审专家库相关专业中随机抽取。磋商小组组成见</w:t>
      </w:r>
      <w:r>
        <w:rPr>
          <w:rFonts w:ascii="Times New Roman" w:hAnsi="Times New Roman" w:eastAsia="仿宋_GB2312"/>
          <w:b/>
          <w:color w:val="auto"/>
          <w:sz w:val="24"/>
          <w:highlight w:val="none"/>
        </w:rPr>
        <w:t>供应商须知前附表。</w:t>
      </w:r>
    </w:p>
    <w:p w14:paraId="0959887B">
      <w:pPr>
        <w:pStyle w:val="28"/>
        <w:adjustRightInd w:val="0"/>
        <w:snapToGrid w:val="0"/>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21.2   磋商小组职责</w:t>
      </w:r>
    </w:p>
    <w:p w14:paraId="35976835">
      <w:pPr>
        <w:pStyle w:val="28"/>
        <w:adjustRightInd w:val="0"/>
        <w:snapToGrid w:val="0"/>
        <w:ind w:left="840" w:leftChars="400"/>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（1）确认竞争性磋商文件；</w:t>
      </w:r>
    </w:p>
    <w:p w14:paraId="3BD6C697">
      <w:pPr>
        <w:pStyle w:val="28"/>
        <w:adjustRightInd w:val="0"/>
        <w:snapToGrid w:val="0"/>
        <w:ind w:left="840" w:leftChars="400"/>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（2）审查通过了资格审查的供应商响应文件并做出评价；</w:t>
      </w:r>
    </w:p>
    <w:p w14:paraId="40CED1E6">
      <w:pPr>
        <w:pStyle w:val="28"/>
        <w:adjustRightInd w:val="0"/>
        <w:snapToGrid w:val="0"/>
        <w:ind w:left="840" w:leftChars="400"/>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（3）要求供应商解释或者澄清其响应文件；</w:t>
      </w:r>
    </w:p>
    <w:p w14:paraId="12CCAB13">
      <w:pPr>
        <w:pStyle w:val="28"/>
        <w:adjustRightInd w:val="0"/>
        <w:snapToGrid w:val="0"/>
        <w:ind w:left="840" w:leftChars="400"/>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（4）编写评审报告；</w:t>
      </w:r>
    </w:p>
    <w:p w14:paraId="33E7C515">
      <w:pPr>
        <w:pStyle w:val="28"/>
        <w:adjustRightInd w:val="0"/>
        <w:snapToGrid w:val="0"/>
        <w:ind w:left="840" w:leftChars="400"/>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（5）告知采购人、采购代理机构在评审过程中发现的供应商的违法违规行为。</w:t>
      </w:r>
    </w:p>
    <w:p w14:paraId="124B26C0">
      <w:pPr>
        <w:pStyle w:val="28"/>
        <w:adjustRightInd w:val="0"/>
        <w:snapToGrid w:val="0"/>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21.3   磋商小组义务</w:t>
      </w:r>
    </w:p>
    <w:p w14:paraId="012DB47A">
      <w:pPr>
        <w:pStyle w:val="28"/>
        <w:adjustRightInd w:val="0"/>
        <w:snapToGrid w:val="0"/>
        <w:ind w:left="838" w:leftChars="399"/>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（1）遵纪客观、公正、审慎的原则；</w:t>
      </w:r>
    </w:p>
    <w:p w14:paraId="1C5EE1A7">
      <w:pPr>
        <w:pStyle w:val="28"/>
        <w:adjustRightInd w:val="0"/>
        <w:snapToGrid w:val="0"/>
        <w:ind w:left="838" w:leftChars="399"/>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（2）根据磋商文件的规定评审程序、评审方法和评审标准独立进行评审，对个人的评审意见承担法律责任；</w:t>
      </w:r>
    </w:p>
    <w:p w14:paraId="5382B171">
      <w:pPr>
        <w:pStyle w:val="28"/>
        <w:adjustRightInd w:val="0"/>
        <w:snapToGrid w:val="0"/>
        <w:ind w:left="838" w:leftChars="399"/>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（3）参与评审报告的起草；</w:t>
      </w:r>
    </w:p>
    <w:p w14:paraId="0D9C6430">
      <w:pPr>
        <w:pStyle w:val="28"/>
        <w:adjustRightInd w:val="0"/>
        <w:snapToGrid w:val="0"/>
        <w:ind w:left="838" w:leftChars="399"/>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（4）配合采购人、采购代理机构答复供应商提出的质疑；</w:t>
      </w:r>
    </w:p>
    <w:p w14:paraId="61F8F934">
      <w:pPr>
        <w:pStyle w:val="28"/>
        <w:adjustRightInd w:val="0"/>
        <w:snapToGrid w:val="0"/>
        <w:ind w:left="838" w:leftChars="399"/>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（5）配合财政部门的投诉处理和监督检查工作。</w:t>
      </w:r>
    </w:p>
    <w:p w14:paraId="757C86C2">
      <w:pPr>
        <w:pStyle w:val="28"/>
        <w:adjustRightInd w:val="0"/>
        <w:snapToGrid w:val="0"/>
        <w:ind w:left="840" w:hanging="840" w:hangingChars="350"/>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21.4   确认磋商文件：磋商小组对磋商文件进行审阅，无修改进行签字确认，有修改，修改内容经采购人确认后，磋商小组以书面形式通知所有供应商。</w:t>
      </w:r>
    </w:p>
    <w:p w14:paraId="7CC4E922">
      <w:pPr>
        <w:pStyle w:val="4"/>
        <w:rPr>
          <w:rFonts w:ascii="Times New Roman" w:hAnsi="Times New Roman" w:eastAsia="仿宋_GB2312"/>
          <w:b/>
          <w:color w:val="auto"/>
          <w:sz w:val="24"/>
          <w:szCs w:val="21"/>
          <w:highlight w:val="none"/>
        </w:rPr>
      </w:pPr>
      <w:r>
        <w:rPr>
          <w:rFonts w:ascii="Times New Roman" w:hAnsi="Times New Roman" w:eastAsia="仿宋_GB2312"/>
          <w:b/>
          <w:color w:val="auto"/>
          <w:sz w:val="24"/>
          <w:szCs w:val="21"/>
          <w:highlight w:val="none"/>
        </w:rPr>
        <w:t>22.    磋商小组成员有下列情形之一的，应当回避：</w:t>
      </w:r>
    </w:p>
    <w:p w14:paraId="66A37E47">
      <w:pPr>
        <w:pStyle w:val="4"/>
        <w:tabs>
          <w:tab w:val="left" w:pos="360"/>
        </w:tabs>
        <w:rPr>
          <w:rFonts w:ascii="Times New Roman" w:hAnsi="Times New Roman" w:eastAsia="仿宋_GB2312"/>
          <w:color w:val="auto"/>
          <w:sz w:val="24"/>
          <w:szCs w:val="21"/>
          <w:highlight w:val="none"/>
        </w:rPr>
      </w:pPr>
      <w:r>
        <w:rPr>
          <w:rFonts w:ascii="Times New Roman" w:hAnsi="Times New Roman" w:eastAsia="仿宋_GB2312"/>
          <w:color w:val="auto"/>
          <w:sz w:val="24"/>
          <w:szCs w:val="21"/>
          <w:highlight w:val="none"/>
        </w:rPr>
        <w:t>22.1   参加采购活动前3年内与供应商存在劳动关系；</w:t>
      </w:r>
    </w:p>
    <w:p w14:paraId="0B466BB9">
      <w:pPr>
        <w:pStyle w:val="4"/>
        <w:tabs>
          <w:tab w:val="left" w:pos="360"/>
        </w:tabs>
        <w:rPr>
          <w:rFonts w:ascii="Times New Roman" w:hAnsi="Times New Roman" w:eastAsia="仿宋_GB2312"/>
          <w:color w:val="auto"/>
          <w:sz w:val="24"/>
          <w:szCs w:val="21"/>
          <w:highlight w:val="none"/>
        </w:rPr>
      </w:pPr>
      <w:r>
        <w:rPr>
          <w:rFonts w:ascii="Times New Roman" w:hAnsi="Times New Roman" w:eastAsia="仿宋_GB2312"/>
          <w:color w:val="auto"/>
          <w:sz w:val="24"/>
          <w:szCs w:val="21"/>
          <w:highlight w:val="none"/>
        </w:rPr>
        <w:t>22.2   参加采购活动前3年内担任供应商的董事、监事；</w:t>
      </w:r>
    </w:p>
    <w:p w14:paraId="7A856191">
      <w:pPr>
        <w:pStyle w:val="4"/>
        <w:tabs>
          <w:tab w:val="left" w:pos="360"/>
        </w:tabs>
        <w:rPr>
          <w:rFonts w:ascii="Times New Roman" w:hAnsi="Times New Roman" w:eastAsia="仿宋_GB2312"/>
          <w:color w:val="auto"/>
          <w:sz w:val="24"/>
          <w:szCs w:val="21"/>
          <w:highlight w:val="none"/>
        </w:rPr>
      </w:pPr>
      <w:r>
        <w:rPr>
          <w:rFonts w:ascii="Times New Roman" w:hAnsi="Times New Roman" w:eastAsia="仿宋_GB2312"/>
          <w:color w:val="auto"/>
          <w:sz w:val="24"/>
          <w:szCs w:val="21"/>
          <w:highlight w:val="none"/>
        </w:rPr>
        <w:t>22.3   参加采购活动前3年内是供应商的控股股东或者实际控制人；</w:t>
      </w:r>
    </w:p>
    <w:p w14:paraId="0CAE5583">
      <w:pPr>
        <w:pStyle w:val="4"/>
        <w:tabs>
          <w:tab w:val="left" w:pos="360"/>
        </w:tabs>
        <w:ind w:left="840" w:hanging="840" w:hangingChars="350"/>
        <w:rPr>
          <w:rFonts w:ascii="Times New Roman" w:hAnsi="Times New Roman" w:eastAsia="仿宋_GB2312"/>
          <w:color w:val="auto"/>
          <w:sz w:val="24"/>
          <w:szCs w:val="21"/>
          <w:highlight w:val="none"/>
        </w:rPr>
      </w:pPr>
      <w:r>
        <w:rPr>
          <w:rFonts w:ascii="Times New Roman" w:hAnsi="Times New Roman" w:eastAsia="仿宋_GB2312"/>
          <w:color w:val="auto"/>
          <w:sz w:val="24"/>
          <w:szCs w:val="21"/>
          <w:highlight w:val="none"/>
        </w:rPr>
        <w:t>22.4   与供应商的法定代表人或者负责人有夫妻、直系血亲、三代以内旁系血亲或者近姻亲关系；</w:t>
      </w:r>
    </w:p>
    <w:p w14:paraId="2C0A3FC8">
      <w:pPr>
        <w:pStyle w:val="4"/>
        <w:tabs>
          <w:tab w:val="left" w:pos="360"/>
        </w:tabs>
        <w:rPr>
          <w:rFonts w:ascii="Times New Roman" w:hAnsi="Times New Roman" w:eastAsia="仿宋_GB2312"/>
          <w:color w:val="auto"/>
          <w:sz w:val="24"/>
          <w:szCs w:val="21"/>
          <w:highlight w:val="none"/>
        </w:rPr>
      </w:pPr>
      <w:r>
        <w:rPr>
          <w:rFonts w:ascii="Times New Roman" w:hAnsi="Times New Roman" w:eastAsia="仿宋_GB2312"/>
          <w:color w:val="auto"/>
          <w:sz w:val="24"/>
          <w:szCs w:val="21"/>
          <w:highlight w:val="none"/>
        </w:rPr>
        <w:t>22.5   与供应商有其他可能影响政府采购活动公平、公正进行的关系。</w:t>
      </w:r>
    </w:p>
    <w:p w14:paraId="114128AD">
      <w:pPr>
        <w:pStyle w:val="4"/>
        <w:rPr>
          <w:rFonts w:ascii="Times New Roman" w:hAnsi="Times New Roman" w:eastAsia="仿宋_GB2312"/>
          <w:b/>
          <w:color w:val="auto"/>
          <w:sz w:val="24"/>
          <w:szCs w:val="21"/>
          <w:highlight w:val="none"/>
        </w:rPr>
      </w:pPr>
      <w:bookmarkStart w:id="306" w:name="_Toc249525187"/>
      <w:bookmarkStart w:id="307" w:name="_Toc20608"/>
      <w:bookmarkStart w:id="308" w:name="_Toc249515306"/>
      <w:bookmarkStart w:id="309" w:name="_Toc83547667"/>
      <w:bookmarkStart w:id="310" w:name="_Toc249515418"/>
      <w:r>
        <w:rPr>
          <w:rFonts w:ascii="Times New Roman" w:hAnsi="Times New Roman" w:eastAsia="仿宋_GB2312"/>
          <w:b/>
          <w:color w:val="auto"/>
          <w:sz w:val="24"/>
          <w:szCs w:val="21"/>
          <w:highlight w:val="none"/>
        </w:rPr>
        <w:t>23.    磋商程序</w:t>
      </w:r>
    </w:p>
    <w:p w14:paraId="3184651D">
      <w:pPr>
        <w:pStyle w:val="4"/>
        <w:tabs>
          <w:tab w:val="left" w:pos="360"/>
        </w:tabs>
        <w:rPr>
          <w:rFonts w:ascii="Times New Roman" w:hAnsi="Times New Roman" w:eastAsia="仿宋_GB2312"/>
          <w:b/>
          <w:color w:val="auto"/>
          <w:sz w:val="24"/>
          <w:szCs w:val="21"/>
          <w:highlight w:val="none"/>
        </w:rPr>
      </w:pPr>
      <w:bookmarkStart w:id="311" w:name="_Toc58504507"/>
      <w:r>
        <w:rPr>
          <w:rFonts w:ascii="Times New Roman" w:hAnsi="Times New Roman" w:eastAsia="仿宋_GB2312"/>
          <w:b/>
          <w:color w:val="auto"/>
          <w:sz w:val="24"/>
          <w:szCs w:val="21"/>
          <w:highlight w:val="none"/>
        </w:rPr>
        <w:t>23.1   磋商会议</w:t>
      </w:r>
      <w:bookmarkEnd w:id="311"/>
    </w:p>
    <w:p w14:paraId="4E4E00E7">
      <w:pPr>
        <w:pStyle w:val="22"/>
        <w:ind w:left="840" w:leftChars="400"/>
        <w:rPr>
          <w:rFonts w:ascii="Times New Roman" w:hAnsi="Times New Roman" w:eastAsia="仿宋_GB2312"/>
          <w:color w:val="auto"/>
          <w:sz w:val="24"/>
          <w:szCs w:val="32"/>
          <w:highlight w:val="none"/>
        </w:rPr>
      </w:pPr>
      <w:bookmarkStart w:id="312" w:name="_Toc58504508"/>
      <w:r>
        <w:rPr>
          <w:rFonts w:ascii="Times New Roman" w:hAnsi="Times New Roman" w:eastAsia="仿宋_GB2312"/>
          <w:color w:val="auto"/>
          <w:sz w:val="24"/>
          <w:szCs w:val="32"/>
          <w:highlight w:val="none"/>
        </w:rPr>
        <w:t>（1）在磋商文件规定的时间和地点，由采购代理机构组织磋商工作，供应商须委派代表参加，签名以证明其出席。</w:t>
      </w:r>
      <w:bookmarkEnd w:id="312"/>
    </w:p>
    <w:p w14:paraId="571F6264">
      <w:pPr>
        <w:pStyle w:val="22"/>
        <w:ind w:left="840" w:leftChars="400"/>
        <w:rPr>
          <w:rFonts w:ascii="Times New Roman" w:hAnsi="Times New Roman" w:eastAsia="仿宋_GB2312"/>
          <w:color w:val="auto"/>
          <w:sz w:val="24"/>
          <w:szCs w:val="32"/>
          <w:highlight w:val="none"/>
        </w:rPr>
      </w:pPr>
      <w:bookmarkStart w:id="313" w:name="_Toc58504509"/>
      <w:r>
        <w:rPr>
          <w:rFonts w:ascii="Times New Roman" w:hAnsi="Times New Roman" w:eastAsia="仿宋_GB2312"/>
          <w:color w:val="auto"/>
          <w:sz w:val="24"/>
          <w:szCs w:val="32"/>
          <w:highlight w:val="none"/>
        </w:rPr>
        <w:t>（2）各供应商或其推荐的代表与采购监督人共同检查响应文件的密封情况，经检查无误后，签字确认。</w:t>
      </w:r>
      <w:bookmarkEnd w:id="313"/>
    </w:p>
    <w:p w14:paraId="76964BDB">
      <w:pPr>
        <w:pStyle w:val="22"/>
        <w:ind w:left="840" w:leftChars="400"/>
        <w:rPr>
          <w:rFonts w:ascii="Times New Roman" w:hAnsi="Times New Roman" w:eastAsia="仿宋_GB2312"/>
          <w:color w:val="auto"/>
          <w:sz w:val="24"/>
          <w:szCs w:val="32"/>
          <w:highlight w:val="none"/>
        </w:rPr>
      </w:pPr>
      <w:bookmarkStart w:id="314" w:name="_Toc58504510"/>
      <w:r>
        <w:rPr>
          <w:rFonts w:ascii="Times New Roman" w:hAnsi="Times New Roman" w:eastAsia="仿宋_GB2312"/>
          <w:color w:val="auto"/>
          <w:sz w:val="24"/>
          <w:szCs w:val="32"/>
          <w:highlight w:val="none"/>
        </w:rPr>
        <w:t>（3）采购代理机构工作人员按照顺序，将各供应商首次响应文件的份数等内容公布，无异议后，由供应商法定代表人（或授权代表人）和监督人签字确认。</w:t>
      </w:r>
      <w:bookmarkEnd w:id="314"/>
    </w:p>
    <w:p w14:paraId="10329BEA">
      <w:pPr>
        <w:pStyle w:val="4"/>
        <w:tabs>
          <w:tab w:val="left" w:pos="360"/>
        </w:tabs>
        <w:rPr>
          <w:rFonts w:ascii="Times New Roman" w:hAnsi="Times New Roman" w:eastAsia="仿宋_GB2312"/>
          <w:b/>
          <w:color w:val="auto"/>
          <w:sz w:val="24"/>
          <w:szCs w:val="21"/>
          <w:highlight w:val="none"/>
        </w:rPr>
      </w:pPr>
      <w:bookmarkStart w:id="315" w:name="_Toc58504511"/>
      <w:r>
        <w:rPr>
          <w:rFonts w:ascii="Times New Roman" w:hAnsi="Times New Roman" w:eastAsia="仿宋_GB2312"/>
          <w:b/>
          <w:color w:val="auto"/>
          <w:sz w:val="24"/>
          <w:szCs w:val="21"/>
          <w:highlight w:val="none"/>
        </w:rPr>
        <w:t>23.2   响应文件</w:t>
      </w:r>
      <w:bookmarkEnd w:id="306"/>
      <w:bookmarkEnd w:id="307"/>
      <w:bookmarkEnd w:id="308"/>
      <w:bookmarkEnd w:id="309"/>
      <w:bookmarkEnd w:id="310"/>
      <w:r>
        <w:rPr>
          <w:rFonts w:ascii="Times New Roman" w:hAnsi="Times New Roman" w:eastAsia="仿宋_GB2312"/>
          <w:b/>
          <w:color w:val="auto"/>
          <w:sz w:val="24"/>
          <w:szCs w:val="21"/>
          <w:highlight w:val="none"/>
        </w:rPr>
        <w:t>评审</w:t>
      </w:r>
      <w:bookmarkEnd w:id="315"/>
    </w:p>
    <w:p w14:paraId="199C05FF">
      <w:pPr>
        <w:tabs>
          <w:tab w:val="left" w:pos="360"/>
          <w:tab w:val="left" w:pos="588"/>
        </w:tabs>
        <w:spacing w:line="360" w:lineRule="auto"/>
        <w:ind w:left="840" w:hanging="843" w:hangingChars="350"/>
        <w:rPr>
          <w:rFonts w:eastAsia="仿宋_GB2312"/>
          <w:color w:val="auto"/>
          <w:sz w:val="24"/>
          <w:highlight w:val="none"/>
        </w:rPr>
      </w:pPr>
      <w:bookmarkStart w:id="316" w:name="_Toc83547671"/>
      <w:r>
        <w:rPr>
          <w:rFonts w:eastAsia="仿宋_GB2312"/>
          <w:b/>
          <w:color w:val="auto"/>
          <w:sz w:val="24"/>
          <w:highlight w:val="none"/>
        </w:rPr>
        <w:t>23.2.1 响应文件的资格性审查</w:t>
      </w:r>
      <w:r>
        <w:rPr>
          <w:rFonts w:eastAsia="仿宋_GB2312"/>
          <w:color w:val="auto"/>
          <w:sz w:val="24"/>
          <w:highlight w:val="none"/>
        </w:rPr>
        <w:t>。</w:t>
      </w:r>
      <w:r>
        <w:rPr>
          <w:rFonts w:hint="eastAsia" w:eastAsia="仿宋_GB2312"/>
          <w:color w:val="auto"/>
          <w:sz w:val="24"/>
          <w:highlight w:val="none"/>
        </w:rPr>
        <w:t>采购人或采购代理机构负责或磋商小组对响应文件中的资格证明文件、信用查询记录等进行审查，以确认供应商具备相应资格。资格性审查出现下列情况者（但不限于），按无效文件处理</w:t>
      </w:r>
      <w:r>
        <w:rPr>
          <w:rFonts w:eastAsia="仿宋_GB2312"/>
          <w:color w:val="auto"/>
          <w:sz w:val="24"/>
          <w:highlight w:val="none"/>
        </w:rPr>
        <w:t>：</w:t>
      </w:r>
    </w:p>
    <w:p w14:paraId="2596A12E">
      <w:pPr>
        <w:pStyle w:val="22"/>
        <w:ind w:left="840" w:leftChars="400"/>
        <w:rPr>
          <w:rFonts w:ascii="Times New Roman" w:hAnsi="Times New Roman" w:eastAsia="仿宋_GB2312"/>
          <w:color w:val="auto"/>
          <w:sz w:val="24"/>
          <w:highlight w:val="none"/>
        </w:rPr>
      </w:pPr>
      <w:r>
        <w:rPr>
          <w:rFonts w:ascii="Times New Roman" w:hAnsi="Times New Roman" w:eastAsia="仿宋_GB2312"/>
          <w:color w:val="auto"/>
          <w:highlight w:val="none"/>
        </w:rPr>
        <w:t>（</w:t>
      </w:r>
      <w:r>
        <w:rPr>
          <w:rFonts w:ascii="Times New Roman" w:hAnsi="Times New Roman" w:eastAsia="仿宋_GB2312"/>
          <w:color w:val="auto"/>
          <w:sz w:val="24"/>
          <w:highlight w:val="none"/>
        </w:rPr>
        <w:t>1）供应商不符合《中华人民共和国政府采购法》第二十二条的规定和特定资格条件要求的。</w:t>
      </w:r>
    </w:p>
    <w:p w14:paraId="25B746A4">
      <w:pPr>
        <w:pStyle w:val="22"/>
        <w:ind w:left="840" w:leftChars="400"/>
        <w:rPr>
          <w:rFonts w:ascii="Times New Roman" w:hAnsi="Times New Roman" w:eastAsia="仿宋_GB2312"/>
          <w:color w:val="auto"/>
          <w:sz w:val="24"/>
          <w:highlight w:val="none"/>
        </w:rPr>
      </w:pPr>
      <w:r>
        <w:rPr>
          <w:rFonts w:ascii="Times New Roman" w:hAnsi="Times New Roman" w:eastAsia="仿宋_GB2312"/>
          <w:color w:val="auto"/>
          <w:sz w:val="24"/>
          <w:highlight w:val="none"/>
        </w:rPr>
        <w:t>（2）供应商没有经过正常渠道购买或免费领取磋商文件或供应商的名称与</w:t>
      </w:r>
      <w:r>
        <w:rPr>
          <w:rFonts w:hint="eastAsia" w:ascii="Times New Roman" w:hAnsi="Times New Roman" w:eastAsia="仿宋_GB2312"/>
          <w:color w:val="auto"/>
          <w:sz w:val="24"/>
          <w:highlight w:val="none"/>
        </w:rPr>
        <w:t>获取</w:t>
      </w:r>
      <w:r>
        <w:rPr>
          <w:rFonts w:ascii="Times New Roman" w:hAnsi="Times New Roman" w:eastAsia="仿宋_GB2312"/>
          <w:color w:val="auto"/>
          <w:sz w:val="24"/>
          <w:highlight w:val="none"/>
        </w:rPr>
        <w:t>磋商文件单位的名称不符。</w:t>
      </w:r>
    </w:p>
    <w:p w14:paraId="0830A546">
      <w:pPr>
        <w:pStyle w:val="22"/>
        <w:ind w:left="840" w:leftChars="400"/>
        <w:rPr>
          <w:rFonts w:ascii="Times New Roman" w:hAnsi="Times New Roman" w:eastAsia="仿宋_GB2312"/>
          <w:color w:val="auto"/>
          <w:sz w:val="24"/>
          <w:highlight w:val="none"/>
        </w:rPr>
      </w:pPr>
      <w:r>
        <w:rPr>
          <w:rFonts w:ascii="Times New Roman" w:hAnsi="Times New Roman" w:eastAsia="仿宋_GB2312"/>
          <w:color w:val="auto"/>
          <w:sz w:val="24"/>
          <w:highlight w:val="none"/>
        </w:rPr>
        <w:t>（3）磋商响应文件中未提交法定代表人授权书（法定代表人直接参加磋商未按要求提交其有效身份证）或授权书的合法性或有效性不符合磋商文件规定。授权代表本单位证明的有效性或符合性不符合要求的。</w:t>
      </w:r>
    </w:p>
    <w:p w14:paraId="06608CE9">
      <w:pPr>
        <w:pStyle w:val="22"/>
        <w:ind w:left="840" w:leftChars="400"/>
        <w:rPr>
          <w:rFonts w:ascii="Times New Roman" w:hAnsi="Times New Roman" w:eastAsia="仿宋_GB2312"/>
          <w:color w:val="auto"/>
          <w:sz w:val="24"/>
          <w:highlight w:val="none"/>
        </w:rPr>
      </w:pPr>
      <w:r>
        <w:rPr>
          <w:rFonts w:ascii="Times New Roman" w:hAnsi="Times New Roman" w:eastAsia="仿宋_GB2312"/>
          <w:color w:val="auto"/>
          <w:sz w:val="24"/>
          <w:highlight w:val="none"/>
        </w:rPr>
        <w:t>（4）信用查询中列入失信被执行人、重大税收违法</w:t>
      </w:r>
      <w:r>
        <w:rPr>
          <w:rFonts w:hint="eastAsia" w:ascii="Times New Roman" w:hAnsi="Times New Roman" w:eastAsia="仿宋_GB2312"/>
          <w:color w:val="auto"/>
          <w:sz w:val="24"/>
          <w:highlight w:val="none"/>
        </w:rPr>
        <w:t>失信主体</w:t>
      </w:r>
      <w:r>
        <w:rPr>
          <w:rFonts w:ascii="Times New Roman" w:hAnsi="Times New Roman" w:eastAsia="仿宋_GB2312"/>
          <w:color w:val="auto"/>
          <w:sz w:val="24"/>
          <w:highlight w:val="none"/>
        </w:rPr>
        <w:t>、政府采购严重违法失信行为记录名单及其他不符合《中华人民共和国政府采购法》第二十二条规定条件的供应商。</w:t>
      </w:r>
    </w:p>
    <w:p w14:paraId="57439A75">
      <w:pPr>
        <w:pStyle w:val="22"/>
        <w:ind w:left="840" w:leftChars="400"/>
        <w:rPr>
          <w:rFonts w:ascii="Times New Roman" w:hAnsi="Times New Roman" w:eastAsia="仿宋_GB2312"/>
          <w:color w:val="auto"/>
          <w:sz w:val="24"/>
          <w:highlight w:val="none"/>
        </w:rPr>
      </w:pPr>
      <w:r>
        <w:rPr>
          <w:rFonts w:ascii="Times New Roman" w:hAnsi="Times New Roman" w:eastAsia="仿宋_GB2312"/>
          <w:color w:val="auto"/>
          <w:sz w:val="24"/>
          <w:highlight w:val="none"/>
        </w:rPr>
        <w:t>（5）采购人或采购代理机构通过“信用中国”网站(www.creditchina.gov.cn)、中国政府采购网(www.ccgp.gov.cn) 等查询相关主体信用记录，并将查询网页打印、存档备查。</w:t>
      </w:r>
    </w:p>
    <w:p w14:paraId="1DCD8A28">
      <w:pPr>
        <w:pStyle w:val="22"/>
        <w:ind w:left="840" w:leftChars="400"/>
        <w:rPr>
          <w:rFonts w:ascii="Times New Roman" w:hAnsi="Times New Roman" w:eastAsia="仿宋_GB2312"/>
          <w:color w:val="auto"/>
          <w:sz w:val="24"/>
          <w:highlight w:val="none"/>
        </w:rPr>
      </w:pPr>
      <w:r>
        <w:rPr>
          <w:rFonts w:ascii="Times New Roman" w:hAnsi="Times New Roman" w:eastAsia="仿宋_GB2312"/>
          <w:color w:val="auto"/>
          <w:sz w:val="24"/>
          <w:highlight w:val="none"/>
        </w:rPr>
        <w:t>（6）查询时间为磋商文件发售期至评审截止时间前，此段时间段外，网站信息发生的任何变更均不作为资格审查依据。</w:t>
      </w:r>
    </w:p>
    <w:p w14:paraId="5F014A5A">
      <w:pPr>
        <w:pStyle w:val="22"/>
        <w:ind w:left="840" w:leftChars="400"/>
        <w:rPr>
          <w:rFonts w:ascii="Times New Roman" w:hAnsi="Times New Roman" w:eastAsia="仿宋_GB2312"/>
          <w:color w:val="auto"/>
          <w:sz w:val="24"/>
          <w:highlight w:val="none"/>
        </w:rPr>
      </w:pPr>
      <w:r>
        <w:rPr>
          <w:rFonts w:ascii="Times New Roman" w:hAnsi="Times New Roman" w:eastAsia="仿宋_GB2312"/>
          <w:color w:val="auto"/>
          <w:sz w:val="24"/>
          <w:highlight w:val="none"/>
        </w:rPr>
        <w:t>供应商不良信用记录以采购人或采购代理机构查询结果为准。供应商自行提供的与网站信息不一致的其他证明材料亦不作为资格审查依据。</w:t>
      </w:r>
    </w:p>
    <w:p w14:paraId="1C3854FB">
      <w:pPr>
        <w:pStyle w:val="22"/>
        <w:ind w:left="840" w:leftChars="400"/>
        <w:rPr>
          <w:rFonts w:ascii="Times New Roman" w:hAnsi="Times New Roman" w:eastAsia="仿宋_GB2312"/>
          <w:color w:val="auto"/>
          <w:sz w:val="24"/>
          <w:highlight w:val="none"/>
        </w:rPr>
      </w:pPr>
      <w:r>
        <w:rPr>
          <w:rFonts w:ascii="Times New Roman" w:hAnsi="Times New Roman" w:eastAsia="仿宋_GB2312"/>
          <w:color w:val="auto"/>
          <w:sz w:val="24"/>
          <w:highlight w:val="none"/>
        </w:rPr>
        <w:t>（7）(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66492F8F">
      <w:pPr>
        <w:pStyle w:val="22"/>
        <w:ind w:left="840" w:leftChars="400"/>
        <w:rPr>
          <w:rFonts w:hint="eastAsia" w:ascii="Times New Roman" w:hAnsi="Times New Roman" w:eastAsia="仿宋_GB2312"/>
          <w:color w:val="auto"/>
          <w:sz w:val="24"/>
          <w:highlight w:val="none"/>
        </w:rPr>
      </w:pPr>
      <w:r>
        <w:rPr>
          <w:rFonts w:ascii="Times New Roman" w:hAnsi="Times New Roman" w:eastAsia="仿宋_GB2312"/>
          <w:b/>
          <w:color w:val="auto"/>
          <w:sz w:val="24"/>
          <w:highlight w:val="none"/>
        </w:rPr>
        <w:t>23.2.2 磋商响应文件有效性、完整性和响应程度审查：</w:t>
      </w:r>
      <w:r>
        <w:rPr>
          <w:rFonts w:hint="eastAsia" w:ascii="Times New Roman" w:hAnsi="Times New Roman" w:eastAsia="仿宋_GB2312"/>
          <w:color w:val="auto"/>
          <w:sz w:val="24"/>
          <w:highlight w:val="none"/>
        </w:rPr>
        <w:t>磋商小组负责对通过资格审查的响应文件的有效性、完整性和响应性进行审查，以确定是否满足磋商文件要求，出现下列情况者（但不限于），按无效文件处理。</w:t>
      </w:r>
    </w:p>
    <w:p w14:paraId="78846933">
      <w:pPr>
        <w:pStyle w:val="22"/>
        <w:ind w:left="840" w:leftChars="400"/>
        <w:rPr>
          <w:rFonts w:hint="default" w:ascii="Times New Roman" w:hAnsi="Times New Roman" w:eastAsia="仿宋_GB2312"/>
          <w:color w:val="auto"/>
          <w:sz w:val="24"/>
          <w:highlight w:val="none"/>
        </w:rPr>
      </w:pPr>
      <w:r>
        <w:rPr>
          <w:rFonts w:hint="default" w:ascii="Times New Roman" w:hAnsi="Times New Roman" w:eastAsia="仿宋_GB2312"/>
          <w:color w:val="auto"/>
          <w:sz w:val="24"/>
          <w:highlight w:val="none"/>
        </w:rPr>
        <w:t>（1）供应商未按磋商文件要求加盖单位公章。</w:t>
      </w:r>
    </w:p>
    <w:p w14:paraId="1A946231">
      <w:pPr>
        <w:pStyle w:val="22"/>
        <w:ind w:left="840" w:leftChars="400"/>
        <w:rPr>
          <w:rFonts w:hint="default" w:ascii="Times New Roman" w:hAnsi="Times New Roman" w:eastAsia="仿宋_GB2312"/>
          <w:color w:val="auto"/>
          <w:sz w:val="24"/>
          <w:highlight w:val="none"/>
        </w:rPr>
      </w:pPr>
      <w:r>
        <w:rPr>
          <w:rFonts w:hint="default" w:ascii="Times New Roman" w:hAnsi="Times New Roman" w:eastAsia="仿宋_GB2312"/>
          <w:color w:val="auto"/>
          <w:sz w:val="24"/>
          <w:highlight w:val="none"/>
        </w:rPr>
        <w:t>（2）磋商响应文件未按磋商文件要求进行法定代表人或其</w:t>
      </w:r>
      <w:r>
        <w:rPr>
          <w:rFonts w:hint="default" w:ascii="Times New Roman" w:hAnsi="Times New Roman" w:eastAsia="仿宋_GB2312"/>
          <w:color w:val="auto"/>
          <w:sz w:val="24"/>
          <w:highlight w:val="none"/>
          <w:lang w:eastAsia="zh-CN"/>
        </w:rPr>
        <w:t>委托代理人</w:t>
      </w:r>
      <w:r>
        <w:rPr>
          <w:rFonts w:hint="default" w:ascii="Times New Roman" w:hAnsi="Times New Roman" w:eastAsia="仿宋_GB2312"/>
          <w:color w:val="auto"/>
          <w:sz w:val="24"/>
          <w:highlight w:val="none"/>
        </w:rPr>
        <w:t>签字。</w:t>
      </w:r>
    </w:p>
    <w:p w14:paraId="6B37FEE7">
      <w:pPr>
        <w:pStyle w:val="22"/>
        <w:ind w:left="840" w:leftChars="400"/>
        <w:rPr>
          <w:rFonts w:hint="default" w:ascii="Times New Roman" w:hAnsi="Times New Roman" w:eastAsia="仿宋_GB2312"/>
          <w:color w:val="auto"/>
          <w:sz w:val="24"/>
          <w:highlight w:val="none"/>
        </w:rPr>
      </w:pPr>
      <w:r>
        <w:rPr>
          <w:rFonts w:hint="default" w:ascii="Times New Roman" w:hAnsi="Times New Roman" w:eastAsia="仿宋_GB2312"/>
          <w:color w:val="auto"/>
          <w:sz w:val="24"/>
          <w:highlight w:val="none"/>
        </w:rPr>
        <w:t>（3）无有效期或有效期达不到磋商文件的要求。</w:t>
      </w:r>
    </w:p>
    <w:p w14:paraId="73675655">
      <w:pPr>
        <w:pStyle w:val="22"/>
        <w:ind w:left="840" w:leftChars="400"/>
        <w:rPr>
          <w:rFonts w:hint="default" w:ascii="Times New Roman" w:hAnsi="Times New Roman" w:eastAsia="仿宋_GB2312"/>
          <w:color w:val="auto"/>
          <w:sz w:val="24"/>
          <w:highlight w:val="none"/>
        </w:rPr>
      </w:pPr>
      <w:r>
        <w:rPr>
          <w:rFonts w:hint="default" w:ascii="Times New Roman" w:hAnsi="Times New Roman" w:eastAsia="仿宋_GB2312"/>
          <w:color w:val="auto"/>
          <w:sz w:val="24"/>
          <w:highlight w:val="none"/>
        </w:rPr>
        <w:t>（4）供应商首次磋商报价出现选择性报价。</w:t>
      </w:r>
    </w:p>
    <w:p w14:paraId="0217BAA6">
      <w:pPr>
        <w:pStyle w:val="22"/>
        <w:ind w:left="840" w:leftChars="400"/>
        <w:rPr>
          <w:rFonts w:hint="default" w:ascii="Times New Roman" w:hAnsi="Times New Roman" w:eastAsia="仿宋_GB2312"/>
          <w:color w:val="auto"/>
          <w:sz w:val="24"/>
          <w:highlight w:val="none"/>
        </w:rPr>
      </w:pPr>
      <w:r>
        <w:rPr>
          <w:rFonts w:hint="default" w:ascii="Times New Roman" w:hAnsi="Times New Roman" w:eastAsia="仿宋_GB2312"/>
          <w:color w:val="auto"/>
          <w:sz w:val="24"/>
          <w:highlight w:val="none"/>
        </w:rPr>
        <w:t>（5）首次磋商报价超出采购预算</w:t>
      </w:r>
      <w:r>
        <w:rPr>
          <w:rFonts w:hint="default" w:ascii="Times New Roman" w:hAnsi="Times New Roman" w:eastAsia="仿宋_GB2312"/>
          <w:color w:val="auto"/>
          <w:sz w:val="24"/>
          <w:highlight w:val="none"/>
          <w:lang w:val="en-US" w:eastAsia="zh-CN"/>
        </w:rPr>
        <w:t>或最高限价</w:t>
      </w:r>
      <w:r>
        <w:rPr>
          <w:rFonts w:hint="default" w:ascii="Times New Roman" w:hAnsi="Times New Roman" w:eastAsia="仿宋_GB2312"/>
          <w:color w:val="auto"/>
          <w:sz w:val="24"/>
          <w:highlight w:val="none"/>
        </w:rPr>
        <w:t>。</w:t>
      </w:r>
    </w:p>
    <w:p w14:paraId="2C1ABE77">
      <w:pPr>
        <w:pStyle w:val="22"/>
        <w:ind w:left="840" w:leftChars="400"/>
        <w:rPr>
          <w:rFonts w:hint="default" w:ascii="Times New Roman" w:hAnsi="Times New Roman" w:eastAsia="仿宋_GB2312"/>
          <w:color w:val="auto"/>
          <w:sz w:val="24"/>
          <w:highlight w:val="none"/>
        </w:rPr>
      </w:pPr>
      <w:r>
        <w:rPr>
          <w:rFonts w:hint="default" w:ascii="Times New Roman" w:hAnsi="Times New Roman" w:eastAsia="仿宋_GB2312"/>
          <w:color w:val="auto"/>
          <w:sz w:val="24"/>
          <w:highlight w:val="none"/>
        </w:rPr>
        <w:t>（6）响应文件中对合同草案条款附加了采购人难以接受的条件。</w:t>
      </w:r>
    </w:p>
    <w:p w14:paraId="01654A04">
      <w:pPr>
        <w:pStyle w:val="22"/>
        <w:ind w:left="840" w:leftChars="400"/>
        <w:rPr>
          <w:rFonts w:hint="default" w:ascii="Times New Roman" w:hAnsi="Times New Roman" w:eastAsia="仿宋_GB2312"/>
          <w:color w:val="auto"/>
          <w:sz w:val="24"/>
          <w:highlight w:val="none"/>
        </w:rPr>
      </w:pPr>
      <w:r>
        <w:rPr>
          <w:rFonts w:hint="default" w:ascii="Times New Roman" w:hAnsi="Times New Roman" w:eastAsia="仿宋_GB2312"/>
          <w:color w:val="auto"/>
          <w:sz w:val="24"/>
          <w:highlight w:val="none"/>
        </w:rPr>
        <w:t>（7）磋商内容出现漏项或数量与要求不符，出现重大负偏差。</w:t>
      </w:r>
    </w:p>
    <w:p w14:paraId="1C56BD3B">
      <w:pPr>
        <w:pStyle w:val="22"/>
        <w:ind w:left="840" w:leftChars="400"/>
        <w:rPr>
          <w:rFonts w:hint="default" w:ascii="Times New Roman" w:hAnsi="Times New Roman" w:eastAsia="仿宋_GB2312"/>
          <w:color w:val="auto"/>
          <w:sz w:val="24"/>
          <w:highlight w:val="none"/>
        </w:rPr>
      </w:pPr>
      <w:r>
        <w:rPr>
          <w:rFonts w:hint="default" w:ascii="Times New Roman" w:hAnsi="Times New Roman" w:eastAsia="仿宋_GB2312"/>
          <w:color w:val="auto"/>
          <w:sz w:val="24"/>
          <w:highlight w:val="none"/>
        </w:rPr>
        <w:t>（8）响应文件中技术指标达不到采购要求，降低了产品档次或影响产品性能、功能。</w:t>
      </w:r>
    </w:p>
    <w:p w14:paraId="17166BDF">
      <w:pPr>
        <w:pStyle w:val="22"/>
        <w:ind w:left="840" w:leftChars="400"/>
        <w:rPr>
          <w:rFonts w:hint="default" w:ascii="Times New Roman" w:hAnsi="Times New Roman" w:eastAsia="仿宋_GB2312"/>
          <w:color w:val="auto"/>
          <w:sz w:val="24"/>
          <w:highlight w:val="none"/>
        </w:rPr>
      </w:pPr>
      <w:r>
        <w:rPr>
          <w:rFonts w:hint="default" w:ascii="Times New Roman" w:hAnsi="Times New Roman" w:eastAsia="仿宋_GB2312"/>
          <w:color w:val="auto"/>
          <w:sz w:val="24"/>
          <w:highlight w:val="none"/>
        </w:rPr>
        <w:t>（9）响应报价与市场价偏离较大，低于成本，形成不正当竞争。</w:t>
      </w:r>
    </w:p>
    <w:p w14:paraId="7C8A0744">
      <w:pPr>
        <w:pStyle w:val="22"/>
        <w:ind w:left="840" w:leftChars="400"/>
        <w:rPr>
          <w:rFonts w:hint="default" w:ascii="Times New Roman" w:hAnsi="Times New Roman" w:eastAsia="仿宋_GB2312"/>
          <w:color w:val="auto"/>
          <w:sz w:val="24"/>
          <w:highlight w:val="none"/>
        </w:rPr>
      </w:pPr>
      <w:r>
        <w:rPr>
          <w:rFonts w:hint="default" w:ascii="Times New Roman" w:hAnsi="Times New Roman" w:eastAsia="仿宋_GB2312"/>
          <w:color w:val="auto"/>
          <w:sz w:val="24"/>
          <w:highlight w:val="none"/>
        </w:rPr>
        <w:t>（10）供应商提供虚假证明，开具虚假资质，出现虚假应答或故意隐瞒行为。</w:t>
      </w:r>
    </w:p>
    <w:p w14:paraId="300BF63C">
      <w:pPr>
        <w:pStyle w:val="22"/>
        <w:ind w:left="840" w:leftChars="400"/>
        <w:rPr>
          <w:rFonts w:hint="default" w:ascii="Times New Roman" w:hAnsi="Times New Roman" w:eastAsia="仿宋_GB2312"/>
          <w:color w:val="auto"/>
          <w:sz w:val="24"/>
          <w:highlight w:val="none"/>
        </w:rPr>
      </w:pPr>
      <w:r>
        <w:rPr>
          <w:rFonts w:hint="default" w:ascii="Times New Roman" w:hAnsi="Times New Roman" w:eastAsia="仿宋_GB2312"/>
          <w:color w:val="auto"/>
          <w:sz w:val="24"/>
          <w:highlight w:val="none"/>
        </w:rPr>
        <w:t>（11）保证金未提交或未提交至指定账户、或提交保证金不符合磋商文件要求的。</w:t>
      </w:r>
    </w:p>
    <w:p w14:paraId="6D69526F">
      <w:pPr>
        <w:pStyle w:val="22"/>
        <w:ind w:left="840" w:leftChars="400"/>
        <w:rPr>
          <w:rFonts w:hint="default" w:ascii="Times New Roman" w:hAnsi="Times New Roman" w:eastAsia="仿宋_GB2312"/>
          <w:color w:val="auto"/>
          <w:sz w:val="24"/>
          <w:highlight w:val="none"/>
          <w:lang w:eastAsia="zh-CN"/>
        </w:rPr>
      </w:pPr>
      <w:r>
        <w:rPr>
          <w:rFonts w:hint="default" w:ascii="Times New Roman" w:hAnsi="Times New Roman" w:eastAsia="仿宋_GB2312"/>
          <w:color w:val="auto"/>
          <w:sz w:val="24"/>
          <w:highlight w:val="none"/>
          <w:lang w:eastAsia="zh-CN"/>
        </w:rPr>
        <w:t>（</w:t>
      </w:r>
      <w:r>
        <w:rPr>
          <w:rFonts w:hint="default" w:ascii="Times New Roman" w:hAnsi="Times New Roman" w:eastAsia="仿宋_GB2312"/>
          <w:color w:val="auto"/>
          <w:sz w:val="24"/>
          <w:highlight w:val="none"/>
          <w:lang w:val="en-US" w:eastAsia="zh-CN"/>
        </w:rPr>
        <w:t>12</w:t>
      </w:r>
      <w:r>
        <w:rPr>
          <w:rFonts w:hint="default" w:ascii="Times New Roman" w:hAnsi="Times New Roman" w:eastAsia="仿宋_GB2312"/>
          <w:color w:val="auto"/>
          <w:sz w:val="24"/>
          <w:highlight w:val="none"/>
          <w:lang w:eastAsia="zh-CN"/>
        </w:rPr>
        <w:t>）如供应商为提供服务所伴随的货物为政府强制采购的产品，供应商所投产品应属于品目清单的强制采购部分。供应商应提供有效期内的认证证书或相关证明，否则其响应文件将被认定为无效；</w:t>
      </w:r>
    </w:p>
    <w:p w14:paraId="1C14C701">
      <w:pPr>
        <w:pStyle w:val="22"/>
        <w:ind w:left="840" w:leftChars="400"/>
        <w:rPr>
          <w:rFonts w:hint="default" w:ascii="Times New Roman" w:hAnsi="Times New Roman" w:eastAsia="仿宋_GB2312"/>
          <w:color w:val="auto"/>
          <w:sz w:val="24"/>
          <w:highlight w:val="none"/>
          <w:lang w:eastAsia="zh-CN"/>
        </w:rPr>
      </w:pPr>
      <w:r>
        <w:rPr>
          <w:rFonts w:hint="default" w:ascii="Times New Roman" w:hAnsi="Times New Roman" w:eastAsia="仿宋_GB2312"/>
          <w:color w:val="auto"/>
          <w:sz w:val="24"/>
          <w:highlight w:val="none"/>
          <w:lang w:eastAsia="zh-CN"/>
        </w:rPr>
        <w:t>（</w:t>
      </w:r>
      <w:r>
        <w:rPr>
          <w:rFonts w:hint="default" w:ascii="Times New Roman" w:hAnsi="Times New Roman" w:eastAsia="仿宋_GB2312"/>
          <w:color w:val="auto"/>
          <w:sz w:val="24"/>
          <w:highlight w:val="none"/>
          <w:lang w:val="en-US" w:eastAsia="zh-CN"/>
        </w:rPr>
        <w:t>13</w:t>
      </w:r>
      <w:r>
        <w:rPr>
          <w:rFonts w:hint="default" w:ascii="Times New Roman" w:hAnsi="Times New Roman" w:eastAsia="仿宋_GB2312"/>
          <w:color w:val="auto"/>
          <w:sz w:val="24"/>
          <w:highlight w:val="none"/>
          <w:lang w:eastAsia="zh-CN"/>
        </w:rPr>
        <w:t>）如供应商为提供服务所伴随的货物属于网络关键设备和网络安全专用产品的，供应商所投产品应为经具备资格的机构安全认证合格或者安全检测符合要求的产品。供应商应提供相关证明，否则其响应文件将被认定为无效。</w:t>
      </w:r>
    </w:p>
    <w:p w14:paraId="2E85C204">
      <w:pPr>
        <w:pStyle w:val="22"/>
        <w:ind w:left="840" w:leftChars="400"/>
        <w:rPr>
          <w:rFonts w:hint="eastAsia" w:ascii="Times New Roman" w:hAnsi="Times New Roman" w:eastAsia="仿宋_GB2312"/>
          <w:color w:val="auto"/>
          <w:sz w:val="24"/>
          <w:highlight w:val="none"/>
          <w:lang w:val="en-US" w:eastAsia="zh-CN"/>
        </w:rPr>
      </w:pPr>
      <w:r>
        <w:rPr>
          <w:rFonts w:hint="default" w:ascii="Times New Roman" w:hAnsi="Times New Roman" w:eastAsia="仿宋_GB2312"/>
          <w:color w:val="auto"/>
          <w:sz w:val="24"/>
          <w:highlight w:val="none"/>
          <w:lang w:val="en-US" w:eastAsia="zh-CN"/>
        </w:rPr>
        <w:t>（14）支持本国产品。</w:t>
      </w:r>
      <w:r>
        <w:rPr>
          <w:rFonts w:hint="eastAsia" w:ascii="Times New Roman" w:hAnsi="Times New Roman" w:eastAsia="仿宋_GB2312"/>
          <w:color w:val="auto"/>
          <w:sz w:val="24"/>
          <w:highlight w:val="none"/>
          <w:lang w:val="en-US" w:eastAsia="zh-CN"/>
        </w:rPr>
        <w:t>根据《国务院办公厅关于在政府采购中实施本国产品标准及相关政策的通知》（国办发﹝2025﹞34号）和《陕西省财政厅关于在政府采购活动中实施本国产品标准及相关政策的通知》（陕财办采〔2026〕2 号）要求，当采购项目或采购包的采购标的仅包含单一产品时，政府采购活动中既有本国产品又有非本国产品参与竞争的，依法对本国产品给予价格评审优惠，对本国产品的报价给予20%的价格扣除，用扣除后的价格参与评审。当采购项目或者采购包的采购标的中含有多种产品，供应商为该采购项目或者采购包提供的符合本国产品标准的产品成本之和占该供应商提供的全部产品成本之和的比例达到80%以上时，且供应商在投标（响应）文件中对此作出承诺的，则依法对该供应商提供的全部产品给予价格评审优惠，即对该供应商提供的全部产品的总报价给予20%的价格扣除，用扣除后的价格参与评审。全部产品是指货物或服务采购项目或采购包中包含的全部货物、服务产品。</w:t>
      </w:r>
    </w:p>
    <w:p w14:paraId="35FEC718">
      <w:pPr>
        <w:pStyle w:val="22"/>
        <w:ind w:left="840" w:leftChars="400"/>
        <w:rPr>
          <w:rFonts w:ascii="Times New Roman" w:hAnsi="Times New Roman" w:eastAsia="仿宋_GB2312"/>
          <w:color w:val="auto"/>
          <w:sz w:val="24"/>
          <w:highlight w:val="none"/>
        </w:rPr>
      </w:pPr>
      <w:r>
        <w:rPr>
          <w:rFonts w:hint="eastAsia" w:ascii="Times New Roman" w:hAnsi="Times New Roman" w:eastAsia="仿宋_GB2312"/>
          <w:color w:val="auto"/>
          <w:sz w:val="24"/>
          <w:highlight w:val="none"/>
          <w:lang w:val="en-US" w:eastAsia="zh-CN"/>
        </w:rPr>
        <w:t>供应商对其提供的产品出具《关于符合本国产品标准的声明函》（格式详见第七章投标文件格式）或财政部会同有关部门规定的有关证明文件，《声明函》或有关证明文件符合要求的，该产品视为本国产品。本项目适用情形详见“投标人须知前附表”的规定。</w:t>
      </w:r>
      <w:r>
        <w:rPr>
          <w:rFonts w:ascii="Times New Roman" w:hAnsi="Times New Roman" w:eastAsia="仿宋_GB2312"/>
          <w:color w:val="auto"/>
          <w:sz w:val="24"/>
          <w:highlight w:val="none"/>
        </w:rPr>
        <w:t xml:space="preserve"> </w:t>
      </w:r>
    </w:p>
    <w:p w14:paraId="263C6FF3">
      <w:pPr>
        <w:pStyle w:val="4"/>
        <w:tabs>
          <w:tab w:val="left" w:pos="360"/>
        </w:tabs>
        <w:rPr>
          <w:rFonts w:ascii="Times New Roman" w:hAnsi="Times New Roman" w:eastAsia="仿宋_GB2312"/>
          <w:b/>
          <w:color w:val="auto"/>
          <w:sz w:val="24"/>
          <w:szCs w:val="21"/>
          <w:highlight w:val="none"/>
        </w:rPr>
      </w:pPr>
      <w:bookmarkStart w:id="317" w:name="_Toc58504512"/>
      <w:r>
        <w:rPr>
          <w:rFonts w:ascii="Times New Roman" w:hAnsi="Times New Roman" w:eastAsia="仿宋_GB2312"/>
          <w:b/>
          <w:color w:val="auto"/>
          <w:sz w:val="24"/>
          <w:szCs w:val="21"/>
          <w:highlight w:val="none"/>
        </w:rPr>
        <w:t>23.3   磋商</w:t>
      </w:r>
      <w:bookmarkEnd w:id="317"/>
    </w:p>
    <w:p w14:paraId="15BA91D5">
      <w:pPr>
        <w:pStyle w:val="22"/>
        <w:ind w:left="840" w:hanging="840" w:hangingChars="350"/>
        <w:rPr>
          <w:rFonts w:ascii="Times New Roman" w:hAnsi="Times New Roman" w:eastAsia="仿宋_GB2312"/>
          <w:color w:val="auto"/>
          <w:sz w:val="24"/>
          <w:highlight w:val="none"/>
        </w:rPr>
      </w:pPr>
      <w:bookmarkStart w:id="318" w:name="_Toc58504513"/>
      <w:r>
        <w:rPr>
          <w:rFonts w:ascii="Times New Roman" w:hAnsi="Times New Roman" w:eastAsia="仿宋_GB2312"/>
          <w:color w:val="auto"/>
          <w:sz w:val="24"/>
          <w:highlight w:val="none"/>
        </w:rPr>
        <w:t>23.3.1 磋商小组集中与各供应商分别进行磋商，并给所有参加磋商供应商平等的磋商机会。</w:t>
      </w:r>
      <w:bookmarkEnd w:id="318"/>
    </w:p>
    <w:p w14:paraId="18F4C2D5">
      <w:pPr>
        <w:pStyle w:val="22"/>
        <w:ind w:left="840" w:hanging="840" w:hangingChars="350"/>
        <w:rPr>
          <w:rFonts w:ascii="Times New Roman" w:hAnsi="Times New Roman" w:eastAsia="仿宋_GB2312"/>
          <w:color w:val="auto"/>
          <w:sz w:val="24"/>
          <w:highlight w:val="none"/>
        </w:rPr>
      </w:pPr>
      <w:r>
        <w:rPr>
          <w:rFonts w:ascii="Times New Roman" w:hAnsi="Times New Roman" w:eastAsia="仿宋_GB2312"/>
          <w:color w:val="auto"/>
          <w:sz w:val="24"/>
          <w:highlight w:val="none"/>
        </w:rPr>
        <w:t>23.3.2 磋商小组在对响应文件的有效性、完整性和响应程度进行审核时，以</w:t>
      </w:r>
      <w:r>
        <w:rPr>
          <w:rFonts w:ascii="Times New Roman" w:hAnsi="Times New Roman" w:eastAsia="仿宋_GB2312"/>
          <w:b/>
          <w:color w:val="auto"/>
          <w:sz w:val="24"/>
          <w:highlight w:val="none"/>
        </w:rPr>
        <w:t>书面形式</w:t>
      </w:r>
      <w:r>
        <w:rPr>
          <w:rFonts w:ascii="Times New Roman" w:hAnsi="Times New Roman" w:eastAsia="仿宋_GB2312"/>
          <w:color w:val="auto"/>
          <w:sz w:val="24"/>
          <w:highlight w:val="none"/>
        </w:rPr>
        <w:t>要求供应商对响应文件中含义不明确、同类问题表述不一致、或者明显文字和计算错误的内容在约定时间内做出必要的澄清、说明或更正。供应商澄清、说明或者更正应当由法定代表人或者授权代表签字或者加盖公章。澄清、说明或者更正不得超出响应范围，或者改变响应文件的实质性内容。</w:t>
      </w:r>
    </w:p>
    <w:p w14:paraId="24AF1549">
      <w:pPr>
        <w:pStyle w:val="22"/>
        <w:ind w:left="840" w:hanging="840" w:hangingChars="350"/>
        <w:rPr>
          <w:rFonts w:ascii="Times New Roman" w:hAnsi="Times New Roman" w:eastAsia="仿宋_GB2312"/>
          <w:color w:val="auto"/>
          <w:sz w:val="24"/>
          <w:highlight w:val="none"/>
        </w:rPr>
      </w:pPr>
      <w:r>
        <w:rPr>
          <w:rFonts w:ascii="Times New Roman" w:hAnsi="Times New Roman" w:eastAsia="仿宋_GB2312"/>
          <w:color w:val="auto"/>
          <w:sz w:val="24"/>
          <w:highlight w:val="none"/>
        </w:rPr>
        <w:t>23.3.3 磋商过程中，磋商小组可以根据磋商文件和磋商情况实质性变动采购需求中的技术、服务要求以及合同草案条款，但不得变动磋商文件中的其他内容。实质性变动的内容，需经采购人代表确认，并成为磋商文件的有效组成部分。</w:t>
      </w:r>
    </w:p>
    <w:p w14:paraId="1F903A0F">
      <w:pPr>
        <w:pStyle w:val="22"/>
        <w:rPr>
          <w:rFonts w:ascii="Times New Roman" w:hAnsi="Times New Roman" w:eastAsia="仿宋_GB2312"/>
          <w:color w:val="auto"/>
          <w:sz w:val="24"/>
          <w:highlight w:val="none"/>
        </w:rPr>
      </w:pPr>
      <w:r>
        <w:rPr>
          <w:rFonts w:ascii="Times New Roman" w:hAnsi="Times New Roman" w:eastAsia="仿宋_GB2312"/>
          <w:color w:val="auto"/>
          <w:sz w:val="24"/>
          <w:highlight w:val="none"/>
        </w:rPr>
        <w:t>23.3.4 如出现下述情形之一的，视为供应商主动退出磋商，其响应将被拒绝：</w:t>
      </w:r>
    </w:p>
    <w:p w14:paraId="57CF842F">
      <w:pPr>
        <w:pStyle w:val="22"/>
        <w:ind w:left="840" w:leftChars="400"/>
        <w:rPr>
          <w:rFonts w:ascii="Times New Roman" w:hAnsi="Times New Roman" w:eastAsia="仿宋_GB2312"/>
          <w:color w:val="auto"/>
          <w:sz w:val="24"/>
          <w:highlight w:val="none"/>
        </w:rPr>
      </w:pPr>
      <w:r>
        <w:rPr>
          <w:rFonts w:ascii="Times New Roman" w:hAnsi="Times New Roman" w:eastAsia="仿宋_GB2312"/>
          <w:color w:val="auto"/>
          <w:sz w:val="24"/>
          <w:highlight w:val="none"/>
        </w:rPr>
        <w:t>（1）供应商未按要求确认磋商小组确定的本项目最终技术需求的；</w:t>
      </w:r>
    </w:p>
    <w:p w14:paraId="5CEC0405">
      <w:pPr>
        <w:pStyle w:val="22"/>
        <w:ind w:left="840" w:leftChars="400"/>
        <w:rPr>
          <w:rFonts w:ascii="Times New Roman" w:hAnsi="Times New Roman" w:eastAsia="仿宋_GB2312"/>
          <w:color w:val="auto"/>
          <w:sz w:val="24"/>
          <w:highlight w:val="none"/>
        </w:rPr>
      </w:pPr>
      <w:r>
        <w:rPr>
          <w:rFonts w:ascii="Times New Roman" w:hAnsi="Times New Roman" w:eastAsia="仿宋_GB2312"/>
          <w:color w:val="auto"/>
          <w:sz w:val="24"/>
          <w:highlight w:val="none"/>
        </w:rPr>
        <w:t>（2）最后报价未实质性响应磋商小组确定的本项目最终技术需求的，或附有采购人无法接受的条件的。</w:t>
      </w:r>
    </w:p>
    <w:p w14:paraId="33442785">
      <w:pPr>
        <w:pStyle w:val="22"/>
        <w:rPr>
          <w:rFonts w:ascii="Times New Roman" w:hAnsi="Times New Roman" w:eastAsia="仿宋_GB2312"/>
          <w:b/>
          <w:color w:val="auto"/>
          <w:sz w:val="24"/>
          <w:szCs w:val="21"/>
          <w:highlight w:val="none"/>
        </w:rPr>
      </w:pPr>
      <w:r>
        <w:rPr>
          <w:rFonts w:ascii="Times New Roman" w:hAnsi="Times New Roman" w:eastAsia="仿宋_GB2312"/>
          <w:b/>
          <w:color w:val="auto"/>
          <w:sz w:val="24"/>
          <w:szCs w:val="21"/>
          <w:highlight w:val="none"/>
        </w:rPr>
        <w:t>23.4   最后报价</w:t>
      </w:r>
    </w:p>
    <w:p w14:paraId="7C3FC25E">
      <w:pPr>
        <w:pStyle w:val="22"/>
        <w:ind w:left="840" w:hanging="840" w:hangingChars="350"/>
        <w:rPr>
          <w:rFonts w:ascii="Times New Roman" w:hAnsi="Times New Roman" w:eastAsia="仿宋_GB2312"/>
          <w:color w:val="auto"/>
          <w:sz w:val="24"/>
          <w:highlight w:val="none"/>
        </w:rPr>
      </w:pPr>
      <w:r>
        <w:rPr>
          <w:rFonts w:ascii="Times New Roman" w:hAnsi="Times New Roman" w:eastAsia="仿宋_GB2312"/>
          <w:color w:val="auto"/>
          <w:sz w:val="24"/>
          <w:highlight w:val="none"/>
        </w:rPr>
        <w:t>23.4.1 磋商结束后，磋商小组要求所有实质性响应的供应商在规定时间内提交最后报价，提交最后报价的供应商不少于3家。最后报价是供应商响应文件的有效组成部分。</w:t>
      </w:r>
    </w:p>
    <w:p w14:paraId="4A57A8B4">
      <w:pPr>
        <w:pStyle w:val="22"/>
        <w:ind w:left="840" w:hanging="840" w:hangingChars="350"/>
        <w:rPr>
          <w:rFonts w:ascii="Times New Roman" w:hAnsi="Times New Roman" w:eastAsia="仿宋_GB2312"/>
          <w:color w:val="auto"/>
          <w:sz w:val="24"/>
          <w:highlight w:val="none"/>
        </w:rPr>
      </w:pPr>
      <w:r>
        <w:rPr>
          <w:rFonts w:ascii="Times New Roman" w:hAnsi="Times New Roman" w:eastAsia="仿宋_GB2312"/>
          <w:color w:val="auto"/>
          <w:sz w:val="24"/>
          <w:highlight w:val="none"/>
        </w:rPr>
        <w:t xml:space="preserve">23.4.2 </w:t>
      </w:r>
      <w:r>
        <w:rPr>
          <w:rFonts w:ascii="Times New Roman" w:hAnsi="Times New Roman" w:eastAsia="仿宋_GB2312"/>
          <w:b/>
          <w:bCs/>
          <w:color w:val="auto"/>
          <w:sz w:val="24"/>
          <w:highlight w:val="none"/>
        </w:rPr>
        <w:t>最后报价应</w:t>
      </w:r>
      <w:r>
        <w:rPr>
          <w:rFonts w:hint="eastAsia" w:ascii="Times New Roman" w:hAnsi="Times New Roman" w:eastAsia="仿宋_GB2312"/>
          <w:b/>
          <w:bCs/>
          <w:color w:val="auto"/>
          <w:sz w:val="24"/>
          <w:szCs w:val="24"/>
          <w:highlight w:val="none"/>
          <w:lang w:eastAsia="zh-CN"/>
        </w:rPr>
        <w:t>使用</w:t>
      </w:r>
      <w:r>
        <w:rPr>
          <w:rFonts w:hint="eastAsia" w:ascii="Times New Roman" w:hAnsi="Times New Roman" w:eastAsia="仿宋_GB2312"/>
          <w:b/>
          <w:bCs/>
          <w:color w:val="auto"/>
          <w:sz w:val="24"/>
          <w:szCs w:val="24"/>
          <w:highlight w:val="none"/>
          <w:lang w:val="en-US" w:eastAsia="zh-CN"/>
        </w:rPr>
        <w:t>CA锁进行远程二次报价</w:t>
      </w:r>
      <w:r>
        <w:rPr>
          <w:rFonts w:ascii="Times New Roman" w:hAnsi="Times New Roman" w:eastAsia="仿宋_GB2312"/>
          <w:b/>
          <w:bCs/>
          <w:color w:val="auto"/>
          <w:sz w:val="24"/>
          <w:highlight w:val="none"/>
        </w:rPr>
        <w:t>按报价。</w:t>
      </w:r>
    </w:p>
    <w:p w14:paraId="6C0E0078">
      <w:pPr>
        <w:pStyle w:val="4"/>
        <w:rPr>
          <w:rFonts w:ascii="Times New Roman" w:hAnsi="Times New Roman" w:eastAsia="仿宋_GB2312"/>
          <w:b/>
          <w:bCs/>
          <w:color w:val="auto"/>
          <w:sz w:val="24"/>
          <w:szCs w:val="21"/>
          <w:highlight w:val="none"/>
        </w:rPr>
      </w:pPr>
      <w:bookmarkStart w:id="319" w:name="_Toc150774646"/>
      <w:bookmarkStart w:id="320" w:name="_Toc164229387"/>
      <w:bookmarkStart w:id="321" w:name="_Toc520356170"/>
      <w:bookmarkStart w:id="322" w:name="_Toc127151747"/>
      <w:bookmarkStart w:id="323" w:name="_Toc151193934"/>
      <w:bookmarkStart w:id="324" w:name="_Toc150509297"/>
      <w:bookmarkStart w:id="325" w:name="_Toc195842911"/>
      <w:bookmarkStart w:id="326" w:name="_Toc164608660"/>
      <w:bookmarkStart w:id="327" w:name="_Toc249515310"/>
      <w:bookmarkStart w:id="328" w:name="_Toc127161460"/>
      <w:bookmarkStart w:id="329" w:name="_Toc164608815"/>
      <w:bookmarkStart w:id="330" w:name="_Toc249525191"/>
      <w:bookmarkStart w:id="331" w:name="_Toc151193788"/>
      <w:bookmarkStart w:id="332" w:name="_Toc151193644"/>
      <w:bookmarkStart w:id="333" w:name="_Toc164351640"/>
      <w:bookmarkStart w:id="334" w:name="_Toc249515422"/>
      <w:bookmarkStart w:id="335" w:name="_Toc150480784"/>
      <w:bookmarkStart w:id="336" w:name="_Toc13753"/>
      <w:bookmarkStart w:id="337" w:name="_Toc151193860"/>
      <w:bookmarkStart w:id="338" w:name="_Toc151190173"/>
      <w:bookmarkStart w:id="339" w:name="_Toc151193716"/>
      <w:bookmarkStart w:id="340" w:name="_Toc142311048"/>
      <w:bookmarkStart w:id="341" w:name="_Toc127151546"/>
      <w:bookmarkStart w:id="342" w:name="_Ref467307010"/>
      <w:bookmarkStart w:id="343" w:name="_Toc150774751"/>
      <w:bookmarkStart w:id="344" w:name="_Toc164229241"/>
      <w:bookmarkStart w:id="345" w:name="_Toc149720839"/>
      <w:r>
        <w:rPr>
          <w:rFonts w:ascii="Times New Roman" w:hAnsi="Times New Roman" w:eastAsia="仿宋_GB2312"/>
          <w:b/>
          <w:bCs/>
          <w:color w:val="auto"/>
          <w:sz w:val="24"/>
          <w:szCs w:val="21"/>
          <w:highlight w:val="none"/>
        </w:rPr>
        <w:t>24.    评审办法及</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r>
        <w:rPr>
          <w:rFonts w:ascii="Times New Roman" w:hAnsi="Times New Roman" w:eastAsia="仿宋_GB2312"/>
          <w:b/>
          <w:bCs/>
          <w:color w:val="auto"/>
          <w:sz w:val="24"/>
          <w:szCs w:val="21"/>
          <w:highlight w:val="none"/>
        </w:rPr>
        <w:t>落实政府采购政策，详见第三章。</w:t>
      </w:r>
    </w:p>
    <w:p w14:paraId="5F5013E8">
      <w:pPr>
        <w:rPr>
          <w:rFonts w:eastAsia="仿宋_GB2312"/>
          <w:color w:val="auto"/>
          <w:highlight w:val="none"/>
        </w:rPr>
      </w:pPr>
    </w:p>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16"/>
    <w:p w14:paraId="7795FE1D">
      <w:pPr>
        <w:rPr>
          <w:rFonts w:eastAsia="仿宋_GB2312"/>
          <w:color w:val="auto"/>
          <w:sz w:val="30"/>
          <w:szCs w:val="30"/>
          <w:highlight w:val="none"/>
        </w:rPr>
      </w:pPr>
      <w:bookmarkStart w:id="346" w:name="_Hlt497729446"/>
      <w:bookmarkEnd w:id="346"/>
      <w:bookmarkStart w:id="347" w:name="_Hlt491765714"/>
      <w:bookmarkEnd w:id="347"/>
      <w:bookmarkStart w:id="348" w:name="_Toc232176278"/>
      <w:bookmarkStart w:id="349" w:name="_Toc249515311"/>
      <w:bookmarkStart w:id="350" w:name="_Toc232395218"/>
      <w:bookmarkStart w:id="351" w:name="_Toc249515423"/>
      <w:bookmarkStart w:id="352" w:name="_Toc256342149"/>
      <w:bookmarkStart w:id="353" w:name="_Toc249525192"/>
      <w:bookmarkStart w:id="354" w:name="_Toc500747195"/>
      <w:bookmarkStart w:id="355" w:name="_Toc385992360"/>
      <w:bookmarkStart w:id="356" w:name="_Toc499711049"/>
      <w:bookmarkStart w:id="357" w:name="_Toc500746972"/>
      <w:bookmarkStart w:id="358" w:name="_Toc70687174"/>
      <w:bookmarkStart w:id="359" w:name="_Toc53722846"/>
      <w:bookmarkStart w:id="360" w:name="_Toc503063428"/>
      <w:bookmarkStart w:id="361" w:name="_Toc177995479"/>
      <w:bookmarkStart w:id="362" w:name="_Toc492955421"/>
      <w:bookmarkStart w:id="363" w:name="_Toc496324585"/>
      <w:bookmarkStart w:id="364" w:name="_Toc184043047"/>
      <w:bookmarkStart w:id="365" w:name="_Toc499711890"/>
      <w:bookmarkStart w:id="366" w:name="_Toc177189241"/>
      <w:bookmarkStart w:id="367" w:name="_Toc177817340"/>
      <w:bookmarkStart w:id="368" w:name="_Toc176882548"/>
      <w:bookmarkStart w:id="369" w:name="_Toc389620199"/>
      <w:bookmarkStart w:id="370" w:name="_Toc500747068"/>
      <w:r>
        <w:rPr>
          <w:rFonts w:eastAsia="仿宋_GB2312"/>
          <w:color w:val="auto"/>
          <w:sz w:val="30"/>
          <w:szCs w:val="30"/>
          <w:highlight w:val="none"/>
        </w:rPr>
        <w:br w:type="page"/>
      </w:r>
    </w:p>
    <w:p w14:paraId="1C48BA93">
      <w:pPr>
        <w:pStyle w:val="81"/>
        <w:spacing w:before="24" w:after="24"/>
        <w:jc w:val="center"/>
        <w:rPr>
          <w:rFonts w:eastAsia="仿宋_GB2312"/>
          <w:color w:val="auto"/>
          <w:sz w:val="30"/>
          <w:szCs w:val="30"/>
          <w:highlight w:val="none"/>
        </w:rPr>
      </w:pPr>
      <w:bookmarkStart w:id="371" w:name="_Toc7954"/>
      <w:r>
        <w:rPr>
          <w:rFonts w:eastAsia="仿宋_GB2312"/>
          <w:color w:val="auto"/>
          <w:sz w:val="30"/>
          <w:szCs w:val="30"/>
          <w:highlight w:val="none"/>
        </w:rPr>
        <w:t>六、确定成交单位、授予合同</w:t>
      </w:r>
      <w:bookmarkEnd w:id="348"/>
      <w:bookmarkEnd w:id="349"/>
      <w:bookmarkEnd w:id="350"/>
      <w:bookmarkEnd w:id="351"/>
      <w:bookmarkEnd w:id="352"/>
      <w:bookmarkEnd w:id="353"/>
      <w:bookmarkEnd w:id="371"/>
    </w:p>
    <w:p w14:paraId="34238722">
      <w:pPr>
        <w:rPr>
          <w:rFonts w:eastAsia="仿宋_GB2312"/>
          <w:color w:val="auto"/>
          <w:highlight w:val="none"/>
        </w:rPr>
      </w:pPr>
    </w:p>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14:paraId="5E0DFF5D">
      <w:pPr>
        <w:pStyle w:val="4"/>
        <w:numPr>
          <w:ilvl w:val="0"/>
          <w:numId w:val="10"/>
        </w:numPr>
        <w:rPr>
          <w:rFonts w:ascii="Times New Roman" w:hAnsi="Times New Roman" w:eastAsia="仿宋_GB2312"/>
          <w:b/>
          <w:bCs/>
          <w:color w:val="auto"/>
          <w:sz w:val="24"/>
          <w:szCs w:val="21"/>
          <w:highlight w:val="none"/>
        </w:rPr>
      </w:pPr>
      <w:bookmarkStart w:id="372" w:name="_Toc249515312"/>
      <w:bookmarkStart w:id="373" w:name="_Toc389620200"/>
      <w:bookmarkStart w:id="374" w:name="_Toc70687175"/>
      <w:bookmarkStart w:id="375" w:name="_Toc249515424"/>
      <w:bookmarkStart w:id="376" w:name="_Toc249525193"/>
      <w:bookmarkStart w:id="377" w:name="_Toc27151"/>
      <w:bookmarkStart w:id="378" w:name="_Toc385992361"/>
      <w:bookmarkStart w:id="379" w:name="_Toc184043048"/>
      <w:r>
        <w:rPr>
          <w:rFonts w:ascii="Times New Roman" w:hAnsi="Times New Roman" w:eastAsia="仿宋_GB2312"/>
          <w:b/>
          <w:bCs/>
          <w:color w:val="auto"/>
          <w:sz w:val="24"/>
          <w:szCs w:val="21"/>
          <w:highlight w:val="none"/>
        </w:rPr>
        <w:t xml:space="preserve">   确定成交</w:t>
      </w:r>
      <w:bookmarkEnd w:id="372"/>
      <w:bookmarkEnd w:id="373"/>
      <w:bookmarkEnd w:id="374"/>
      <w:bookmarkEnd w:id="375"/>
      <w:bookmarkEnd w:id="376"/>
      <w:bookmarkEnd w:id="377"/>
      <w:bookmarkEnd w:id="378"/>
      <w:bookmarkEnd w:id="379"/>
      <w:r>
        <w:rPr>
          <w:rFonts w:ascii="Times New Roman" w:hAnsi="Times New Roman" w:eastAsia="仿宋_GB2312"/>
          <w:b/>
          <w:bCs/>
          <w:color w:val="auto"/>
          <w:sz w:val="24"/>
          <w:szCs w:val="21"/>
          <w:highlight w:val="none"/>
        </w:rPr>
        <w:t>单位</w:t>
      </w:r>
    </w:p>
    <w:p w14:paraId="39ED7FB6">
      <w:pPr>
        <w:tabs>
          <w:tab w:val="left" w:pos="588"/>
        </w:tabs>
        <w:spacing w:line="360" w:lineRule="auto"/>
        <w:rPr>
          <w:rFonts w:eastAsia="仿宋_GB2312"/>
          <w:color w:val="auto"/>
          <w:sz w:val="24"/>
          <w:highlight w:val="none"/>
        </w:rPr>
      </w:pPr>
      <w:r>
        <w:rPr>
          <w:rFonts w:eastAsia="仿宋_GB2312"/>
          <w:color w:val="auto"/>
          <w:sz w:val="24"/>
          <w:highlight w:val="none"/>
        </w:rPr>
        <w:t>25.1   采购代理机构应在评审结束后两个工作日内，将评审报告送采购人。</w:t>
      </w:r>
    </w:p>
    <w:p w14:paraId="0847DDAE">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25.2   采购人在收到评审报告后五个工作日内，根据评审报告对评审过程及结果进行严格审核后确定成交供应商，复函采购代理机构。</w:t>
      </w:r>
    </w:p>
    <w:p w14:paraId="3DF6FA99">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25.3   采购代理机构在接到采购人的成交复函后，</w:t>
      </w:r>
      <w:r>
        <w:rPr>
          <w:rFonts w:hint="eastAsia" w:eastAsia="仿宋_GB2312"/>
          <w:color w:val="auto"/>
          <w:sz w:val="24"/>
          <w:highlight w:val="none"/>
        </w:rPr>
        <w:t>两个工作日内</w:t>
      </w:r>
      <w:r>
        <w:rPr>
          <w:rFonts w:eastAsia="仿宋_GB2312"/>
          <w:color w:val="auto"/>
          <w:sz w:val="24"/>
          <w:highlight w:val="none"/>
        </w:rPr>
        <w:t>在财政部门指定的政府采购信息发布媒体上公告，公告期限为一个工作日，并向成交供应商发出成交通知书。成交通知书是合同文件的组成部分。</w:t>
      </w:r>
    </w:p>
    <w:p w14:paraId="6EE393EB">
      <w:pPr>
        <w:tabs>
          <w:tab w:val="left" w:pos="588"/>
        </w:tabs>
        <w:spacing w:line="360" w:lineRule="auto"/>
        <w:rPr>
          <w:rFonts w:eastAsia="仿宋_GB2312"/>
          <w:color w:val="auto"/>
          <w:sz w:val="24"/>
          <w:highlight w:val="none"/>
        </w:rPr>
      </w:pPr>
      <w:r>
        <w:rPr>
          <w:rFonts w:eastAsia="仿宋_GB2312"/>
          <w:color w:val="auto"/>
          <w:sz w:val="24"/>
          <w:highlight w:val="none"/>
        </w:rPr>
        <w:t>25.4   采购代理机构将评审过程及成交供应商情况书面报监督机构备案。</w:t>
      </w:r>
      <w:bookmarkStart w:id="380" w:name="_Toc385992364"/>
      <w:bookmarkStart w:id="381" w:name="_Toc389620203"/>
    </w:p>
    <w:bookmarkEnd w:id="380"/>
    <w:bookmarkEnd w:id="381"/>
    <w:p w14:paraId="0323D6B8">
      <w:pPr>
        <w:pStyle w:val="4"/>
        <w:rPr>
          <w:rFonts w:ascii="Times New Roman" w:hAnsi="Times New Roman" w:eastAsia="仿宋_GB2312"/>
          <w:b/>
          <w:bCs/>
          <w:color w:val="auto"/>
          <w:sz w:val="24"/>
          <w:szCs w:val="21"/>
          <w:highlight w:val="none"/>
        </w:rPr>
      </w:pPr>
      <w:bookmarkStart w:id="382" w:name="_Toc389620204"/>
      <w:bookmarkStart w:id="383" w:name="_Toc385992365"/>
      <w:r>
        <w:rPr>
          <w:rFonts w:ascii="Times New Roman" w:hAnsi="Times New Roman" w:eastAsia="仿宋_GB2312"/>
          <w:b/>
          <w:bCs/>
          <w:color w:val="auto"/>
          <w:sz w:val="24"/>
          <w:szCs w:val="21"/>
          <w:highlight w:val="none"/>
        </w:rPr>
        <w:t>26.    合同</w:t>
      </w:r>
    </w:p>
    <w:p w14:paraId="2E7B7ED5">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26.1   自成交通知书发出后三十日内，按照磋商文件和成交供应商响应文件的约定，采购人与成交供应商洽谈合同条款，并签订合同。磋商文件及成交供应商的响应文件均作为合同的组成部分。</w:t>
      </w:r>
    </w:p>
    <w:p w14:paraId="4B1D6168">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26.2   确定成交单位后，成交供应商因自身原因未按程序签订合同，采购人将取消其成交资格，同时报请监督机构备案，没收其保证金。在此情况下，采购人可按评审结果顺序将合同授予下一成交候选人或重新采购。</w:t>
      </w:r>
    </w:p>
    <w:p w14:paraId="0A5C9AE3">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26.3   成交供应商签订合同后，持合同原件到采购代理机构，或采购代理机构根据陕西省政府采购网合同备案结果办理保证金退还手续。</w:t>
      </w:r>
    </w:p>
    <w:p w14:paraId="25A0E1DD">
      <w:pPr>
        <w:pStyle w:val="4"/>
        <w:rPr>
          <w:rFonts w:ascii="Times New Roman" w:hAnsi="Times New Roman" w:eastAsia="仿宋_GB2312"/>
          <w:b/>
          <w:bCs/>
          <w:color w:val="auto"/>
          <w:sz w:val="24"/>
          <w:szCs w:val="21"/>
          <w:highlight w:val="none"/>
        </w:rPr>
      </w:pPr>
      <w:r>
        <w:rPr>
          <w:rFonts w:ascii="Times New Roman" w:hAnsi="Times New Roman" w:eastAsia="仿宋_GB2312"/>
          <w:b/>
          <w:bCs/>
          <w:color w:val="auto"/>
          <w:sz w:val="24"/>
          <w:szCs w:val="21"/>
          <w:highlight w:val="none"/>
        </w:rPr>
        <w:t>27.    询问与质疑 </w:t>
      </w:r>
    </w:p>
    <w:p w14:paraId="255FED1B">
      <w:pPr>
        <w:tabs>
          <w:tab w:val="left" w:pos="588"/>
        </w:tabs>
        <w:spacing w:line="360" w:lineRule="auto"/>
        <w:rPr>
          <w:rFonts w:eastAsia="仿宋_GB2312"/>
          <w:color w:val="auto"/>
          <w:sz w:val="24"/>
          <w:highlight w:val="none"/>
        </w:rPr>
      </w:pPr>
      <w:r>
        <w:rPr>
          <w:rFonts w:eastAsia="仿宋_GB2312"/>
          <w:color w:val="auto"/>
          <w:sz w:val="24"/>
          <w:highlight w:val="none"/>
        </w:rPr>
        <w:t>27.1   供应商对政府采购活动事项有疑问的，可以向</w:t>
      </w:r>
      <w:r>
        <w:rPr>
          <w:rFonts w:hint="default" w:ascii="Times New Roman" w:hAnsi="Times New Roman" w:eastAsia="仿宋_GB2312" w:cs="Times New Roman"/>
          <w:sz w:val="24"/>
          <w:highlight w:val="none"/>
        </w:rPr>
        <w:t>采购人或采购代理机构</w:t>
      </w:r>
      <w:r>
        <w:rPr>
          <w:rFonts w:eastAsia="仿宋_GB2312"/>
          <w:color w:val="auto"/>
          <w:sz w:val="24"/>
          <w:highlight w:val="none"/>
        </w:rPr>
        <w:t>提出询问。</w:t>
      </w:r>
    </w:p>
    <w:p w14:paraId="2880C197">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27.2   供应商认为采购文件、采购过程和中标、成交结果使自己的权益受到损害的，可以在知道或者应知其权益受到损害之日起七个工作日内，以书面形式向采购人提出质疑。</w:t>
      </w:r>
    </w:p>
    <w:p w14:paraId="3457720B">
      <w:pPr>
        <w:tabs>
          <w:tab w:val="left" w:pos="588"/>
        </w:tabs>
        <w:spacing w:line="360" w:lineRule="auto"/>
        <w:rPr>
          <w:rFonts w:eastAsia="仿宋_GB2312"/>
          <w:color w:val="auto"/>
          <w:sz w:val="24"/>
          <w:highlight w:val="none"/>
        </w:rPr>
      </w:pPr>
      <w:r>
        <w:rPr>
          <w:rFonts w:eastAsia="仿宋_GB2312"/>
          <w:color w:val="auto"/>
          <w:sz w:val="24"/>
          <w:highlight w:val="none"/>
        </w:rPr>
        <w:t>27.3   质疑供应商在法定质疑期内须一次性提出针对同一采购程序环节的质疑。</w:t>
      </w:r>
    </w:p>
    <w:p w14:paraId="7C897772">
      <w:pPr>
        <w:tabs>
          <w:tab w:val="left" w:pos="588"/>
        </w:tabs>
        <w:spacing w:line="360" w:lineRule="auto"/>
        <w:rPr>
          <w:rFonts w:eastAsia="仿宋_GB2312"/>
          <w:color w:val="auto"/>
          <w:sz w:val="24"/>
          <w:highlight w:val="none"/>
        </w:rPr>
      </w:pPr>
      <w:r>
        <w:rPr>
          <w:rFonts w:eastAsia="仿宋_GB2312"/>
          <w:color w:val="auto"/>
          <w:sz w:val="24"/>
          <w:highlight w:val="none"/>
        </w:rPr>
        <w:t>27.4   供应商提出质疑应当提交质疑函和必要的证明材料。质疑函应当包括下列内容：</w:t>
      </w:r>
    </w:p>
    <w:p w14:paraId="46CCC5D4">
      <w:pPr>
        <w:pStyle w:val="71"/>
        <w:numPr>
          <w:ilvl w:val="0"/>
          <w:numId w:val="11"/>
        </w:numPr>
        <w:tabs>
          <w:tab w:val="left" w:pos="588"/>
        </w:tabs>
        <w:spacing w:line="360" w:lineRule="auto"/>
        <w:ind w:left="846" w:hanging="6" w:firstLineChars="0"/>
        <w:jc w:val="left"/>
        <w:rPr>
          <w:rFonts w:ascii="Times New Roman" w:hAnsi="Times New Roman" w:eastAsia="仿宋_GB2312"/>
          <w:color w:val="auto"/>
          <w:sz w:val="24"/>
          <w:highlight w:val="none"/>
        </w:rPr>
      </w:pPr>
      <w:r>
        <w:rPr>
          <w:rFonts w:ascii="Times New Roman" w:hAnsi="Times New Roman" w:eastAsia="仿宋_GB2312"/>
          <w:color w:val="auto"/>
          <w:sz w:val="24"/>
          <w:highlight w:val="none"/>
        </w:rPr>
        <w:t>供应商的姓名或者名称、地址、邮编、联系人及联系电话；</w:t>
      </w:r>
    </w:p>
    <w:p w14:paraId="5FA49A42">
      <w:pPr>
        <w:pStyle w:val="71"/>
        <w:numPr>
          <w:ilvl w:val="0"/>
          <w:numId w:val="11"/>
        </w:numPr>
        <w:tabs>
          <w:tab w:val="left" w:pos="588"/>
        </w:tabs>
        <w:spacing w:line="360" w:lineRule="auto"/>
        <w:ind w:left="846" w:hanging="6" w:firstLineChars="0"/>
        <w:jc w:val="left"/>
        <w:rPr>
          <w:rFonts w:ascii="Times New Roman" w:hAnsi="Times New Roman" w:eastAsia="仿宋_GB2312"/>
          <w:color w:val="auto"/>
          <w:sz w:val="24"/>
          <w:highlight w:val="none"/>
        </w:rPr>
      </w:pPr>
      <w:r>
        <w:rPr>
          <w:rFonts w:ascii="Times New Roman" w:hAnsi="Times New Roman" w:eastAsia="仿宋_GB2312"/>
          <w:color w:val="auto"/>
          <w:sz w:val="24"/>
          <w:highlight w:val="none"/>
        </w:rPr>
        <w:t>质疑项目的名称、编号；</w:t>
      </w:r>
    </w:p>
    <w:p w14:paraId="6BDDA5DF">
      <w:pPr>
        <w:pStyle w:val="71"/>
        <w:numPr>
          <w:ilvl w:val="0"/>
          <w:numId w:val="11"/>
        </w:numPr>
        <w:tabs>
          <w:tab w:val="left" w:pos="588"/>
        </w:tabs>
        <w:spacing w:line="360" w:lineRule="auto"/>
        <w:ind w:left="846" w:hanging="6" w:firstLineChars="0"/>
        <w:jc w:val="left"/>
        <w:rPr>
          <w:rFonts w:ascii="Times New Roman" w:hAnsi="Times New Roman" w:eastAsia="仿宋_GB2312"/>
          <w:color w:val="auto"/>
          <w:sz w:val="24"/>
          <w:highlight w:val="none"/>
        </w:rPr>
      </w:pPr>
      <w:r>
        <w:rPr>
          <w:rFonts w:ascii="Times New Roman" w:hAnsi="Times New Roman" w:eastAsia="仿宋_GB2312"/>
          <w:color w:val="auto"/>
          <w:sz w:val="24"/>
          <w:highlight w:val="none"/>
        </w:rPr>
        <w:t>具体、明确的质疑事项和与质疑事项相关的请求；</w:t>
      </w:r>
    </w:p>
    <w:p w14:paraId="4A85F2B9">
      <w:pPr>
        <w:pStyle w:val="71"/>
        <w:numPr>
          <w:ilvl w:val="0"/>
          <w:numId w:val="11"/>
        </w:numPr>
        <w:tabs>
          <w:tab w:val="left" w:pos="588"/>
        </w:tabs>
        <w:spacing w:line="360" w:lineRule="auto"/>
        <w:ind w:left="846" w:hanging="6" w:firstLineChars="0"/>
        <w:jc w:val="left"/>
        <w:rPr>
          <w:rFonts w:ascii="Times New Roman" w:hAnsi="Times New Roman" w:eastAsia="仿宋_GB2312"/>
          <w:color w:val="auto"/>
          <w:sz w:val="24"/>
          <w:highlight w:val="none"/>
        </w:rPr>
      </w:pPr>
      <w:r>
        <w:rPr>
          <w:rFonts w:ascii="Times New Roman" w:hAnsi="Times New Roman" w:eastAsia="仿宋_GB2312"/>
          <w:color w:val="auto"/>
          <w:sz w:val="24"/>
          <w:highlight w:val="none"/>
        </w:rPr>
        <w:t>事实依据；</w:t>
      </w:r>
    </w:p>
    <w:p w14:paraId="579BABFB">
      <w:pPr>
        <w:pStyle w:val="71"/>
        <w:numPr>
          <w:ilvl w:val="0"/>
          <w:numId w:val="11"/>
        </w:numPr>
        <w:tabs>
          <w:tab w:val="left" w:pos="588"/>
        </w:tabs>
        <w:spacing w:line="360" w:lineRule="auto"/>
        <w:ind w:left="846" w:hanging="6" w:firstLineChars="0"/>
        <w:jc w:val="left"/>
        <w:rPr>
          <w:rFonts w:ascii="Times New Roman" w:hAnsi="Times New Roman" w:eastAsia="仿宋_GB2312"/>
          <w:color w:val="auto"/>
          <w:sz w:val="24"/>
          <w:highlight w:val="none"/>
        </w:rPr>
      </w:pPr>
      <w:r>
        <w:rPr>
          <w:rFonts w:ascii="Times New Roman" w:hAnsi="Times New Roman" w:eastAsia="仿宋_GB2312"/>
          <w:color w:val="auto"/>
          <w:sz w:val="24"/>
          <w:highlight w:val="none"/>
        </w:rPr>
        <w:t>必要的法律依据；</w:t>
      </w:r>
    </w:p>
    <w:p w14:paraId="0F8910FA">
      <w:pPr>
        <w:pStyle w:val="71"/>
        <w:numPr>
          <w:ilvl w:val="0"/>
          <w:numId w:val="11"/>
        </w:numPr>
        <w:tabs>
          <w:tab w:val="left" w:pos="588"/>
        </w:tabs>
        <w:spacing w:line="360" w:lineRule="auto"/>
        <w:ind w:left="846" w:hanging="6" w:firstLineChars="0"/>
        <w:jc w:val="left"/>
        <w:rPr>
          <w:rFonts w:ascii="Times New Roman" w:hAnsi="Times New Roman" w:eastAsia="仿宋_GB2312"/>
          <w:color w:val="auto"/>
          <w:sz w:val="24"/>
          <w:highlight w:val="none"/>
        </w:rPr>
      </w:pPr>
      <w:r>
        <w:rPr>
          <w:rFonts w:ascii="Times New Roman" w:hAnsi="Times New Roman" w:eastAsia="仿宋_GB2312"/>
          <w:color w:val="auto"/>
          <w:sz w:val="24"/>
          <w:highlight w:val="none"/>
        </w:rPr>
        <w:t>提出质疑的日期。</w:t>
      </w:r>
    </w:p>
    <w:p w14:paraId="07381AE9">
      <w:pPr>
        <w:pStyle w:val="71"/>
        <w:tabs>
          <w:tab w:val="left" w:pos="588"/>
        </w:tabs>
        <w:spacing w:line="360" w:lineRule="auto"/>
        <w:ind w:left="838" w:leftChars="399" w:firstLine="0" w:firstLineChars="0"/>
        <w:rPr>
          <w:rFonts w:ascii="Times New Roman" w:hAnsi="Times New Roman" w:eastAsia="仿宋_GB2312"/>
          <w:color w:val="auto"/>
          <w:sz w:val="24"/>
          <w:highlight w:val="none"/>
        </w:rPr>
      </w:pPr>
      <w:r>
        <w:rPr>
          <w:rFonts w:ascii="Times New Roman" w:hAnsi="Times New Roman" w:eastAsia="仿宋_GB2312"/>
          <w:color w:val="auto"/>
          <w:sz w:val="24"/>
          <w:highlight w:val="none"/>
        </w:rPr>
        <w:t>供应商为自然人的，应当由本人签字；供应商为法人或者其他组织的，应当由法定代表人或负责人签字或盖章，同时其授权代表签字，并加盖公章。</w:t>
      </w:r>
    </w:p>
    <w:p w14:paraId="18F2E7EB">
      <w:pPr>
        <w:tabs>
          <w:tab w:val="left" w:pos="588"/>
        </w:tabs>
        <w:spacing w:line="360" w:lineRule="auto"/>
        <w:ind w:left="960" w:hanging="960" w:hangingChars="400"/>
        <w:rPr>
          <w:rFonts w:eastAsia="仿宋_GB2312"/>
          <w:color w:val="auto"/>
          <w:sz w:val="24"/>
          <w:highlight w:val="none"/>
        </w:rPr>
      </w:pPr>
      <w:r>
        <w:rPr>
          <w:rFonts w:eastAsia="仿宋_GB2312"/>
          <w:color w:val="auto"/>
          <w:sz w:val="24"/>
          <w:highlight w:val="none"/>
        </w:rPr>
        <w:t>27.5   符合要求的质疑，采购代理机构将予以受理并答复。</w:t>
      </w:r>
    </w:p>
    <w:p w14:paraId="7E77CD0E">
      <w:pPr>
        <w:tabs>
          <w:tab w:val="left" w:pos="588"/>
        </w:tabs>
        <w:spacing w:line="360" w:lineRule="auto"/>
        <w:ind w:left="840" w:leftChars="400"/>
        <w:rPr>
          <w:rFonts w:eastAsia="仿宋_GB2312"/>
          <w:color w:val="auto"/>
          <w:sz w:val="24"/>
          <w:highlight w:val="none"/>
        </w:rPr>
      </w:pPr>
      <w:r>
        <w:rPr>
          <w:rFonts w:eastAsia="仿宋_GB2312"/>
          <w:color w:val="auto"/>
          <w:sz w:val="24"/>
          <w:highlight w:val="none"/>
        </w:rPr>
        <w:t>联系人：</w:t>
      </w:r>
      <w:r>
        <w:rPr>
          <w:rFonts w:hint="default" w:ascii="Times New Roman" w:hAnsi="Times New Roman" w:eastAsia="仿宋_GB2312" w:cs="Times New Roman"/>
          <w:sz w:val="24"/>
          <w:highlight w:val="none"/>
        </w:rPr>
        <w:t>综合办公室</w:t>
      </w:r>
      <w:r>
        <w:rPr>
          <w:rFonts w:eastAsia="仿宋_GB2312"/>
          <w:color w:val="auto"/>
          <w:sz w:val="24"/>
          <w:highlight w:val="none"/>
        </w:rPr>
        <w:t>，联系电话：029-85235014</w:t>
      </w:r>
    </w:p>
    <w:p w14:paraId="73FC587A">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27.6   供应商进行虚假和恶意质疑的，采购代理机构将提供相关资料报监督机构，按其情况进行相应处理。</w:t>
      </w:r>
    </w:p>
    <w:bookmarkEnd w:id="382"/>
    <w:bookmarkEnd w:id="383"/>
    <w:p w14:paraId="0FF75437">
      <w:pPr>
        <w:pStyle w:val="4"/>
        <w:rPr>
          <w:rFonts w:ascii="Times New Roman" w:hAnsi="Times New Roman" w:eastAsia="仿宋_GB2312"/>
          <w:b/>
          <w:bCs/>
          <w:color w:val="auto"/>
          <w:sz w:val="24"/>
          <w:szCs w:val="21"/>
          <w:highlight w:val="none"/>
        </w:rPr>
      </w:pPr>
      <w:bookmarkStart w:id="384" w:name="_Toc25547"/>
      <w:r>
        <w:rPr>
          <w:rFonts w:ascii="Times New Roman" w:hAnsi="Times New Roman" w:eastAsia="仿宋_GB2312"/>
          <w:b/>
          <w:bCs/>
          <w:color w:val="auto"/>
          <w:sz w:val="24"/>
          <w:szCs w:val="21"/>
          <w:highlight w:val="none"/>
        </w:rPr>
        <w:t>28.    履约保证金</w:t>
      </w:r>
    </w:p>
    <w:p w14:paraId="288E82CA">
      <w:pPr>
        <w:tabs>
          <w:tab w:val="left" w:pos="588"/>
        </w:tabs>
        <w:spacing w:line="360" w:lineRule="auto"/>
        <w:rPr>
          <w:rFonts w:hint="default" w:eastAsia="仿宋_GB2312"/>
          <w:color w:val="auto"/>
          <w:sz w:val="24"/>
          <w:highlight w:val="none"/>
        </w:rPr>
      </w:pPr>
      <w:r>
        <w:rPr>
          <w:rFonts w:hint="default" w:eastAsia="仿宋_GB2312"/>
          <w:color w:val="auto"/>
          <w:sz w:val="24"/>
          <w:highlight w:val="none"/>
        </w:rPr>
        <w:t>28.1   履约保证金金额见供应商须知前附表。</w:t>
      </w:r>
    </w:p>
    <w:p w14:paraId="663A0647">
      <w:pPr>
        <w:pStyle w:val="4"/>
        <w:rPr>
          <w:rFonts w:ascii="Times New Roman" w:hAnsi="Times New Roman" w:eastAsia="仿宋_GB2312"/>
          <w:b/>
          <w:bCs/>
          <w:color w:val="auto"/>
          <w:sz w:val="24"/>
          <w:szCs w:val="21"/>
          <w:highlight w:val="none"/>
        </w:rPr>
      </w:pPr>
      <w:r>
        <w:rPr>
          <w:rFonts w:ascii="Times New Roman" w:hAnsi="Times New Roman" w:eastAsia="仿宋_GB2312"/>
          <w:b/>
          <w:bCs/>
          <w:color w:val="auto"/>
          <w:sz w:val="24"/>
          <w:szCs w:val="21"/>
          <w:highlight w:val="none"/>
        </w:rPr>
        <w:t>29.    成交服务费</w:t>
      </w:r>
      <w:bookmarkEnd w:id="384"/>
    </w:p>
    <w:p w14:paraId="57823AA3">
      <w:pPr>
        <w:tabs>
          <w:tab w:val="left" w:pos="588"/>
        </w:tabs>
        <w:spacing w:line="360" w:lineRule="auto"/>
        <w:ind w:left="840" w:hanging="840" w:hangingChars="350"/>
        <w:rPr>
          <w:rFonts w:eastAsia="仿宋_GB2312"/>
          <w:color w:val="auto"/>
          <w:sz w:val="24"/>
          <w:highlight w:val="none"/>
        </w:rPr>
      </w:pPr>
      <w:r>
        <w:rPr>
          <w:rFonts w:eastAsia="仿宋_GB2312"/>
          <w:color w:val="auto"/>
          <w:sz w:val="24"/>
          <w:highlight w:val="none"/>
        </w:rPr>
        <w:t>29.1   成交供应商在领取成交通知书前，须向采购代理机构支付成交服务费，服务费由采购人与采购代理机构约定：</w:t>
      </w:r>
    </w:p>
    <w:p w14:paraId="65F77C81">
      <w:pPr>
        <w:snapToGrid w:val="0"/>
        <w:spacing w:line="360" w:lineRule="auto"/>
        <w:ind w:left="840" w:leftChars="400"/>
        <w:rPr>
          <w:rFonts w:eastAsia="仿宋_GB2312"/>
          <w:color w:val="auto"/>
          <w:sz w:val="24"/>
          <w:highlight w:val="none"/>
        </w:rPr>
      </w:pPr>
      <w:r>
        <w:rPr>
          <w:rFonts w:hint="eastAsia" w:eastAsia="仿宋_GB2312"/>
          <w:color w:val="auto"/>
          <w:sz w:val="24"/>
          <w:highlight w:val="none"/>
          <w:lang w:val="en-US" w:eastAsia="zh-CN"/>
        </w:rPr>
        <w:t>参照</w:t>
      </w:r>
      <w:r>
        <w:rPr>
          <w:rFonts w:hint="eastAsia" w:eastAsia="仿宋_GB2312"/>
          <w:color w:val="auto"/>
          <w:sz w:val="24"/>
          <w:highlight w:val="none"/>
        </w:rPr>
        <w:t>《国家计委关于印发&lt;招标代理服务收费管理暂行办法&gt;的通知》（计价格</w:t>
      </w:r>
      <w:r>
        <w:rPr>
          <w:rFonts w:hint="eastAsia" w:eastAsia="仿宋_GB2312"/>
          <w:color w:val="auto"/>
          <w:sz w:val="24"/>
          <w:highlight w:val="none"/>
          <w:lang w:eastAsia="zh-CN"/>
        </w:rPr>
        <w:t>〔2002〕1980号</w:t>
      </w:r>
      <w:r>
        <w:rPr>
          <w:rFonts w:hint="eastAsia" w:eastAsia="仿宋_GB2312"/>
          <w:color w:val="auto"/>
          <w:sz w:val="24"/>
          <w:highlight w:val="none"/>
        </w:rPr>
        <w:t>）</w:t>
      </w:r>
      <w:r>
        <w:rPr>
          <w:rFonts w:hint="eastAsia" w:eastAsia="仿宋_GB2312"/>
          <w:color w:val="auto"/>
          <w:sz w:val="24"/>
          <w:highlight w:val="none"/>
          <w:lang w:val="en-US" w:eastAsia="zh-CN"/>
        </w:rPr>
        <w:t>的</w:t>
      </w:r>
      <w:r>
        <w:rPr>
          <w:rFonts w:hint="eastAsia" w:eastAsia="仿宋_GB2312"/>
          <w:color w:val="auto"/>
          <w:sz w:val="24"/>
          <w:highlight w:val="none"/>
        </w:rPr>
        <w:t>规定</w:t>
      </w:r>
      <w:r>
        <w:rPr>
          <w:rFonts w:hint="eastAsia" w:eastAsia="仿宋_GB2312"/>
          <w:color w:val="auto"/>
          <w:sz w:val="24"/>
          <w:highlight w:val="none"/>
          <w:lang w:val="en-US" w:eastAsia="zh-CN"/>
        </w:rPr>
        <w:t>按项目预算</w:t>
      </w:r>
      <w:r>
        <w:rPr>
          <w:rFonts w:hint="eastAsia" w:eastAsia="仿宋_GB2312"/>
          <w:color w:val="auto"/>
          <w:sz w:val="24"/>
          <w:highlight w:val="none"/>
          <w:lang w:eastAsia="zh-CN"/>
        </w:rPr>
        <w:t>进行</w:t>
      </w:r>
      <w:r>
        <w:rPr>
          <w:rFonts w:hint="eastAsia" w:eastAsia="仿宋_GB2312"/>
          <w:color w:val="auto"/>
          <w:sz w:val="24"/>
          <w:highlight w:val="none"/>
        </w:rPr>
        <w:t>收取</w:t>
      </w:r>
      <w:r>
        <w:rPr>
          <w:rFonts w:eastAsia="仿宋_GB2312"/>
          <w:color w:val="auto"/>
          <w:sz w:val="24"/>
          <w:highlight w:val="none"/>
        </w:rPr>
        <w:t>。</w:t>
      </w:r>
    </w:p>
    <w:p w14:paraId="7439BD22">
      <w:pPr>
        <w:snapToGrid w:val="0"/>
        <w:spacing w:line="360" w:lineRule="auto"/>
        <w:rPr>
          <w:rFonts w:eastAsia="仿宋_GB2312"/>
          <w:color w:val="auto"/>
          <w:sz w:val="24"/>
          <w:highlight w:val="none"/>
        </w:rPr>
      </w:pPr>
      <w:r>
        <w:rPr>
          <w:rFonts w:eastAsia="仿宋_GB2312"/>
          <w:color w:val="auto"/>
          <w:sz w:val="24"/>
          <w:highlight w:val="none"/>
        </w:rPr>
        <w:t>29.2   成交单位的代理服务费交纳信息</w:t>
      </w:r>
    </w:p>
    <w:p w14:paraId="1EAB0378">
      <w:pPr>
        <w:snapToGrid w:val="0"/>
        <w:spacing w:line="360" w:lineRule="auto"/>
        <w:ind w:firstLine="840" w:firstLineChars="350"/>
        <w:rPr>
          <w:rFonts w:eastAsia="仿宋_GB2312"/>
          <w:color w:val="auto"/>
          <w:sz w:val="24"/>
          <w:highlight w:val="none"/>
        </w:rPr>
      </w:pPr>
      <w:r>
        <w:rPr>
          <w:rFonts w:eastAsia="仿宋_GB2312"/>
          <w:color w:val="auto"/>
          <w:sz w:val="24"/>
          <w:highlight w:val="none"/>
        </w:rPr>
        <w:t>银行户名：陕西省采购招标有限责任公司</w:t>
      </w:r>
    </w:p>
    <w:p w14:paraId="6EC2EE9A">
      <w:pPr>
        <w:snapToGrid w:val="0"/>
        <w:spacing w:line="360" w:lineRule="auto"/>
        <w:ind w:firstLine="840" w:firstLineChars="350"/>
        <w:rPr>
          <w:rFonts w:eastAsia="仿宋_GB2312"/>
          <w:color w:val="auto"/>
          <w:sz w:val="24"/>
          <w:highlight w:val="none"/>
        </w:rPr>
      </w:pPr>
      <w:r>
        <w:rPr>
          <w:rFonts w:eastAsia="仿宋_GB2312"/>
          <w:color w:val="auto"/>
          <w:sz w:val="24"/>
          <w:highlight w:val="none"/>
        </w:rPr>
        <w:t>开户银行：中国光大银行西安友谊路支行</w:t>
      </w:r>
    </w:p>
    <w:p w14:paraId="58209C4F">
      <w:pPr>
        <w:snapToGrid w:val="0"/>
        <w:spacing w:line="360" w:lineRule="auto"/>
        <w:ind w:firstLine="840" w:firstLineChars="350"/>
        <w:rPr>
          <w:rFonts w:eastAsia="仿宋_GB2312"/>
          <w:color w:val="auto"/>
          <w:sz w:val="24"/>
          <w:highlight w:val="none"/>
        </w:rPr>
      </w:pPr>
      <w:r>
        <w:rPr>
          <w:rFonts w:eastAsia="仿宋_GB2312"/>
          <w:color w:val="auto"/>
          <w:sz w:val="24"/>
          <w:highlight w:val="none"/>
        </w:rPr>
        <w:t>账    号：78560188000095264</w:t>
      </w:r>
    </w:p>
    <w:p w14:paraId="7DF039BB">
      <w:pPr>
        <w:snapToGrid w:val="0"/>
        <w:spacing w:line="360" w:lineRule="auto"/>
        <w:ind w:firstLine="840" w:firstLineChars="350"/>
        <w:rPr>
          <w:rFonts w:eastAsia="仿宋_GB2312"/>
          <w:color w:val="auto"/>
          <w:sz w:val="24"/>
          <w:highlight w:val="none"/>
        </w:rPr>
      </w:pPr>
      <w:r>
        <w:rPr>
          <w:rFonts w:eastAsia="仿宋_GB2312"/>
          <w:color w:val="auto"/>
          <w:sz w:val="24"/>
          <w:highlight w:val="none"/>
        </w:rPr>
        <w:t>联 系 人：张婕   联系电话：029-85263975</w:t>
      </w:r>
    </w:p>
    <w:p w14:paraId="02C7B4CE">
      <w:pPr>
        <w:pStyle w:val="4"/>
        <w:numPr>
          <w:ilvl w:val="0"/>
          <w:numId w:val="12"/>
        </w:numPr>
        <w:rPr>
          <w:rFonts w:ascii="Times New Roman" w:hAnsi="Times New Roman" w:eastAsia="仿宋_GB2312"/>
          <w:b/>
          <w:bCs/>
          <w:color w:val="auto"/>
          <w:sz w:val="24"/>
          <w:szCs w:val="21"/>
          <w:highlight w:val="none"/>
        </w:rPr>
      </w:pPr>
      <w:bookmarkStart w:id="385" w:name="_Toc1585"/>
      <w:r>
        <w:rPr>
          <w:rFonts w:ascii="Times New Roman" w:hAnsi="Times New Roman" w:eastAsia="仿宋_GB2312"/>
          <w:b/>
          <w:bCs/>
          <w:color w:val="auto"/>
          <w:sz w:val="24"/>
          <w:szCs w:val="21"/>
          <w:highlight w:val="none"/>
        </w:rPr>
        <w:t xml:space="preserve">  采购人追加采购数量的权力</w:t>
      </w:r>
      <w:bookmarkEnd w:id="385"/>
    </w:p>
    <w:p w14:paraId="23E3697B">
      <w:pPr>
        <w:tabs>
          <w:tab w:val="left" w:pos="588"/>
        </w:tabs>
        <w:spacing w:line="360" w:lineRule="auto"/>
        <w:ind w:left="840" w:leftChars="400"/>
        <w:rPr>
          <w:rFonts w:eastAsia="仿宋_GB2312"/>
          <w:color w:val="auto"/>
          <w:sz w:val="24"/>
          <w:highlight w:val="none"/>
        </w:rPr>
      </w:pPr>
      <w:bookmarkStart w:id="386" w:name="_Toc385992366"/>
      <w:bookmarkStart w:id="387" w:name="_Toc389620205"/>
      <w:r>
        <w:rPr>
          <w:rFonts w:eastAsia="仿宋_GB2312"/>
          <w:color w:val="auto"/>
          <w:sz w:val="24"/>
          <w:highlight w:val="none"/>
        </w:rPr>
        <w:t>在合同履行中，采购人需追加与合同标的相同服务的，在不改变合同其他条款的前提下，采购人有权与成交供应商协商签订补充合同，但所有补充合同的采购金额不得超过原合同采购金额的10%。</w:t>
      </w:r>
    </w:p>
    <w:p w14:paraId="6E0976CF">
      <w:pPr>
        <w:pStyle w:val="4"/>
        <w:numPr>
          <w:ilvl w:val="0"/>
          <w:numId w:val="12"/>
        </w:numPr>
        <w:rPr>
          <w:rFonts w:ascii="Times New Roman" w:hAnsi="Times New Roman" w:eastAsia="仿宋_GB2312"/>
          <w:b/>
          <w:bCs/>
          <w:color w:val="auto"/>
          <w:sz w:val="24"/>
          <w:szCs w:val="21"/>
          <w:highlight w:val="none"/>
        </w:rPr>
      </w:pPr>
      <w:r>
        <w:rPr>
          <w:rFonts w:ascii="Times New Roman" w:hAnsi="Times New Roman" w:eastAsia="仿宋_GB2312"/>
          <w:b/>
          <w:bCs/>
          <w:color w:val="auto"/>
          <w:sz w:val="24"/>
          <w:szCs w:val="21"/>
          <w:highlight w:val="none"/>
        </w:rPr>
        <w:t xml:space="preserve">   其他情况</w:t>
      </w:r>
    </w:p>
    <w:p w14:paraId="79BA2127">
      <w:pPr>
        <w:pStyle w:val="22"/>
        <w:ind w:left="840" w:hanging="840" w:hangingChars="350"/>
        <w:rPr>
          <w:rFonts w:ascii="Times New Roman" w:hAnsi="Times New Roman" w:eastAsia="仿宋_GB2312"/>
          <w:color w:val="auto"/>
          <w:sz w:val="24"/>
          <w:highlight w:val="none"/>
        </w:rPr>
      </w:pPr>
      <w:r>
        <w:rPr>
          <w:rFonts w:ascii="Times New Roman" w:hAnsi="Times New Roman" w:eastAsia="仿宋_GB2312"/>
          <w:color w:val="auto"/>
          <w:sz w:val="24"/>
          <w:highlight w:val="none"/>
        </w:rPr>
        <w:t>31.1   磋商截止时间结束后，递交响应文件或者经评审的实质性响应磋商文件的供应商不足三家，采购代理机构应当终止竞争性磋商活动，发布项目终止公告并说明原因，重新开展采购活动。政府购买服务项目符合（财库〔2015〕124号）的情况除外。</w:t>
      </w:r>
    </w:p>
    <w:p w14:paraId="18A50894">
      <w:pPr>
        <w:pStyle w:val="22"/>
        <w:ind w:left="840" w:hanging="840" w:hangingChars="350"/>
        <w:rPr>
          <w:rFonts w:ascii="Times New Roman" w:hAnsi="Times New Roman" w:eastAsia="仿宋_GB2312"/>
          <w:color w:val="auto"/>
          <w:sz w:val="24"/>
          <w:highlight w:val="none"/>
        </w:rPr>
      </w:pPr>
      <w:r>
        <w:rPr>
          <w:rFonts w:ascii="Times New Roman" w:hAnsi="Times New Roman" w:eastAsia="仿宋_GB2312"/>
          <w:color w:val="auto"/>
          <w:sz w:val="24"/>
          <w:highlight w:val="none"/>
        </w:rPr>
        <w:t>31.2   连续两次进行竞争性磋商活动，因符合磋商要求供应商不足3家，经请示政府采购管理部门同意后，可继续进行竞争性磋商活动。</w:t>
      </w:r>
    </w:p>
    <w:p w14:paraId="6C6C3EC2">
      <w:pPr>
        <w:pStyle w:val="4"/>
        <w:numPr>
          <w:ilvl w:val="0"/>
          <w:numId w:val="12"/>
        </w:numPr>
        <w:rPr>
          <w:rFonts w:ascii="Times New Roman" w:hAnsi="Times New Roman" w:eastAsia="仿宋_GB2312"/>
          <w:b/>
          <w:bCs/>
          <w:color w:val="auto"/>
          <w:sz w:val="24"/>
          <w:szCs w:val="21"/>
          <w:highlight w:val="none"/>
        </w:rPr>
      </w:pPr>
      <w:r>
        <w:rPr>
          <w:rFonts w:ascii="Times New Roman" w:hAnsi="Times New Roman" w:eastAsia="仿宋_GB2312"/>
          <w:b/>
          <w:bCs/>
          <w:color w:val="auto"/>
          <w:sz w:val="24"/>
          <w:szCs w:val="21"/>
          <w:highlight w:val="none"/>
        </w:rPr>
        <w:t xml:space="preserve">   政府采购信用担保及融资</w:t>
      </w:r>
    </w:p>
    <w:bookmarkEnd w:id="386"/>
    <w:bookmarkEnd w:id="387"/>
    <w:p w14:paraId="06E7F71B">
      <w:pPr>
        <w:pStyle w:val="22"/>
        <w:ind w:left="840" w:hanging="840" w:hangingChars="350"/>
        <w:rPr>
          <w:rFonts w:ascii="Times New Roman" w:hAnsi="Times New Roman" w:eastAsia="仿宋_GB2312"/>
          <w:sz w:val="24"/>
          <w:highlight w:val="none"/>
        </w:rPr>
      </w:pPr>
      <w:bookmarkStart w:id="388" w:name="_Toc230013637"/>
      <w:bookmarkStart w:id="389" w:name="_Toc230099802"/>
      <w:bookmarkStart w:id="390" w:name="_Toc184114070"/>
      <w:bookmarkStart w:id="391" w:name="_Toc184025279"/>
      <w:r>
        <w:rPr>
          <w:rFonts w:ascii="Times New Roman" w:hAnsi="Times New Roman" w:eastAsia="仿宋_GB2312"/>
          <w:sz w:val="24"/>
          <w:highlight w:val="none"/>
        </w:rPr>
        <w:t>32.</w:t>
      </w:r>
      <w:r>
        <w:rPr>
          <w:rFonts w:hint="eastAsia" w:ascii="Times New Roman" w:hAnsi="Times New Roman" w:eastAsia="仿宋_GB2312"/>
          <w:sz w:val="24"/>
          <w:highlight w:val="none"/>
        </w:rPr>
        <w:t>1</w:t>
      </w:r>
      <w:r>
        <w:rPr>
          <w:rFonts w:ascii="Times New Roman" w:hAnsi="Times New Roman" w:eastAsia="仿宋_GB2312"/>
          <w:sz w:val="24"/>
          <w:highlight w:val="none"/>
        </w:rPr>
        <w:t xml:space="preserve">   供应商递交的履约担保函应符合本磋商文件的规定。</w:t>
      </w:r>
    </w:p>
    <w:p w14:paraId="72F480A9">
      <w:pPr>
        <w:spacing w:line="360" w:lineRule="auto"/>
        <w:ind w:left="850" w:hanging="849" w:hangingChars="354"/>
        <w:rPr>
          <w:rFonts w:eastAsia="仿宋_GB2312"/>
          <w:sz w:val="24"/>
          <w:highlight w:val="none"/>
        </w:rPr>
      </w:pPr>
      <w:r>
        <w:rPr>
          <w:rFonts w:eastAsia="仿宋_GB2312"/>
          <w:sz w:val="24"/>
          <w:highlight w:val="none"/>
        </w:rPr>
        <w:t>32.</w:t>
      </w:r>
      <w:r>
        <w:rPr>
          <w:rFonts w:hint="eastAsia" w:eastAsia="仿宋_GB2312"/>
          <w:sz w:val="24"/>
          <w:highlight w:val="none"/>
        </w:rPr>
        <w:t>2</w:t>
      </w:r>
      <w:r>
        <w:rPr>
          <w:rFonts w:eastAsia="仿宋_GB2312"/>
          <w:sz w:val="24"/>
          <w:highlight w:val="none"/>
        </w:rPr>
        <w:t xml:space="preserve">   为缓解中小企业融资困难，陕西省财政厅出台了《陕西省中小企业政府采购信用融资办法》（陕财办采﹝2018﹞23号），中标供应商如有融资需求，可登录“陕西省政府采购网-陕西省政府采购信用融资平台</w:t>
      </w:r>
      <w:r>
        <w:rPr>
          <w:rFonts w:hint="eastAsia" w:eastAsia="仿宋_GB2312"/>
          <w:sz w:val="24"/>
          <w:highlight w:val="none"/>
        </w:rPr>
        <w:t>（http：//www.ccgp-shaanxi.gov.cn/zcdservice/zcd/shanxi/）</w:t>
      </w:r>
      <w:r>
        <w:rPr>
          <w:rFonts w:eastAsia="仿宋_GB2312"/>
          <w:sz w:val="24"/>
          <w:highlight w:val="none"/>
        </w:rPr>
        <w:t>”了解详情。</w:t>
      </w:r>
    </w:p>
    <w:p w14:paraId="57968745">
      <w:pPr>
        <w:pStyle w:val="22"/>
        <w:tabs>
          <w:tab w:val="left" w:pos="567"/>
        </w:tabs>
        <w:ind w:left="840" w:leftChars="400"/>
        <w:rPr>
          <w:rFonts w:ascii="Times New Roman" w:hAnsi="Times New Roman" w:eastAsia="仿宋_GB2312"/>
          <w:sz w:val="24"/>
          <w:highlight w:val="none"/>
        </w:rPr>
      </w:pPr>
      <w:r>
        <w:rPr>
          <w:rFonts w:hint="eastAsia" w:ascii="Times New Roman" w:hAnsi="Times New Roman" w:eastAsia="仿宋_GB2312"/>
          <w:sz w:val="24"/>
          <w:highlight w:val="none"/>
        </w:rPr>
        <w:t>政府采购信用融资，是指银行业金融机构（以下简称银行）以政府采购诚信考核和信用审查为基础，凭借政府采购合同，按优于一般中小企业的贷款利率直接向申请贷款的供应商发放贷款的一种融资方式。</w:t>
      </w:r>
    </w:p>
    <w:p w14:paraId="4B20A10B">
      <w:pPr>
        <w:pStyle w:val="22"/>
        <w:tabs>
          <w:tab w:val="left" w:pos="567"/>
        </w:tabs>
        <w:ind w:left="840" w:leftChars="400"/>
        <w:rPr>
          <w:rFonts w:ascii="Times New Roman" w:hAnsi="Times New Roman" w:eastAsia="仿宋_GB2312"/>
          <w:sz w:val="24"/>
          <w:highlight w:val="none"/>
        </w:rPr>
      </w:pPr>
      <w:r>
        <w:rPr>
          <w:rFonts w:ascii="Times New Roman" w:hAnsi="Times New Roman" w:eastAsia="仿宋_GB2312"/>
          <w:sz w:val="24"/>
          <w:highlight w:val="none"/>
        </w:rPr>
        <w:t>政府采购供应商申请信用融资时，如融资金额未超过政府采购合同金额的，银行原则上不得要求供应商提供财产抵押或第三方担保，或附加其他任何形式的担保条件，切实做到以政府采购信用为基础，简化手续，提高效率，降低供应商融资成本。</w:t>
      </w:r>
    </w:p>
    <w:p w14:paraId="3B1B1410">
      <w:pPr>
        <w:pStyle w:val="22"/>
        <w:tabs>
          <w:tab w:val="left" w:pos="567"/>
        </w:tabs>
        <w:ind w:left="840" w:leftChars="400"/>
        <w:rPr>
          <w:rFonts w:ascii="Times New Roman" w:hAnsi="Times New Roman" w:eastAsia="仿宋_GB2312"/>
          <w:sz w:val="24"/>
          <w:highlight w:val="none"/>
        </w:rPr>
      </w:pPr>
      <w:r>
        <w:rPr>
          <w:rFonts w:ascii="Times New Roman" w:hAnsi="Times New Roman" w:eastAsia="仿宋_GB2312"/>
          <w:sz w:val="24"/>
          <w:highlight w:val="none"/>
        </w:rPr>
        <w:t>银行为参与政府采购融资的中小企业提供的产品，应以信用贷款为主，贷款利率应当优于一般中小企业的贷款利率水平，并将产品信息（包括贷款发放条件、利率优惠、贷款金额）等在陕西政府采购网予以展示。</w:t>
      </w:r>
    </w:p>
    <w:p w14:paraId="02324305">
      <w:pPr>
        <w:pStyle w:val="22"/>
        <w:tabs>
          <w:tab w:val="left" w:pos="567"/>
        </w:tabs>
        <w:ind w:left="840" w:leftChars="400"/>
        <w:rPr>
          <w:rFonts w:ascii="Times New Roman" w:hAnsi="Times New Roman" w:eastAsia="仿宋_GB2312"/>
          <w:sz w:val="24"/>
          <w:highlight w:val="none"/>
        </w:rPr>
      </w:pPr>
      <w:r>
        <w:rPr>
          <w:rFonts w:ascii="Times New Roman" w:hAnsi="Times New Roman" w:eastAsia="仿宋_GB2312"/>
          <w:sz w:val="24"/>
          <w:highlight w:val="none"/>
        </w:rPr>
        <w:t>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62F1355B">
      <w:pPr>
        <w:pStyle w:val="22"/>
        <w:tabs>
          <w:tab w:val="left" w:pos="567"/>
        </w:tabs>
        <w:ind w:left="840" w:leftChars="400"/>
        <w:rPr>
          <w:rFonts w:ascii="Times New Roman" w:hAnsi="Times New Roman" w:eastAsia="仿宋_GB2312"/>
          <w:sz w:val="24"/>
          <w:highlight w:val="none"/>
        </w:rPr>
      </w:pPr>
      <w:r>
        <w:rPr>
          <w:rFonts w:ascii="Times New Roman" w:hAnsi="Times New Roman" w:eastAsia="仿宋_GB2312"/>
          <w:sz w:val="24"/>
          <w:highlight w:val="none"/>
        </w:rPr>
        <w:t>对拟用于信用融资的政府采购合同，供应商在签署合同时应当向采购单位或采购代理机构申明或提示该合同将用于申请信用融资，并在合同中注明融资银行名称及在该银行开设的收款账号信息。采购单位或采购代理机构在进行政府采购合同备案时，应当将上述信息在政府采购合同中予以特别标记。</w:t>
      </w:r>
    </w:p>
    <w:p w14:paraId="1347DC6F">
      <w:pPr>
        <w:pStyle w:val="22"/>
        <w:tabs>
          <w:tab w:val="left" w:pos="567"/>
        </w:tabs>
        <w:ind w:left="840" w:leftChars="400"/>
        <w:rPr>
          <w:rFonts w:ascii="Times New Roman" w:hAnsi="Times New Roman" w:eastAsia="仿宋_GB2312"/>
          <w:sz w:val="24"/>
          <w:highlight w:val="none"/>
        </w:rPr>
      </w:pPr>
      <w:r>
        <w:rPr>
          <w:rFonts w:hint="eastAsia" w:ascii="Times New Roman" w:hAnsi="Times New Roman" w:eastAsia="仿宋_GB2312"/>
          <w:sz w:val="24"/>
          <w:highlight w:val="none"/>
        </w:rPr>
        <w:t>业务流程简图如下：</w:t>
      </w:r>
    </w:p>
    <w:p w14:paraId="78BBC65A">
      <w:pPr>
        <w:pStyle w:val="22"/>
        <w:tabs>
          <w:tab w:val="left" w:pos="567"/>
        </w:tabs>
        <w:rPr>
          <w:highlight w:val="none"/>
        </w:rPr>
      </w:pPr>
      <w:r>
        <w:rPr>
          <w:highlight w:val="none"/>
        </w:rPr>
        <w:drawing>
          <wp:inline distT="0" distB="0" distL="114300" distR="114300">
            <wp:extent cx="5756275" cy="3310255"/>
            <wp:effectExtent l="0" t="0" r="15875" b="444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12"/>
                    <a:stretch>
                      <a:fillRect/>
                    </a:stretch>
                  </pic:blipFill>
                  <pic:spPr>
                    <a:xfrm>
                      <a:off x="0" y="0"/>
                      <a:ext cx="5756275" cy="3310255"/>
                    </a:xfrm>
                    <a:prstGeom prst="rect">
                      <a:avLst/>
                    </a:prstGeom>
                    <a:noFill/>
                    <a:ln>
                      <a:noFill/>
                    </a:ln>
                  </pic:spPr>
                </pic:pic>
              </a:graphicData>
            </a:graphic>
          </wp:inline>
        </w:drawing>
      </w:r>
    </w:p>
    <w:p w14:paraId="6F47E3AA">
      <w:pPr>
        <w:pStyle w:val="22"/>
        <w:ind w:left="772" w:hanging="735" w:hangingChars="350"/>
        <w:jc w:val="center"/>
        <w:rPr>
          <w:rFonts w:ascii="Times New Roman" w:hAnsi="Times New Roman" w:eastAsia="仿宋_GB2312"/>
          <w:sz w:val="24"/>
          <w:highlight w:val="none"/>
        </w:rPr>
      </w:pPr>
      <w:r>
        <w:rPr>
          <w:highlight w:val="none"/>
        </w:rPr>
        <w:drawing>
          <wp:inline distT="0" distB="0" distL="114300" distR="114300">
            <wp:extent cx="5758815" cy="3242310"/>
            <wp:effectExtent l="0" t="0" r="13335" b="1524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13"/>
                    <a:stretch>
                      <a:fillRect/>
                    </a:stretch>
                  </pic:blipFill>
                  <pic:spPr>
                    <a:xfrm>
                      <a:off x="0" y="0"/>
                      <a:ext cx="5758815" cy="3242310"/>
                    </a:xfrm>
                    <a:prstGeom prst="rect">
                      <a:avLst/>
                    </a:prstGeom>
                    <a:noFill/>
                    <a:ln>
                      <a:noFill/>
                    </a:ln>
                  </pic:spPr>
                </pic:pic>
              </a:graphicData>
            </a:graphic>
          </wp:inline>
        </w:drawing>
      </w:r>
    </w:p>
    <w:p w14:paraId="6A100A62">
      <w:pPr>
        <w:pStyle w:val="22"/>
        <w:tabs>
          <w:tab w:val="left" w:pos="567"/>
        </w:tabs>
        <w:rPr>
          <w:rFonts w:ascii="Times New Roman" w:hAnsi="Times New Roman" w:eastAsia="仿宋_GB2312"/>
          <w:sz w:val="24"/>
          <w:szCs w:val="32"/>
          <w:highlight w:val="none"/>
        </w:rPr>
      </w:pPr>
    </w:p>
    <w:p w14:paraId="0ACAD94B">
      <w:pPr>
        <w:pStyle w:val="22"/>
        <w:tabs>
          <w:tab w:val="left" w:pos="567"/>
        </w:tabs>
        <w:rPr>
          <w:rFonts w:ascii="Times New Roman" w:hAnsi="Times New Roman" w:eastAsia="仿宋_GB2312"/>
          <w:sz w:val="24"/>
          <w:szCs w:val="32"/>
          <w:highlight w:val="none"/>
        </w:rPr>
      </w:pPr>
      <w:r>
        <w:rPr>
          <w:rFonts w:ascii="Times New Roman" w:hAnsi="Times New Roman" w:eastAsia="仿宋_GB2312"/>
          <w:sz w:val="24"/>
          <w:szCs w:val="32"/>
          <w:highlight w:val="none"/>
        </w:rPr>
        <w:t>省级政府采购项目贷款银行信息：</w:t>
      </w:r>
    </w:p>
    <w:p w14:paraId="1D1E94A9">
      <w:pPr>
        <w:rPr>
          <w:rFonts w:eastAsia="仿宋_GB2312"/>
          <w:b/>
          <w:szCs w:val="21"/>
          <w:highlight w:val="none"/>
        </w:rPr>
      </w:pPr>
      <w:r>
        <w:rPr>
          <w:rFonts w:eastAsia="仿宋_GB2312"/>
          <w:highlight w:val="none"/>
        </w:rPr>
        <w:t xml:space="preserve"> </w:t>
      </w:r>
      <w:r>
        <w:rPr>
          <w:rFonts w:eastAsia="仿宋_GB2312"/>
          <w:b/>
          <w:szCs w:val="21"/>
          <w:highlight w:val="none"/>
        </w:rPr>
        <w:t>一、陕西建行（E政通）</w:t>
      </w:r>
    </w:p>
    <w:p w14:paraId="1B423FAB">
      <w:pPr>
        <w:ind w:firstLine="420" w:firstLineChars="200"/>
        <w:rPr>
          <w:rFonts w:eastAsia="仿宋_GB2312"/>
          <w:szCs w:val="21"/>
          <w:highlight w:val="none"/>
        </w:rPr>
      </w:pPr>
      <w:r>
        <w:rPr>
          <w:rFonts w:eastAsia="仿宋_GB2312"/>
          <w:szCs w:val="21"/>
          <w:highlight w:val="none"/>
        </w:rPr>
        <w:t>陕西省分行营业部</w:t>
      </w:r>
      <w:r>
        <w:rPr>
          <w:rFonts w:eastAsia="仿宋_GB2312"/>
          <w:szCs w:val="21"/>
          <w:highlight w:val="none"/>
        </w:rPr>
        <w:tab/>
      </w:r>
      <w:r>
        <w:rPr>
          <w:rFonts w:eastAsia="仿宋_GB2312"/>
          <w:szCs w:val="21"/>
          <w:highlight w:val="none"/>
        </w:rPr>
        <w:t>西安市南广济街38号</w:t>
      </w:r>
      <w:r>
        <w:rPr>
          <w:rFonts w:eastAsia="仿宋_GB2312"/>
          <w:szCs w:val="21"/>
          <w:highlight w:val="none"/>
        </w:rPr>
        <w:tab/>
      </w:r>
      <w:r>
        <w:rPr>
          <w:rFonts w:eastAsia="仿宋_GB2312"/>
          <w:szCs w:val="21"/>
          <w:highlight w:val="none"/>
        </w:rPr>
        <w:t>白玉皓</w:t>
      </w:r>
      <w:r>
        <w:rPr>
          <w:rFonts w:eastAsia="仿宋_GB2312"/>
          <w:szCs w:val="21"/>
          <w:highlight w:val="none"/>
        </w:rPr>
        <w:tab/>
      </w:r>
      <w:r>
        <w:rPr>
          <w:rFonts w:eastAsia="仿宋_GB2312"/>
          <w:szCs w:val="21"/>
          <w:highlight w:val="none"/>
        </w:rPr>
        <w:t>13201603166</w:t>
      </w:r>
    </w:p>
    <w:p w14:paraId="2F37CE06">
      <w:pPr>
        <w:rPr>
          <w:rFonts w:eastAsia="仿宋_GB2312"/>
          <w:szCs w:val="21"/>
          <w:highlight w:val="none"/>
        </w:rPr>
      </w:pPr>
      <w:r>
        <w:rPr>
          <w:rFonts w:hint="eastAsia" w:eastAsia="仿宋_GB2312"/>
          <w:szCs w:val="21"/>
          <w:highlight w:val="none"/>
        </w:rPr>
        <w:t xml:space="preserve">    </w:t>
      </w:r>
      <w:r>
        <w:rPr>
          <w:rFonts w:eastAsia="仿宋_GB2312"/>
          <w:szCs w:val="21"/>
          <w:highlight w:val="none"/>
        </w:rPr>
        <w:t>西安莲湖路支行</w:t>
      </w:r>
      <w:r>
        <w:rPr>
          <w:rFonts w:eastAsia="仿宋_GB2312"/>
          <w:szCs w:val="21"/>
          <w:highlight w:val="none"/>
        </w:rPr>
        <w:tab/>
      </w:r>
      <w:r>
        <w:rPr>
          <w:rFonts w:eastAsia="仿宋_GB2312"/>
          <w:szCs w:val="21"/>
          <w:highlight w:val="none"/>
        </w:rPr>
        <w:t>西安市莲湖路35号</w:t>
      </w:r>
      <w:r>
        <w:rPr>
          <w:rFonts w:eastAsia="仿宋_GB2312"/>
          <w:szCs w:val="21"/>
          <w:highlight w:val="none"/>
        </w:rPr>
        <w:tab/>
      </w:r>
      <w:r>
        <w:rPr>
          <w:rFonts w:eastAsia="仿宋_GB2312"/>
          <w:szCs w:val="21"/>
          <w:highlight w:val="none"/>
        </w:rPr>
        <w:t>刘  冲</w:t>
      </w:r>
      <w:r>
        <w:rPr>
          <w:rFonts w:eastAsia="仿宋_GB2312"/>
          <w:szCs w:val="21"/>
          <w:highlight w:val="none"/>
        </w:rPr>
        <w:tab/>
      </w:r>
      <w:r>
        <w:rPr>
          <w:rFonts w:eastAsia="仿宋_GB2312"/>
          <w:szCs w:val="21"/>
          <w:highlight w:val="none"/>
        </w:rPr>
        <w:t>17702902131</w:t>
      </w:r>
    </w:p>
    <w:p w14:paraId="2A3ABEF4">
      <w:pPr>
        <w:rPr>
          <w:rFonts w:eastAsia="仿宋_GB2312"/>
          <w:szCs w:val="21"/>
          <w:highlight w:val="none"/>
        </w:rPr>
      </w:pPr>
      <w:r>
        <w:rPr>
          <w:rFonts w:hint="eastAsia" w:eastAsia="仿宋_GB2312"/>
          <w:szCs w:val="21"/>
          <w:highlight w:val="none"/>
        </w:rPr>
        <w:t xml:space="preserve">    </w:t>
      </w:r>
      <w:r>
        <w:rPr>
          <w:rFonts w:eastAsia="仿宋_GB2312"/>
          <w:szCs w:val="21"/>
          <w:highlight w:val="none"/>
        </w:rPr>
        <w:t>西安曲江支行</w:t>
      </w:r>
      <w:r>
        <w:rPr>
          <w:rFonts w:eastAsia="仿宋_GB2312"/>
          <w:szCs w:val="21"/>
          <w:highlight w:val="none"/>
        </w:rPr>
        <w:tab/>
      </w:r>
      <w:r>
        <w:rPr>
          <w:rFonts w:eastAsia="仿宋_GB2312"/>
          <w:szCs w:val="21"/>
          <w:highlight w:val="none"/>
        </w:rPr>
        <w:t>西安市雁塔南路2216号</w:t>
      </w:r>
      <w:r>
        <w:rPr>
          <w:rFonts w:eastAsia="仿宋_GB2312"/>
          <w:szCs w:val="21"/>
          <w:highlight w:val="none"/>
        </w:rPr>
        <w:tab/>
      </w:r>
      <w:r>
        <w:rPr>
          <w:rFonts w:eastAsia="仿宋_GB2312"/>
          <w:szCs w:val="21"/>
          <w:highlight w:val="none"/>
        </w:rPr>
        <w:t>樊理君</w:t>
      </w:r>
      <w:r>
        <w:rPr>
          <w:rFonts w:eastAsia="仿宋_GB2312"/>
          <w:szCs w:val="21"/>
          <w:highlight w:val="none"/>
        </w:rPr>
        <w:tab/>
      </w:r>
      <w:r>
        <w:rPr>
          <w:rFonts w:eastAsia="仿宋_GB2312"/>
          <w:szCs w:val="21"/>
          <w:highlight w:val="none"/>
        </w:rPr>
        <w:t>18691568151</w:t>
      </w:r>
    </w:p>
    <w:p w14:paraId="1777E14E">
      <w:pPr>
        <w:rPr>
          <w:rFonts w:eastAsia="仿宋_GB2312"/>
          <w:szCs w:val="21"/>
          <w:highlight w:val="none"/>
        </w:rPr>
      </w:pPr>
      <w:r>
        <w:rPr>
          <w:rFonts w:hint="eastAsia" w:eastAsia="仿宋_GB2312"/>
          <w:szCs w:val="21"/>
          <w:highlight w:val="none"/>
        </w:rPr>
        <w:t xml:space="preserve">    </w:t>
      </w:r>
      <w:r>
        <w:rPr>
          <w:rFonts w:eastAsia="仿宋_GB2312"/>
          <w:szCs w:val="21"/>
          <w:highlight w:val="none"/>
        </w:rPr>
        <w:t>西安高新区支行</w:t>
      </w:r>
      <w:r>
        <w:rPr>
          <w:rFonts w:eastAsia="仿宋_GB2312"/>
          <w:szCs w:val="21"/>
          <w:highlight w:val="none"/>
        </w:rPr>
        <w:tab/>
      </w:r>
      <w:r>
        <w:rPr>
          <w:rFonts w:eastAsia="仿宋_GB2312"/>
          <w:szCs w:val="21"/>
          <w:highlight w:val="none"/>
        </w:rPr>
        <w:t>西安市高新路42号</w:t>
      </w:r>
      <w:r>
        <w:rPr>
          <w:rFonts w:eastAsia="仿宋_GB2312"/>
          <w:szCs w:val="21"/>
          <w:highlight w:val="none"/>
        </w:rPr>
        <w:tab/>
      </w:r>
      <w:r>
        <w:rPr>
          <w:rFonts w:eastAsia="仿宋_GB2312"/>
          <w:szCs w:val="21"/>
          <w:highlight w:val="none"/>
        </w:rPr>
        <w:t>卞斯超</w:t>
      </w:r>
      <w:r>
        <w:rPr>
          <w:rFonts w:eastAsia="仿宋_GB2312"/>
          <w:szCs w:val="21"/>
          <w:highlight w:val="none"/>
        </w:rPr>
        <w:tab/>
      </w:r>
      <w:r>
        <w:rPr>
          <w:rFonts w:eastAsia="仿宋_GB2312"/>
          <w:szCs w:val="21"/>
          <w:highlight w:val="none"/>
        </w:rPr>
        <w:t>15191075651</w:t>
      </w:r>
    </w:p>
    <w:p w14:paraId="5C8B2C3A">
      <w:pPr>
        <w:rPr>
          <w:rFonts w:eastAsia="仿宋_GB2312"/>
          <w:szCs w:val="21"/>
          <w:highlight w:val="none"/>
        </w:rPr>
      </w:pPr>
      <w:r>
        <w:rPr>
          <w:rFonts w:hint="eastAsia" w:eastAsia="仿宋_GB2312"/>
          <w:szCs w:val="21"/>
          <w:highlight w:val="none"/>
        </w:rPr>
        <w:t xml:space="preserve">    </w:t>
      </w:r>
      <w:r>
        <w:rPr>
          <w:rFonts w:eastAsia="仿宋_GB2312"/>
          <w:szCs w:val="21"/>
          <w:highlight w:val="none"/>
        </w:rPr>
        <w:t>西安经开区支行</w:t>
      </w:r>
      <w:r>
        <w:rPr>
          <w:rFonts w:eastAsia="仿宋_GB2312"/>
          <w:szCs w:val="21"/>
          <w:highlight w:val="none"/>
        </w:rPr>
        <w:tab/>
      </w:r>
      <w:r>
        <w:rPr>
          <w:rFonts w:eastAsia="仿宋_GB2312"/>
          <w:szCs w:val="21"/>
          <w:highlight w:val="none"/>
        </w:rPr>
        <w:t>西安市未央路125号</w:t>
      </w:r>
      <w:r>
        <w:rPr>
          <w:rFonts w:eastAsia="仿宋_GB2312"/>
          <w:szCs w:val="21"/>
          <w:highlight w:val="none"/>
        </w:rPr>
        <w:tab/>
      </w:r>
      <w:r>
        <w:rPr>
          <w:rFonts w:eastAsia="仿宋_GB2312"/>
          <w:szCs w:val="21"/>
          <w:highlight w:val="none"/>
        </w:rPr>
        <w:t>惠  媛</w:t>
      </w:r>
      <w:r>
        <w:rPr>
          <w:rFonts w:eastAsia="仿宋_GB2312"/>
          <w:szCs w:val="21"/>
          <w:highlight w:val="none"/>
        </w:rPr>
        <w:tab/>
      </w:r>
      <w:r>
        <w:rPr>
          <w:rFonts w:eastAsia="仿宋_GB2312"/>
          <w:szCs w:val="21"/>
          <w:highlight w:val="none"/>
        </w:rPr>
        <w:t>17792256100</w:t>
      </w:r>
    </w:p>
    <w:p w14:paraId="0D3459FA">
      <w:pPr>
        <w:rPr>
          <w:rFonts w:eastAsia="仿宋_GB2312"/>
          <w:szCs w:val="21"/>
          <w:highlight w:val="none"/>
        </w:rPr>
      </w:pPr>
      <w:r>
        <w:rPr>
          <w:rFonts w:hint="eastAsia" w:eastAsia="仿宋_GB2312"/>
          <w:szCs w:val="21"/>
          <w:highlight w:val="none"/>
        </w:rPr>
        <w:t xml:space="preserve">    </w:t>
      </w:r>
      <w:r>
        <w:rPr>
          <w:rFonts w:eastAsia="仿宋_GB2312"/>
          <w:szCs w:val="21"/>
          <w:highlight w:val="none"/>
        </w:rPr>
        <w:t>西安南大街支行</w:t>
      </w:r>
      <w:r>
        <w:rPr>
          <w:rFonts w:eastAsia="仿宋_GB2312"/>
          <w:szCs w:val="21"/>
          <w:highlight w:val="none"/>
        </w:rPr>
        <w:tab/>
      </w:r>
      <w:r>
        <w:rPr>
          <w:rFonts w:eastAsia="仿宋_GB2312"/>
          <w:szCs w:val="21"/>
          <w:highlight w:val="none"/>
        </w:rPr>
        <w:t>西安市南大街15号</w:t>
      </w:r>
      <w:r>
        <w:rPr>
          <w:rFonts w:eastAsia="仿宋_GB2312"/>
          <w:szCs w:val="21"/>
          <w:highlight w:val="none"/>
        </w:rPr>
        <w:tab/>
      </w:r>
      <w:r>
        <w:rPr>
          <w:rFonts w:eastAsia="仿宋_GB2312"/>
          <w:szCs w:val="21"/>
          <w:highlight w:val="none"/>
        </w:rPr>
        <w:t>乔  鉴</w:t>
      </w:r>
      <w:r>
        <w:rPr>
          <w:rFonts w:eastAsia="仿宋_GB2312"/>
          <w:szCs w:val="21"/>
          <w:highlight w:val="none"/>
        </w:rPr>
        <w:tab/>
      </w:r>
      <w:r>
        <w:rPr>
          <w:rFonts w:eastAsia="仿宋_GB2312"/>
          <w:szCs w:val="21"/>
          <w:highlight w:val="none"/>
        </w:rPr>
        <w:t>18089136919</w:t>
      </w:r>
    </w:p>
    <w:p w14:paraId="2CD4FF04">
      <w:pPr>
        <w:ind w:firstLine="420"/>
        <w:rPr>
          <w:rFonts w:eastAsia="仿宋_GB2312"/>
          <w:szCs w:val="21"/>
          <w:highlight w:val="none"/>
        </w:rPr>
      </w:pPr>
      <w:r>
        <w:rPr>
          <w:rFonts w:eastAsia="仿宋_GB2312"/>
          <w:szCs w:val="21"/>
          <w:highlight w:val="none"/>
        </w:rPr>
        <w:t>西安和平路支行</w:t>
      </w:r>
      <w:r>
        <w:rPr>
          <w:rFonts w:eastAsia="仿宋_GB2312"/>
          <w:szCs w:val="21"/>
          <w:highlight w:val="none"/>
        </w:rPr>
        <w:tab/>
      </w:r>
      <w:r>
        <w:rPr>
          <w:rFonts w:eastAsia="仿宋_GB2312"/>
          <w:szCs w:val="21"/>
          <w:highlight w:val="none"/>
        </w:rPr>
        <w:t>西安市和平路101号</w:t>
      </w:r>
      <w:r>
        <w:rPr>
          <w:rFonts w:eastAsia="仿宋_GB2312"/>
          <w:szCs w:val="21"/>
          <w:highlight w:val="none"/>
        </w:rPr>
        <w:tab/>
      </w:r>
      <w:r>
        <w:rPr>
          <w:rFonts w:eastAsia="仿宋_GB2312"/>
          <w:szCs w:val="21"/>
          <w:highlight w:val="none"/>
        </w:rPr>
        <w:t>陈  歆</w:t>
      </w:r>
      <w:r>
        <w:rPr>
          <w:rFonts w:eastAsia="仿宋_GB2312"/>
          <w:szCs w:val="21"/>
          <w:highlight w:val="none"/>
        </w:rPr>
        <w:tab/>
      </w:r>
      <w:r>
        <w:rPr>
          <w:rFonts w:eastAsia="仿宋_GB2312"/>
          <w:szCs w:val="21"/>
          <w:highlight w:val="none"/>
        </w:rPr>
        <w:t>18691816821</w:t>
      </w:r>
    </w:p>
    <w:p w14:paraId="7FB63205">
      <w:pPr>
        <w:ind w:firstLine="420"/>
        <w:rPr>
          <w:rFonts w:eastAsia="仿宋_GB2312"/>
          <w:szCs w:val="21"/>
          <w:highlight w:val="none"/>
        </w:rPr>
      </w:pPr>
      <w:r>
        <w:rPr>
          <w:rFonts w:eastAsia="仿宋_GB2312"/>
          <w:szCs w:val="21"/>
          <w:highlight w:val="none"/>
        </w:rPr>
        <w:t>西安兴庆路支行</w:t>
      </w:r>
      <w:r>
        <w:rPr>
          <w:rFonts w:eastAsia="仿宋_GB2312"/>
          <w:szCs w:val="21"/>
          <w:highlight w:val="none"/>
        </w:rPr>
        <w:tab/>
      </w:r>
      <w:r>
        <w:rPr>
          <w:rFonts w:eastAsia="仿宋_GB2312"/>
          <w:szCs w:val="21"/>
          <w:highlight w:val="none"/>
        </w:rPr>
        <w:t>西安市兴庆路61号</w:t>
      </w:r>
      <w:r>
        <w:rPr>
          <w:rFonts w:eastAsia="仿宋_GB2312"/>
          <w:szCs w:val="21"/>
          <w:highlight w:val="none"/>
        </w:rPr>
        <w:tab/>
      </w:r>
      <w:r>
        <w:rPr>
          <w:rFonts w:eastAsia="仿宋_GB2312"/>
          <w:szCs w:val="21"/>
          <w:highlight w:val="none"/>
        </w:rPr>
        <w:t>李  妍</w:t>
      </w:r>
      <w:r>
        <w:rPr>
          <w:rFonts w:eastAsia="仿宋_GB2312"/>
          <w:szCs w:val="21"/>
          <w:highlight w:val="none"/>
        </w:rPr>
        <w:tab/>
      </w:r>
      <w:r>
        <w:rPr>
          <w:rFonts w:eastAsia="仿宋_GB2312"/>
          <w:szCs w:val="21"/>
          <w:highlight w:val="none"/>
        </w:rPr>
        <w:t>13892880386</w:t>
      </w:r>
    </w:p>
    <w:p w14:paraId="53652D74">
      <w:pPr>
        <w:ind w:firstLine="420"/>
        <w:rPr>
          <w:rFonts w:eastAsia="仿宋_GB2312"/>
          <w:szCs w:val="21"/>
          <w:highlight w:val="none"/>
        </w:rPr>
      </w:pPr>
      <w:r>
        <w:rPr>
          <w:rFonts w:eastAsia="仿宋_GB2312"/>
          <w:szCs w:val="21"/>
          <w:highlight w:val="none"/>
        </w:rPr>
        <w:t>西安新城支行</w:t>
      </w:r>
      <w:r>
        <w:rPr>
          <w:rFonts w:eastAsia="仿宋_GB2312"/>
          <w:szCs w:val="21"/>
          <w:highlight w:val="none"/>
        </w:rPr>
        <w:tab/>
      </w:r>
      <w:r>
        <w:rPr>
          <w:rFonts w:eastAsia="仿宋_GB2312"/>
          <w:szCs w:val="21"/>
          <w:highlight w:val="none"/>
        </w:rPr>
        <w:t>西安市南新街29号</w:t>
      </w:r>
      <w:r>
        <w:rPr>
          <w:rFonts w:eastAsia="仿宋_GB2312"/>
          <w:szCs w:val="21"/>
          <w:highlight w:val="none"/>
        </w:rPr>
        <w:tab/>
      </w:r>
      <w:r>
        <w:rPr>
          <w:rFonts w:eastAsia="仿宋_GB2312"/>
          <w:szCs w:val="21"/>
          <w:highlight w:val="none"/>
        </w:rPr>
        <w:t>朱子君</w:t>
      </w:r>
      <w:r>
        <w:rPr>
          <w:rFonts w:eastAsia="仿宋_GB2312"/>
          <w:szCs w:val="21"/>
          <w:highlight w:val="none"/>
        </w:rPr>
        <w:tab/>
      </w:r>
      <w:r>
        <w:rPr>
          <w:rFonts w:eastAsia="仿宋_GB2312"/>
          <w:szCs w:val="21"/>
          <w:highlight w:val="none"/>
        </w:rPr>
        <w:t>18629286269</w:t>
      </w:r>
    </w:p>
    <w:p w14:paraId="7DD23C9E">
      <w:pPr>
        <w:ind w:firstLine="420"/>
        <w:rPr>
          <w:rFonts w:eastAsia="仿宋_GB2312"/>
          <w:szCs w:val="21"/>
          <w:highlight w:val="none"/>
        </w:rPr>
      </w:pPr>
      <w:r>
        <w:rPr>
          <w:rFonts w:eastAsia="仿宋_GB2312"/>
          <w:szCs w:val="21"/>
          <w:highlight w:val="none"/>
        </w:rPr>
        <w:t>西安长安区支行</w:t>
      </w:r>
      <w:r>
        <w:rPr>
          <w:rFonts w:eastAsia="仿宋_GB2312"/>
          <w:szCs w:val="21"/>
          <w:highlight w:val="none"/>
        </w:rPr>
        <w:tab/>
      </w:r>
      <w:r>
        <w:rPr>
          <w:rFonts w:eastAsia="仿宋_GB2312"/>
          <w:szCs w:val="21"/>
          <w:highlight w:val="none"/>
        </w:rPr>
        <w:t>西安市长安区青年街2号</w:t>
      </w:r>
      <w:r>
        <w:rPr>
          <w:rFonts w:eastAsia="仿宋_GB2312"/>
          <w:szCs w:val="21"/>
          <w:highlight w:val="none"/>
        </w:rPr>
        <w:tab/>
      </w:r>
      <w:r>
        <w:rPr>
          <w:rFonts w:eastAsia="仿宋_GB2312"/>
          <w:szCs w:val="21"/>
          <w:highlight w:val="none"/>
        </w:rPr>
        <w:t>王淑芸</w:t>
      </w:r>
      <w:r>
        <w:rPr>
          <w:rFonts w:eastAsia="仿宋_GB2312"/>
          <w:szCs w:val="21"/>
          <w:highlight w:val="none"/>
        </w:rPr>
        <w:tab/>
      </w:r>
      <w:r>
        <w:rPr>
          <w:rFonts w:eastAsia="仿宋_GB2312"/>
          <w:szCs w:val="21"/>
          <w:highlight w:val="none"/>
        </w:rPr>
        <w:t>13572289603</w:t>
      </w:r>
    </w:p>
    <w:p w14:paraId="73E760C8">
      <w:pPr>
        <w:ind w:firstLine="420"/>
        <w:rPr>
          <w:rFonts w:eastAsia="仿宋_GB2312"/>
          <w:szCs w:val="21"/>
          <w:highlight w:val="none"/>
        </w:rPr>
      </w:pPr>
      <w:r>
        <w:rPr>
          <w:rFonts w:eastAsia="仿宋_GB2312"/>
          <w:szCs w:val="21"/>
          <w:highlight w:val="none"/>
        </w:rPr>
        <w:t>咸阳分行</w:t>
      </w:r>
      <w:r>
        <w:rPr>
          <w:rFonts w:eastAsia="仿宋_GB2312"/>
          <w:szCs w:val="21"/>
          <w:highlight w:val="none"/>
        </w:rPr>
        <w:tab/>
      </w:r>
      <w:r>
        <w:rPr>
          <w:rFonts w:eastAsia="仿宋_GB2312"/>
          <w:szCs w:val="21"/>
          <w:highlight w:val="none"/>
        </w:rPr>
        <w:t>咸阳市西兰路4号</w:t>
      </w:r>
      <w:r>
        <w:rPr>
          <w:rFonts w:eastAsia="仿宋_GB2312"/>
          <w:szCs w:val="21"/>
          <w:highlight w:val="none"/>
        </w:rPr>
        <w:tab/>
      </w:r>
      <w:r>
        <w:rPr>
          <w:rFonts w:eastAsia="仿宋_GB2312"/>
          <w:szCs w:val="21"/>
          <w:highlight w:val="none"/>
        </w:rPr>
        <w:t>邰  洋</w:t>
      </w:r>
      <w:r>
        <w:rPr>
          <w:rFonts w:eastAsia="仿宋_GB2312"/>
          <w:szCs w:val="21"/>
          <w:highlight w:val="none"/>
        </w:rPr>
        <w:tab/>
      </w:r>
      <w:r>
        <w:rPr>
          <w:rFonts w:eastAsia="仿宋_GB2312"/>
          <w:szCs w:val="21"/>
          <w:highlight w:val="none"/>
        </w:rPr>
        <w:t>13299079906</w:t>
      </w:r>
    </w:p>
    <w:p w14:paraId="6E0B27F7">
      <w:pPr>
        <w:ind w:firstLine="420"/>
        <w:rPr>
          <w:rFonts w:eastAsia="仿宋_GB2312"/>
          <w:szCs w:val="21"/>
          <w:highlight w:val="none"/>
        </w:rPr>
      </w:pPr>
      <w:r>
        <w:rPr>
          <w:rFonts w:eastAsia="仿宋_GB2312"/>
          <w:szCs w:val="21"/>
          <w:highlight w:val="none"/>
        </w:rPr>
        <w:t>宝鸡分行</w:t>
      </w:r>
      <w:r>
        <w:rPr>
          <w:rFonts w:eastAsia="仿宋_GB2312"/>
          <w:szCs w:val="21"/>
          <w:highlight w:val="none"/>
        </w:rPr>
        <w:tab/>
      </w:r>
      <w:r>
        <w:rPr>
          <w:rFonts w:eastAsia="仿宋_GB2312"/>
          <w:szCs w:val="21"/>
          <w:highlight w:val="none"/>
        </w:rPr>
        <w:t>宝鸡市红旗路36号</w:t>
      </w:r>
      <w:r>
        <w:rPr>
          <w:rFonts w:eastAsia="仿宋_GB2312"/>
          <w:szCs w:val="21"/>
          <w:highlight w:val="none"/>
        </w:rPr>
        <w:tab/>
      </w:r>
      <w:r>
        <w:rPr>
          <w:rFonts w:eastAsia="仿宋_GB2312"/>
          <w:szCs w:val="21"/>
          <w:highlight w:val="none"/>
        </w:rPr>
        <w:t>李  倩</w:t>
      </w:r>
      <w:r>
        <w:rPr>
          <w:rFonts w:eastAsia="仿宋_GB2312"/>
          <w:szCs w:val="21"/>
          <w:highlight w:val="none"/>
        </w:rPr>
        <w:tab/>
      </w:r>
      <w:r>
        <w:rPr>
          <w:rFonts w:eastAsia="仿宋_GB2312"/>
          <w:szCs w:val="21"/>
          <w:highlight w:val="none"/>
        </w:rPr>
        <w:t>18629019817</w:t>
      </w:r>
    </w:p>
    <w:p w14:paraId="280EF819">
      <w:pPr>
        <w:ind w:firstLine="420"/>
        <w:rPr>
          <w:rFonts w:eastAsia="仿宋_GB2312"/>
          <w:szCs w:val="21"/>
          <w:highlight w:val="none"/>
        </w:rPr>
      </w:pPr>
      <w:r>
        <w:rPr>
          <w:rFonts w:eastAsia="仿宋_GB2312"/>
          <w:szCs w:val="21"/>
          <w:highlight w:val="none"/>
        </w:rPr>
        <w:t>铜川分行</w:t>
      </w:r>
      <w:r>
        <w:rPr>
          <w:rFonts w:eastAsia="仿宋_GB2312"/>
          <w:szCs w:val="21"/>
          <w:highlight w:val="none"/>
        </w:rPr>
        <w:tab/>
      </w:r>
      <w:r>
        <w:rPr>
          <w:rFonts w:eastAsia="仿宋_GB2312"/>
          <w:szCs w:val="21"/>
          <w:highlight w:val="none"/>
        </w:rPr>
        <w:t>铜川市新区正阳路与长虹路十字</w:t>
      </w:r>
      <w:r>
        <w:rPr>
          <w:rFonts w:eastAsia="仿宋_GB2312"/>
          <w:szCs w:val="21"/>
          <w:highlight w:val="none"/>
        </w:rPr>
        <w:tab/>
      </w:r>
      <w:r>
        <w:rPr>
          <w:rFonts w:eastAsia="仿宋_GB2312"/>
          <w:szCs w:val="21"/>
          <w:highlight w:val="none"/>
        </w:rPr>
        <w:t>张小波</w:t>
      </w:r>
      <w:r>
        <w:rPr>
          <w:rFonts w:eastAsia="仿宋_GB2312"/>
          <w:szCs w:val="21"/>
          <w:highlight w:val="none"/>
        </w:rPr>
        <w:tab/>
      </w:r>
      <w:r>
        <w:rPr>
          <w:rFonts w:eastAsia="仿宋_GB2312"/>
          <w:szCs w:val="21"/>
          <w:highlight w:val="none"/>
        </w:rPr>
        <w:t>18691932636</w:t>
      </w:r>
    </w:p>
    <w:p w14:paraId="232320E6">
      <w:pPr>
        <w:ind w:firstLine="420"/>
        <w:rPr>
          <w:rFonts w:eastAsia="仿宋_GB2312"/>
          <w:szCs w:val="21"/>
          <w:highlight w:val="none"/>
        </w:rPr>
      </w:pPr>
      <w:r>
        <w:rPr>
          <w:rFonts w:eastAsia="仿宋_GB2312"/>
          <w:szCs w:val="21"/>
          <w:highlight w:val="none"/>
        </w:rPr>
        <w:t>榆林分行</w:t>
      </w:r>
      <w:r>
        <w:rPr>
          <w:rFonts w:eastAsia="仿宋_GB2312"/>
          <w:szCs w:val="21"/>
          <w:highlight w:val="none"/>
        </w:rPr>
        <w:tab/>
      </w:r>
      <w:r>
        <w:rPr>
          <w:rFonts w:eastAsia="仿宋_GB2312"/>
          <w:szCs w:val="21"/>
          <w:highlight w:val="none"/>
        </w:rPr>
        <w:t>榆林市高新技术产业园区创业大厦</w:t>
      </w:r>
      <w:r>
        <w:rPr>
          <w:rFonts w:eastAsia="仿宋_GB2312"/>
          <w:szCs w:val="21"/>
          <w:highlight w:val="none"/>
        </w:rPr>
        <w:tab/>
      </w:r>
      <w:r>
        <w:rPr>
          <w:rFonts w:eastAsia="仿宋_GB2312"/>
          <w:szCs w:val="21"/>
          <w:highlight w:val="none"/>
        </w:rPr>
        <w:t>张君君</w:t>
      </w:r>
      <w:r>
        <w:rPr>
          <w:rFonts w:eastAsia="仿宋_GB2312"/>
          <w:szCs w:val="21"/>
          <w:highlight w:val="none"/>
        </w:rPr>
        <w:tab/>
      </w:r>
      <w:r>
        <w:rPr>
          <w:rFonts w:eastAsia="仿宋_GB2312"/>
          <w:szCs w:val="21"/>
          <w:highlight w:val="none"/>
        </w:rPr>
        <w:t>15991929275</w:t>
      </w:r>
    </w:p>
    <w:p w14:paraId="5F2751D6">
      <w:pPr>
        <w:ind w:firstLine="420"/>
        <w:rPr>
          <w:rFonts w:eastAsia="仿宋_GB2312"/>
          <w:szCs w:val="21"/>
          <w:highlight w:val="none"/>
        </w:rPr>
      </w:pPr>
      <w:r>
        <w:rPr>
          <w:rFonts w:eastAsia="仿宋_GB2312"/>
          <w:szCs w:val="21"/>
          <w:highlight w:val="none"/>
        </w:rPr>
        <w:t>延安分行</w:t>
      </w:r>
      <w:r>
        <w:rPr>
          <w:rFonts w:eastAsia="仿宋_GB2312"/>
          <w:szCs w:val="21"/>
          <w:highlight w:val="none"/>
        </w:rPr>
        <w:tab/>
      </w:r>
      <w:r>
        <w:rPr>
          <w:rFonts w:eastAsia="仿宋_GB2312"/>
          <w:szCs w:val="21"/>
          <w:highlight w:val="none"/>
        </w:rPr>
        <w:t>延安市宝塔区中心街</w:t>
      </w:r>
      <w:r>
        <w:rPr>
          <w:rFonts w:eastAsia="仿宋_GB2312"/>
          <w:szCs w:val="21"/>
          <w:highlight w:val="none"/>
        </w:rPr>
        <w:tab/>
      </w:r>
      <w:r>
        <w:rPr>
          <w:rFonts w:eastAsia="仿宋_GB2312"/>
          <w:szCs w:val="21"/>
          <w:highlight w:val="none"/>
        </w:rPr>
        <w:t>陈进佃</w:t>
      </w:r>
      <w:r>
        <w:rPr>
          <w:rFonts w:eastAsia="仿宋_GB2312"/>
          <w:szCs w:val="21"/>
          <w:highlight w:val="none"/>
        </w:rPr>
        <w:tab/>
      </w:r>
      <w:r>
        <w:rPr>
          <w:rFonts w:eastAsia="仿宋_GB2312"/>
          <w:szCs w:val="21"/>
          <w:highlight w:val="none"/>
        </w:rPr>
        <w:t>15609110557</w:t>
      </w:r>
    </w:p>
    <w:p w14:paraId="5D548A89">
      <w:pPr>
        <w:ind w:firstLine="420"/>
        <w:rPr>
          <w:rFonts w:eastAsia="仿宋_GB2312"/>
          <w:szCs w:val="21"/>
          <w:highlight w:val="none"/>
        </w:rPr>
      </w:pPr>
      <w:r>
        <w:rPr>
          <w:rFonts w:eastAsia="仿宋_GB2312"/>
          <w:szCs w:val="21"/>
          <w:highlight w:val="none"/>
        </w:rPr>
        <w:t>汉中分行</w:t>
      </w:r>
      <w:r>
        <w:rPr>
          <w:rFonts w:eastAsia="仿宋_GB2312"/>
          <w:szCs w:val="21"/>
          <w:highlight w:val="none"/>
        </w:rPr>
        <w:tab/>
      </w:r>
      <w:r>
        <w:rPr>
          <w:rFonts w:eastAsia="仿宋_GB2312"/>
          <w:szCs w:val="21"/>
          <w:highlight w:val="none"/>
        </w:rPr>
        <w:t>汉中市石灰巷21号</w:t>
      </w:r>
      <w:r>
        <w:rPr>
          <w:rFonts w:eastAsia="仿宋_GB2312"/>
          <w:szCs w:val="21"/>
          <w:highlight w:val="none"/>
        </w:rPr>
        <w:tab/>
      </w:r>
      <w:r>
        <w:rPr>
          <w:rFonts w:eastAsia="仿宋_GB2312"/>
          <w:szCs w:val="21"/>
          <w:highlight w:val="none"/>
        </w:rPr>
        <w:t>王晨旭</w:t>
      </w:r>
      <w:r>
        <w:rPr>
          <w:rFonts w:eastAsia="仿宋_GB2312"/>
          <w:szCs w:val="21"/>
          <w:highlight w:val="none"/>
        </w:rPr>
        <w:tab/>
      </w:r>
      <w:r>
        <w:rPr>
          <w:rFonts w:eastAsia="仿宋_GB2312"/>
          <w:szCs w:val="21"/>
          <w:highlight w:val="none"/>
        </w:rPr>
        <w:t>15319375850</w:t>
      </w:r>
    </w:p>
    <w:p w14:paraId="6D36D61A">
      <w:pPr>
        <w:ind w:firstLine="420"/>
        <w:rPr>
          <w:rFonts w:eastAsia="仿宋_GB2312"/>
          <w:szCs w:val="21"/>
          <w:highlight w:val="none"/>
        </w:rPr>
      </w:pPr>
      <w:r>
        <w:rPr>
          <w:rFonts w:eastAsia="仿宋_GB2312"/>
          <w:szCs w:val="21"/>
          <w:highlight w:val="none"/>
        </w:rPr>
        <w:t>安康分行</w:t>
      </w:r>
      <w:r>
        <w:rPr>
          <w:rFonts w:eastAsia="仿宋_GB2312"/>
          <w:szCs w:val="21"/>
          <w:highlight w:val="none"/>
        </w:rPr>
        <w:tab/>
      </w:r>
      <w:r>
        <w:rPr>
          <w:rFonts w:eastAsia="仿宋_GB2312"/>
          <w:szCs w:val="21"/>
          <w:highlight w:val="none"/>
        </w:rPr>
        <w:t>安康市育才路102号</w:t>
      </w:r>
      <w:r>
        <w:rPr>
          <w:rFonts w:eastAsia="仿宋_GB2312"/>
          <w:szCs w:val="21"/>
          <w:highlight w:val="none"/>
        </w:rPr>
        <w:tab/>
      </w:r>
      <w:r>
        <w:rPr>
          <w:rFonts w:eastAsia="仿宋_GB2312"/>
          <w:szCs w:val="21"/>
          <w:highlight w:val="none"/>
        </w:rPr>
        <w:t>张少帅</w:t>
      </w:r>
      <w:r>
        <w:rPr>
          <w:rFonts w:eastAsia="仿宋_GB2312"/>
          <w:szCs w:val="21"/>
          <w:highlight w:val="none"/>
        </w:rPr>
        <w:tab/>
      </w:r>
      <w:r>
        <w:rPr>
          <w:rFonts w:eastAsia="仿宋_GB2312"/>
          <w:szCs w:val="21"/>
          <w:highlight w:val="none"/>
        </w:rPr>
        <w:t>13165762680</w:t>
      </w:r>
    </w:p>
    <w:p w14:paraId="7BE4D594">
      <w:pPr>
        <w:ind w:firstLine="420"/>
        <w:rPr>
          <w:rFonts w:eastAsia="仿宋_GB2312"/>
          <w:szCs w:val="21"/>
          <w:highlight w:val="none"/>
        </w:rPr>
      </w:pPr>
      <w:r>
        <w:rPr>
          <w:rFonts w:eastAsia="仿宋_GB2312"/>
          <w:szCs w:val="21"/>
          <w:highlight w:val="none"/>
        </w:rPr>
        <w:t>商洛分行</w:t>
      </w:r>
      <w:r>
        <w:rPr>
          <w:rFonts w:eastAsia="仿宋_GB2312"/>
          <w:szCs w:val="21"/>
          <w:highlight w:val="none"/>
        </w:rPr>
        <w:tab/>
      </w:r>
      <w:r>
        <w:rPr>
          <w:rFonts w:eastAsia="仿宋_GB2312"/>
          <w:szCs w:val="21"/>
          <w:highlight w:val="none"/>
        </w:rPr>
        <w:t>商洛市名人街广电大楼下</w:t>
      </w:r>
      <w:r>
        <w:rPr>
          <w:rFonts w:eastAsia="仿宋_GB2312"/>
          <w:szCs w:val="21"/>
          <w:highlight w:val="none"/>
        </w:rPr>
        <w:tab/>
      </w:r>
      <w:r>
        <w:rPr>
          <w:rFonts w:eastAsia="仿宋_GB2312"/>
          <w:szCs w:val="21"/>
          <w:highlight w:val="none"/>
        </w:rPr>
        <w:t>郭  杨</w:t>
      </w:r>
      <w:r>
        <w:rPr>
          <w:rFonts w:eastAsia="仿宋_GB2312"/>
          <w:szCs w:val="21"/>
          <w:highlight w:val="none"/>
        </w:rPr>
        <w:tab/>
      </w:r>
      <w:r>
        <w:rPr>
          <w:rFonts w:eastAsia="仿宋_GB2312"/>
          <w:szCs w:val="21"/>
          <w:highlight w:val="none"/>
        </w:rPr>
        <w:t>17809267188</w:t>
      </w:r>
    </w:p>
    <w:p w14:paraId="3801A8D9">
      <w:pPr>
        <w:rPr>
          <w:rFonts w:eastAsia="仿宋_GB2312"/>
          <w:b/>
          <w:szCs w:val="21"/>
          <w:highlight w:val="none"/>
        </w:rPr>
      </w:pPr>
      <w:r>
        <w:rPr>
          <w:rFonts w:eastAsia="仿宋_GB2312"/>
          <w:b/>
          <w:szCs w:val="21"/>
          <w:highlight w:val="none"/>
        </w:rPr>
        <w:t>二、北京银行（政府订单贷）</w:t>
      </w:r>
      <w:r>
        <w:rPr>
          <w:rFonts w:eastAsia="仿宋_GB2312"/>
          <w:b/>
          <w:szCs w:val="21"/>
          <w:highlight w:val="none"/>
        </w:rPr>
        <w:tab/>
      </w:r>
      <w:r>
        <w:rPr>
          <w:rFonts w:eastAsia="仿宋_GB2312"/>
          <w:b/>
          <w:szCs w:val="21"/>
          <w:highlight w:val="none"/>
        </w:rPr>
        <w:tab/>
      </w:r>
      <w:r>
        <w:rPr>
          <w:rFonts w:eastAsia="仿宋_GB2312"/>
          <w:b/>
          <w:szCs w:val="21"/>
          <w:highlight w:val="none"/>
        </w:rPr>
        <w:tab/>
      </w:r>
      <w:r>
        <w:rPr>
          <w:rFonts w:eastAsia="仿宋_GB2312"/>
          <w:b/>
          <w:szCs w:val="21"/>
          <w:highlight w:val="none"/>
        </w:rPr>
        <w:tab/>
      </w:r>
    </w:p>
    <w:p w14:paraId="2EB7BAD2">
      <w:pPr>
        <w:ind w:firstLine="420" w:firstLineChars="200"/>
        <w:rPr>
          <w:rFonts w:eastAsia="仿宋_GB2312"/>
          <w:szCs w:val="21"/>
          <w:highlight w:val="none"/>
        </w:rPr>
      </w:pPr>
      <w:r>
        <w:rPr>
          <w:rFonts w:eastAsia="仿宋_GB2312"/>
          <w:szCs w:val="21"/>
          <w:highlight w:val="none"/>
        </w:rPr>
        <w:t>西安分行营业部</w:t>
      </w:r>
      <w:r>
        <w:rPr>
          <w:rFonts w:eastAsia="仿宋_GB2312"/>
          <w:szCs w:val="21"/>
          <w:highlight w:val="none"/>
        </w:rPr>
        <w:tab/>
      </w:r>
      <w:r>
        <w:rPr>
          <w:rFonts w:eastAsia="仿宋_GB2312"/>
          <w:szCs w:val="21"/>
          <w:highlight w:val="none"/>
        </w:rPr>
        <w:t xml:space="preserve">        刘晓伟</w:t>
      </w:r>
      <w:r>
        <w:rPr>
          <w:rFonts w:eastAsia="仿宋_GB2312"/>
          <w:szCs w:val="21"/>
          <w:highlight w:val="none"/>
        </w:rPr>
        <w:tab/>
      </w:r>
      <w:r>
        <w:rPr>
          <w:rFonts w:eastAsia="仿宋_GB2312"/>
          <w:szCs w:val="21"/>
          <w:highlight w:val="none"/>
        </w:rPr>
        <w:t>总经理助理</w:t>
      </w:r>
      <w:r>
        <w:rPr>
          <w:rFonts w:eastAsia="仿宋_GB2312"/>
          <w:szCs w:val="21"/>
          <w:highlight w:val="none"/>
        </w:rPr>
        <w:tab/>
      </w:r>
      <w:r>
        <w:rPr>
          <w:rFonts w:eastAsia="仿宋_GB2312"/>
          <w:szCs w:val="21"/>
          <w:highlight w:val="none"/>
        </w:rPr>
        <w:t>029-61828763</w:t>
      </w:r>
      <w:r>
        <w:rPr>
          <w:rFonts w:eastAsia="仿宋_GB2312"/>
          <w:szCs w:val="21"/>
          <w:highlight w:val="none"/>
        </w:rPr>
        <w:tab/>
      </w:r>
      <w:r>
        <w:rPr>
          <w:rFonts w:eastAsia="仿宋_GB2312"/>
          <w:szCs w:val="21"/>
          <w:highlight w:val="none"/>
        </w:rPr>
        <w:t>18066630518</w:t>
      </w:r>
    </w:p>
    <w:p w14:paraId="7282D76E">
      <w:pPr>
        <w:ind w:firstLine="420" w:firstLineChars="200"/>
        <w:rPr>
          <w:rFonts w:eastAsia="仿宋_GB2312"/>
          <w:szCs w:val="21"/>
          <w:highlight w:val="none"/>
        </w:rPr>
      </w:pPr>
      <w:r>
        <w:rPr>
          <w:rFonts w:eastAsia="仿宋_GB2312"/>
          <w:szCs w:val="21"/>
          <w:highlight w:val="none"/>
        </w:rPr>
        <w:t>西安高新开发区支行</w:t>
      </w:r>
      <w:r>
        <w:rPr>
          <w:rFonts w:eastAsia="仿宋_GB2312"/>
          <w:szCs w:val="21"/>
          <w:highlight w:val="none"/>
        </w:rPr>
        <w:tab/>
      </w:r>
      <w:r>
        <w:rPr>
          <w:rFonts w:eastAsia="仿宋_GB2312"/>
          <w:szCs w:val="21"/>
          <w:highlight w:val="none"/>
        </w:rPr>
        <w:t xml:space="preserve">    梁凡</w:t>
      </w:r>
      <w:r>
        <w:rPr>
          <w:rFonts w:eastAsia="仿宋_GB2312"/>
          <w:szCs w:val="21"/>
          <w:highlight w:val="none"/>
        </w:rPr>
        <w:tab/>
      </w:r>
      <w:r>
        <w:rPr>
          <w:rFonts w:eastAsia="仿宋_GB2312"/>
          <w:szCs w:val="21"/>
          <w:highlight w:val="none"/>
        </w:rPr>
        <w:t>行长助理</w:t>
      </w:r>
      <w:r>
        <w:rPr>
          <w:rFonts w:eastAsia="仿宋_GB2312"/>
          <w:szCs w:val="21"/>
          <w:highlight w:val="none"/>
        </w:rPr>
        <w:tab/>
      </w:r>
      <w:r>
        <w:rPr>
          <w:rFonts w:eastAsia="仿宋_GB2312"/>
          <w:szCs w:val="21"/>
          <w:highlight w:val="none"/>
        </w:rPr>
        <w:t>029-61828531</w:t>
      </w:r>
      <w:r>
        <w:rPr>
          <w:rFonts w:eastAsia="仿宋_GB2312"/>
          <w:szCs w:val="21"/>
          <w:highlight w:val="none"/>
        </w:rPr>
        <w:tab/>
      </w:r>
      <w:r>
        <w:rPr>
          <w:rFonts w:eastAsia="仿宋_GB2312"/>
          <w:szCs w:val="21"/>
          <w:highlight w:val="none"/>
        </w:rPr>
        <w:t>18681945597</w:t>
      </w:r>
    </w:p>
    <w:p w14:paraId="5243E0F3">
      <w:pPr>
        <w:ind w:firstLine="420" w:firstLineChars="200"/>
        <w:rPr>
          <w:rFonts w:eastAsia="仿宋_GB2312"/>
          <w:szCs w:val="21"/>
          <w:highlight w:val="none"/>
        </w:rPr>
      </w:pPr>
      <w:r>
        <w:rPr>
          <w:rFonts w:eastAsia="仿宋_GB2312"/>
          <w:szCs w:val="21"/>
          <w:highlight w:val="none"/>
        </w:rPr>
        <w:t>西安曲江文创支行</w:t>
      </w:r>
      <w:r>
        <w:rPr>
          <w:rFonts w:eastAsia="仿宋_GB2312"/>
          <w:szCs w:val="21"/>
          <w:highlight w:val="none"/>
        </w:rPr>
        <w:tab/>
      </w:r>
      <w:r>
        <w:rPr>
          <w:rFonts w:eastAsia="仿宋_GB2312"/>
          <w:szCs w:val="21"/>
          <w:highlight w:val="none"/>
        </w:rPr>
        <w:t xml:space="preserve">    蒋超</w:t>
      </w:r>
      <w:r>
        <w:rPr>
          <w:rFonts w:eastAsia="仿宋_GB2312"/>
          <w:szCs w:val="21"/>
          <w:highlight w:val="none"/>
        </w:rPr>
        <w:tab/>
      </w:r>
      <w:r>
        <w:rPr>
          <w:rFonts w:eastAsia="仿宋_GB2312"/>
          <w:szCs w:val="21"/>
          <w:highlight w:val="none"/>
        </w:rPr>
        <w:t>室经理</w:t>
      </w:r>
      <w:r>
        <w:rPr>
          <w:rFonts w:eastAsia="仿宋_GB2312"/>
          <w:szCs w:val="21"/>
          <w:highlight w:val="none"/>
        </w:rPr>
        <w:tab/>
      </w:r>
      <w:r>
        <w:rPr>
          <w:rFonts w:eastAsia="仿宋_GB2312"/>
          <w:szCs w:val="21"/>
          <w:highlight w:val="none"/>
        </w:rPr>
        <w:t>029-65667366</w:t>
      </w:r>
      <w:r>
        <w:rPr>
          <w:rFonts w:eastAsia="仿宋_GB2312"/>
          <w:szCs w:val="21"/>
          <w:highlight w:val="none"/>
        </w:rPr>
        <w:tab/>
      </w:r>
      <w:r>
        <w:rPr>
          <w:rFonts w:eastAsia="仿宋_GB2312"/>
          <w:szCs w:val="21"/>
          <w:highlight w:val="none"/>
        </w:rPr>
        <w:t>15891737329</w:t>
      </w:r>
    </w:p>
    <w:p w14:paraId="3185F77A">
      <w:pPr>
        <w:ind w:firstLine="420" w:firstLineChars="200"/>
        <w:rPr>
          <w:rFonts w:eastAsia="仿宋_GB2312"/>
          <w:szCs w:val="21"/>
          <w:highlight w:val="none"/>
        </w:rPr>
      </w:pPr>
      <w:r>
        <w:rPr>
          <w:rFonts w:eastAsia="仿宋_GB2312"/>
          <w:szCs w:val="21"/>
          <w:highlight w:val="none"/>
        </w:rPr>
        <w:t>西安经济技术开发区支行</w:t>
      </w:r>
      <w:r>
        <w:rPr>
          <w:rFonts w:eastAsia="仿宋_GB2312"/>
          <w:szCs w:val="21"/>
          <w:highlight w:val="none"/>
        </w:rPr>
        <w:tab/>
      </w:r>
      <w:r>
        <w:rPr>
          <w:rFonts w:eastAsia="仿宋_GB2312"/>
          <w:szCs w:val="21"/>
          <w:highlight w:val="none"/>
        </w:rPr>
        <w:t>孟庆龙</w:t>
      </w:r>
      <w:r>
        <w:rPr>
          <w:rFonts w:eastAsia="仿宋_GB2312"/>
          <w:szCs w:val="21"/>
          <w:highlight w:val="none"/>
        </w:rPr>
        <w:tab/>
      </w:r>
      <w:r>
        <w:rPr>
          <w:rFonts w:eastAsia="仿宋_GB2312"/>
          <w:szCs w:val="21"/>
          <w:highlight w:val="none"/>
        </w:rPr>
        <w:t>行长助理</w:t>
      </w:r>
      <w:r>
        <w:rPr>
          <w:rFonts w:eastAsia="仿宋_GB2312"/>
          <w:szCs w:val="21"/>
          <w:highlight w:val="none"/>
        </w:rPr>
        <w:tab/>
      </w:r>
      <w:r>
        <w:rPr>
          <w:rFonts w:eastAsia="仿宋_GB2312"/>
          <w:szCs w:val="21"/>
          <w:highlight w:val="none"/>
        </w:rPr>
        <w:t>029-61828272</w:t>
      </w:r>
      <w:r>
        <w:rPr>
          <w:rFonts w:eastAsia="仿宋_GB2312"/>
          <w:szCs w:val="21"/>
          <w:highlight w:val="none"/>
        </w:rPr>
        <w:tab/>
      </w:r>
      <w:r>
        <w:rPr>
          <w:rFonts w:eastAsia="仿宋_GB2312"/>
          <w:szCs w:val="21"/>
          <w:highlight w:val="none"/>
        </w:rPr>
        <w:t>13991990373</w:t>
      </w:r>
    </w:p>
    <w:p w14:paraId="54EDDFA8">
      <w:pPr>
        <w:ind w:firstLine="420" w:firstLineChars="200"/>
        <w:rPr>
          <w:rFonts w:eastAsia="仿宋_GB2312"/>
          <w:szCs w:val="21"/>
          <w:highlight w:val="none"/>
        </w:rPr>
      </w:pPr>
      <w:r>
        <w:rPr>
          <w:rFonts w:eastAsia="仿宋_GB2312"/>
          <w:szCs w:val="21"/>
          <w:highlight w:val="none"/>
        </w:rPr>
        <w:t>西安长缨路支行</w:t>
      </w:r>
      <w:r>
        <w:rPr>
          <w:rFonts w:eastAsia="仿宋_GB2312"/>
          <w:szCs w:val="21"/>
          <w:highlight w:val="none"/>
        </w:rPr>
        <w:tab/>
      </w:r>
      <w:r>
        <w:rPr>
          <w:rFonts w:eastAsia="仿宋_GB2312"/>
          <w:szCs w:val="21"/>
          <w:highlight w:val="none"/>
        </w:rPr>
        <w:t xml:space="preserve">        范凯</w:t>
      </w:r>
      <w:r>
        <w:rPr>
          <w:rFonts w:eastAsia="仿宋_GB2312"/>
          <w:szCs w:val="21"/>
          <w:highlight w:val="none"/>
        </w:rPr>
        <w:tab/>
      </w:r>
      <w:r>
        <w:rPr>
          <w:rFonts w:eastAsia="仿宋_GB2312"/>
          <w:szCs w:val="21"/>
          <w:highlight w:val="none"/>
        </w:rPr>
        <w:t>副行长</w:t>
      </w:r>
      <w:r>
        <w:rPr>
          <w:rFonts w:eastAsia="仿宋_GB2312"/>
          <w:szCs w:val="21"/>
          <w:highlight w:val="none"/>
        </w:rPr>
        <w:tab/>
      </w:r>
      <w:r>
        <w:rPr>
          <w:rFonts w:eastAsia="仿宋_GB2312"/>
          <w:szCs w:val="21"/>
          <w:highlight w:val="none"/>
        </w:rPr>
        <w:t>029-68717760</w:t>
      </w:r>
      <w:r>
        <w:rPr>
          <w:rFonts w:eastAsia="仿宋_GB2312"/>
          <w:szCs w:val="21"/>
          <w:highlight w:val="none"/>
        </w:rPr>
        <w:tab/>
      </w:r>
      <w:r>
        <w:rPr>
          <w:rFonts w:eastAsia="仿宋_GB2312"/>
          <w:szCs w:val="21"/>
          <w:highlight w:val="none"/>
        </w:rPr>
        <w:t>13991315609</w:t>
      </w:r>
    </w:p>
    <w:p w14:paraId="2EA497F5">
      <w:pPr>
        <w:ind w:firstLine="420" w:firstLineChars="200"/>
        <w:rPr>
          <w:rFonts w:eastAsia="仿宋_GB2312"/>
          <w:szCs w:val="21"/>
          <w:highlight w:val="none"/>
        </w:rPr>
      </w:pPr>
      <w:r>
        <w:rPr>
          <w:rFonts w:eastAsia="仿宋_GB2312"/>
          <w:szCs w:val="21"/>
          <w:highlight w:val="none"/>
        </w:rPr>
        <w:t xml:space="preserve">长安区西长安街支行   </w:t>
      </w:r>
      <w:r>
        <w:rPr>
          <w:rFonts w:eastAsia="仿宋_GB2312"/>
          <w:szCs w:val="21"/>
          <w:highlight w:val="none"/>
        </w:rPr>
        <w:tab/>
      </w:r>
      <w:r>
        <w:rPr>
          <w:rFonts w:eastAsia="仿宋_GB2312"/>
          <w:szCs w:val="21"/>
          <w:highlight w:val="none"/>
        </w:rPr>
        <w:t>陈明</w:t>
      </w:r>
      <w:r>
        <w:rPr>
          <w:rFonts w:eastAsia="仿宋_GB2312"/>
          <w:szCs w:val="21"/>
          <w:highlight w:val="none"/>
        </w:rPr>
        <w:tab/>
      </w:r>
      <w:r>
        <w:rPr>
          <w:rFonts w:eastAsia="仿宋_GB2312"/>
          <w:szCs w:val="21"/>
          <w:highlight w:val="none"/>
        </w:rPr>
        <w:t>行长助理</w:t>
      </w:r>
      <w:r>
        <w:rPr>
          <w:rFonts w:eastAsia="仿宋_GB2312"/>
          <w:szCs w:val="21"/>
          <w:highlight w:val="none"/>
        </w:rPr>
        <w:tab/>
      </w:r>
      <w:r>
        <w:rPr>
          <w:rFonts w:eastAsia="仿宋_GB2312"/>
          <w:szCs w:val="21"/>
          <w:highlight w:val="none"/>
        </w:rPr>
        <w:t>029-85724301</w:t>
      </w:r>
      <w:r>
        <w:rPr>
          <w:rFonts w:eastAsia="仿宋_GB2312"/>
          <w:szCs w:val="21"/>
          <w:highlight w:val="none"/>
        </w:rPr>
        <w:tab/>
      </w:r>
      <w:r>
        <w:rPr>
          <w:rFonts w:eastAsia="仿宋_GB2312"/>
          <w:szCs w:val="21"/>
          <w:highlight w:val="none"/>
        </w:rPr>
        <w:t>18149209660</w:t>
      </w:r>
    </w:p>
    <w:p w14:paraId="0494BC88">
      <w:pPr>
        <w:ind w:firstLine="420" w:firstLineChars="200"/>
        <w:rPr>
          <w:rFonts w:eastAsia="仿宋_GB2312"/>
          <w:szCs w:val="21"/>
          <w:highlight w:val="none"/>
        </w:rPr>
      </w:pPr>
      <w:r>
        <w:rPr>
          <w:rFonts w:eastAsia="仿宋_GB2312"/>
          <w:szCs w:val="21"/>
          <w:highlight w:val="none"/>
        </w:rPr>
        <w:t>泾渭工业园支行</w:t>
      </w:r>
      <w:r>
        <w:rPr>
          <w:rFonts w:eastAsia="仿宋_GB2312"/>
          <w:szCs w:val="21"/>
          <w:highlight w:val="none"/>
        </w:rPr>
        <w:tab/>
      </w:r>
      <w:r>
        <w:rPr>
          <w:rFonts w:eastAsia="仿宋_GB2312"/>
          <w:szCs w:val="21"/>
          <w:highlight w:val="none"/>
        </w:rPr>
        <w:t xml:space="preserve">        杨奕</w:t>
      </w:r>
      <w:r>
        <w:rPr>
          <w:rFonts w:eastAsia="仿宋_GB2312"/>
          <w:szCs w:val="21"/>
          <w:highlight w:val="none"/>
        </w:rPr>
        <w:tab/>
      </w:r>
      <w:r>
        <w:rPr>
          <w:rFonts w:eastAsia="仿宋_GB2312"/>
          <w:szCs w:val="21"/>
          <w:highlight w:val="none"/>
        </w:rPr>
        <w:t>室经理</w:t>
      </w:r>
      <w:r>
        <w:rPr>
          <w:rFonts w:eastAsia="仿宋_GB2312"/>
          <w:szCs w:val="21"/>
          <w:highlight w:val="none"/>
        </w:rPr>
        <w:tab/>
      </w:r>
      <w:r>
        <w:rPr>
          <w:rFonts w:eastAsia="仿宋_GB2312"/>
          <w:szCs w:val="21"/>
          <w:highlight w:val="none"/>
        </w:rPr>
        <w:t>029-68213773</w:t>
      </w:r>
      <w:r>
        <w:rPr>
          <w:rFonts w:eastAsia="仿宋_GB2312"/>
          <w:szCs w:val="21"/>
          <w:highlight w:val="none"/>
        </w:rPr>
        <w:tab/>
      </w:r>
      <w:r>
        <w:rPr>
          <w:rFonts w:eastAsia="仿宋_GB2312"/>
          <w:szCs w:val="21"/>
          <w:highlight w:val="none"/>
        </w:rPr>
        <w:t>15934802021</w:t>
      </w:r>
    </w:p>
    <w:p w14:paraId="22EE5EAD">
      <w:pPr>
        <w:ind w:firstLine="420" w:firstLineChars="200"/>
        <w:rPr>
          <w:rFonts w:eastAsia="仿宋_GB2312"/>
          <w:szCs w:val="21"/>
          <w:highlight w:val="none"/>
        </w:rPr>
      </w:pPr>
      <w:r>
        <w:rPr>
          <w:rFonts w:eastAsia="仿宋_GB2312"/>
          <w:szCs w:val="21"/>
          <w:highlight w:val="none"/>
        </w:rPr>
        <w:t>北客站科技支行</w:t>
      </w:r>
      <w:r>
        <w:rPr>
          <w:rFonts w:eastAsia="仿宋_GB2312"/>
          <w:szCs w:val="21"/>
          <w:highlight w:val="none"/>
        </w:rPr>
        <w:tab/>
      </w:r>
      <w:r>
        <w:rPr>
          <w:rFonts w:eastAsia="仿宋_GB2312"/>
          <w:szCs w:val="21"/>
          <w:highlight w:val="none"/>
        </w:rPr>
        <w:t xml:space="preserve">        周洁</w:t>
      </w:r>
      <w:r>
        <w:rPr>
          <w:rFonts w:eastAsia="仿宋_GB2312"/>
          <w:szCs w:val="21"/>
          <w:highlight w:val="none"/>
        </w:rPr>
        <w:tab/>
      </w:r>
      <w:r>
        <w:rPr>
          <w:rFonts w:eastAsia="仿宋_GB2312"/>
          <w:szCs w:val="21"/>
          <w:highlight w:val="none"/>
        </w:rPr>
        <w:t>副行长</w:t>
      </w:r>
      <w:r>
        <w:rPr>
          <w:rFonts w:eastAsia="仿宋_GB2312"/>
          <w:szCs w:val="21"/>
          <w:highlight w:val="none"/>
        </w:rPr>
        <w:tab/>
      </w:r>
      <w:r>
        <w:rPr>
          <w:rFonts w:eastAsia="仿宋_GB2312"/>
          <w:szCs w:val="21"/>
          <w:highlight w:val="none"/>
        </w:rPr>
        <w:t>029-61828129</w:t>
      </w:r>
      <w:r>
        <w:rPr>
          <w:rFonts w:eastAsia="仿宋_GB2312"/>
          <w:szCs w:val="21"/>
          <w:highlight w:val="none"/>
        </w:rPr>
        <w:tab/>
      </w:r>
      <w:r>
        <w:rPr>
          <w:rFonts w:eastAsia="仿宋_GB2312"/>
          <w:szCs w:val="21"/>
          <w:highlight w:val="none"/>
        </w:rPr>
        <w:t>18629518636</w:t>
      </w:r>
    </w:p>
    <w:p w14:paraId="06FDC423">
      <w:pPr>
        <w:ind w:firstLine="420" w:firstLineChars="200"/>
        <w:rPr>
          <w:rFonts w:eastAsia="仿宋_GB2312"/>
          <w:szCs w:val="21"/>
          <w:highlight w:val="none"/>
        </w:rPr>
      </w:pPr>
      <w:r>
        <w:rPr>
          <w:rFonts w:eastAsia="仿宋_GB2312"/>
          <w:szCs w:val="21"/>
          <w:highlight w:val="none"/>
        </w:rPr>
        <w:t>解放路支行</w:t>
      </w:r>
      <w:r>
        <w:rPr>
          <w:rFonts w:eastAsia="仿宋_GB2312"/>
          <w:szCs w:val="21"/>
          <w:highlight w:val="none"/>
        </w:rPr>
        <w:tab/>
      </w:r>
      <w:r>
        <w:rPr>
          <w:rFonts w:eastAsia="仿宋_GB2312"/>
          <w:szCs w:val="21"/>
          <w:highlight w:val="none"/>
        </w:rPr>
        <w:t xml:space="preserve">            王莉</w:t>
      </w:r>
      <w:r>
        <w:rPr>
          <w:rFonts w:eastAsia="仿宋_GB2312"/>
          <w:szCs w:val="21"/>
          <w:highlight w:val="none"/>
        </w:rPr>
        <w:tab/>
      </w:r>
      <w:r>
        <w:rPr>
          <w:rFonts w:eastAsia="仿宋_GB2312"/>
          <w:szCs w:val="21"/>
          <w:highlight w:val="none"/>
        </w:rPr>
        <w:t>行长助理</w:t>
      </w:r>
      <w:r>
        <w:rPr>
          <w:rFonts w:eastAsia="仿宋_GB2312"/>
          <w:szCs w:val="21"/>
          <w:highlight w:val="none"/>
        </w:rPr>
        <w:tab/>
      </w:r>
      <w:r>
        <w:rPr>
          <w:rFonts w:eastAsia="仿宋_GB2312"/>
          <w:szCs w:val="21"/>
          <w:highlight w:val="none"/>
        </w:rPr>
        <w:t>029-61828185</w:t>
      </w:r>
      <w:r>
        <w:rPr>
          <w:rFonts w:eastAsia="仿宋_GB2312"/>
          <w:szCs w:val="21"/>
          <w:highlight w:val="none"/>
        </w:rPr>
        <w:tab/>
      </w:r>
      <w:r>
        <w:rPr>
          <w:rFonts w:eastAsia="仿宋_GB2312"/>
          <w:szCs w:val="21"/>
          <w:highlight w:val="none"/>
        </w:rPr>
        <w:t>15802966196</w:t>
      </w:r>
    </w:p>
    <w:p w14:paraId="20E3675C">
      <w:pPr>
        <w:ind w:firstLine="420" w:firstLineChars="200"/>
        <w:rPr>
          <w:rFonts w:eastAsia="仿宋_GB2312"/>
          <w:szCs w:val="21"/>
          <w:highlight w:val="none"/>
        </w:rPr>
      </w:pPr>
      <w:r>
        <w:rPr>
          <w:rFonts w:eastAsia="仿宋_GB2312"/>
          <w:szCs w:val="21"/>
          <w:highlight w:val="none"/>
        </w:rPr>
        <w:t>延安分行</w:t>
      </w:r>
      <w:r>
        <w:rPr>
          <w:rFonts w:eastAsia="仿宋_GB2312"/>
          <w:szCs w:val="21"/>
          <w:highlight w:val="none"/>
        </w:rPr>
        <w:tab/>
      </w:r>
      <w:r>
        <w:rPr>
          <w:rFonts w:eastAsia="仿宋_GB2312"/>
          <w:szCs w:val="21"/>
          <w:highlight w:val="none"/>
        </w:rPr>
        <w:t xml:space="preserve">            奥宝森</w:t>
      </w:r>
      <w:r>
        <w:rPr>
          <w:rFonts w:eastAsia="仿宋_GB2312"/>
          <w:szCs w:val="21"/>
          <w:highlight w:val="none"/>
        </w:rPr>
        <w:tab/>
      </w:r>
      <w:r>
        <w:rPr>
          <w:rFonts w:eastAsia="仿宋_GB2312"/>
          <w:szCs w:val="21"/>
          <w:highlight w:val="none"/>
        </w:rPr>
        <w:t>室经理</w:t>
      </w:r>
      <w:r>
        <w:rPr>
          <w:rFonts w:eastAsia="仿宋_GB2312"/>
          <w:szCs w:val="21"/>
          <w:highlight w:val="none"/>
        </w:rPr>
        <w:tab/>
      </w:r>
      <w:r>
        <w:rPr>
          <w:rFonts w:eastAsia="仿宋_GB2312"/>
          <w:szCs w:val="21"/>
          <w:highlight w:val="none"/>
        </w:rPr>
        <w:t>0911-8076038</w:t>
      </w:r>
      <w:r>
        <w:rPr>
          <w:rFonts w:eastAsia="仿宋_GB2312"/>
          <w:szCs w:val="21"/>
          <w:highlight w:val="none"/>
        </w:rPr>
        <w:tab/>
      </w:r>
      <w:r>
        <w:rPr>
          <w:rFonts w:eastAsia="仿宋_GB2312"/>
          <w:szCs w:val="21"/>
          <w:highlight w:val="none"/>
        </w:rPr>
        <w:t>15592925222</w:t>
      </w:r>
    </w:p>
    <w:p w14:paraId="4F7110CA">
      <w:pPr>
        <w:rPr>
          <w:rFonts w:eastAsia="仿宋_GB2312"/>
          <w:b/>
          <w:szCs w:val="21"/>
          <w:highlight w:val="none"/>
        </w:rPr>
      </w:pPr>
      <w:r>
        <w:rPr>
          <w:rFonts w:eastAsia="仿宋_GB2312"/>
          <w:b/>
          <w:szCs w:val="21"/>
          <w:highlight w:val="none"/>
        </w:rPr>
        <w:t>三、工商银行（政采贷）</w:t>
      </w:r>
    </w:p>
    <w:p w14:paraId="7390CF9E">
      <w:pPr>
        <w:ind w:firstLine="420" w:firstLineChars="200"/>
        <w:rPr>
          <w:rFonts w:eastAsia="仿宋_GB2312"/>
          <w:szCs w:val="21"/>
          <w:highlight w:val="none"/>
        </w:rPr>
      </w:pPr>
      <w:r>
        <w:rPr>
          <w:rFonts w:eastAsia="仿宋_GB2312"/>
          <w:szCs w:val="21"/>
          <w:highlight w:val="none"/>
        </w:rPr>
        <w:t>榆林分行</w:t>
      </w:r>
      <w:r>
        <w:rPr>
          <w:rFonts w:eastAsia="仿宋_GB2312"/>
          <w:szCs w:val="21"/>
          <w:highlight w:val="none"/>
        </w:rPr>
        <w:tab/>
      </w:r>
      <w:r>
        <w:rPr>
          <w:rFonts w:eastAsia="仿宋_GB2312"/>
          <w:szCs w:val="21"/>
          <w:highlight w:val="none"/>
        </w:rPr>
        <w:t>张岭</w:t>
      </w:r>
      <w:r>
        <w:rPr>
          <w:rFonts w:eastAsia="仿宋_GB2312"/>
          <w:szCs w:val="21"/>
          <w:highlight w:val="none"/>
        </w:rPr>
        <w:tab/>
      </w:r>
      <w:r>
        <w:rPr>
          <w:rFonts w:eastAsia="仿宋_GB2312"/>
          <w:szCs w:val="21"/>
          <w:highlight w:val="none"/>
        </w:rPr>
        <w:t>客户经理</w:t>
      </w:r>
      <w:r>
        <w:rPr>
          <w:rFonts w:eastAsia="仿宋_GB2312"/>
          <w:szCs w:val="21"/>
          <w:highlight w:val="none"/>
        </w:rPr>
        <w:tab/>
      </w:r>
      <w:r>
        <w:rPr>
          <w:rFonts w:eastAsia="仿宋_GB2312"/>
          <w:szCs w:val="21"/>
          <w:highlight w:val="none"/>
        </w:rPr>
        <w:t>0912-6183827</w:t>
      </w:r>
      <w:r>
        <w:rPr>
          <w:rFonts w:eastAsia="仿宋_GB2312"/>
          <w:szCs w:val="21"/>
          <w:highlight w:val="none"/>
        </w:rPr>
        <w:tab/>
      </w:r>
      <w:r>
        <w:rPr>
          <w:rFonts w:eastAsia="仿宋_GB2312"/>
          <w:szCs w:val="21"/>
          <w:highlight w:val="none"/>
        </w:rPr>
        <w:t>15353386777</w:t>
      </w:r>
    </w:p>
    <w:p w14:paraId="2CCE57AB">
      <w:pPr>
        <w:ind w:firstLine="420" w:firstLineChars="200"/>
        <w:rPr>
          <w:rFonts w:eastAsia="仿宋_GB2312"/>
          <w:szCs w:val="21"/>
          <w:highlight w:val="none"/>
        </w:rPr>
      </w:pPr>
      <w:r>
        <w:rPr>
          <w:rFonts w:eastAsia="仿宋_GB2312"/>
          <w:szCs w:val="21"/>
          <w:highlight w:val="none"/>
        </w:rPr>
        <w:t>宝鸡分行</w:t>
      </w:r>
      <w:r>
        <w:rPr>
          <w:rFonts w:eastAsia="仿宋_GB2312"/>
          <w:szCs w:val="21"/>
          <w:highlight w:val="none"/>
        </w:rPr>
        <w:tab/>
      </w:r>
      <w:r>
        <w:rPr>
          <w:rFonts w:eastAsia="仿宋_GB2312"/>
          <w:szCs w:val="21"/>
          <w:highlight w:val="none"/>
        </w:rPr>
        <w:t>郭进</w:t>
      </w:r>
      <w:r>
        <w:rPr>
          <w:rFonts w:eastAsia="仿宋_GB2312"/>
          <w:szCs w:val="21"/>
          <w:highlight w:val="none"/>
        </w:rPr>
        <w:tab/>
      </w:r>
      <w:r>
        <w:rPr>
          <w:rFonts w:eastAsia="仿宋_GB2312"/>
          <w:szCs w:val="21"/>
          <w:highlight w:val="none"/>
        </w:rPr>
        <w:t>客户经理</w:t>
      </w:r>
      <w:r>
        <w:rPr>
          <w:rFonts w:eastAsia="仿宋_GB2312"/>
          <w:szCs w:val="21"/>
          <w:highlight w:val="none"/>
        </w:rPr>
        <w:tab/>
      </w:r>
      <w:r>
        <w:rPr>
          <w:rFonts w:eastAsia="仿宋_GB2312"/>
          <w:szCs w:val="21"/>
          <w:highlight w:val="none"/>
        </w:rPr>
        <w:t>0917-3238282</w:t>
      </w:r>
      <w:r>
        <w:rPr>
          <w:rFonts w:eastAsia="仿宋_GB2312"/>
          <w:szCs w:val="21"/>
          <w:highlight w:val="none"/>
        </w:rPr>
        <w:tab/>
      </w:r>
      <w:r>
        <w:rPr>
          <w:rFonts w:eastAsia="仿宋_GB2312"/>
          <w:szCs w:val="21"/>
          <w:highlight w:val="none"/>
        </w:rPr>
        <w:t>18991749262</w:t>
      </w:r>
    </w:p>
    <w:p w14:paraId="45BD1556">
      <w:pPr>
        <w:ind w:firstLine="420" w:firstLineChars="200"/>
        <w:rPr>
          <w:rFonts w:eastAsia="仿宋_GB2312"/>
          <w:szCs w:val="21"/>
          <w:highlight w:val="none"/>
        </w:rPr>
      </w:pPr>
      <w:r>
        <w:rPr>
          <w:rFonts w:eastAsia="仿宋_GB2312"/>
          <w:szCs w:val="21"/>
          <w:highlight w:val="none"/>
        </w:rPr>
        <w:t>安康分行</w:t>
      </w:r>
      <w:r>
        <w:rPr>
          <w:rFonts w:eastAsia="仿宋_GB2312"/>
          <w:szCs w:val="21"/>
          <w:highlight w:val="none"/>
        </w:rPr>
        <w:tab/>
      </w:r>
      <w:r>
        <w:rPr>
          <w:rFonts w:eastAsia="仿宋_GB2312"/>
          <w:szCs w:val="21"/>
          <w:highlight w:val="none"/>
        </w:rPr>
        <w:t>郑婕</w:t>
      </w:r>
      <w:r>
        <w:rPr>
          <w:rFonts w:eastAsia="仿宋_GB2312"/>
          <w:szCs w:val="21"/>
          <w:highlight w:val="none"/>
        </w:rPr>
        <w:tab/>
      </w:r>
      <w:r>
        <w:rPr>
          <w:rFonts w:eastAsia="仿宋_GB2312"/>
          <w:szCs w:val="21"/>
          <w:highlight w:val="none"/>
        </w:rPr>
        <w:t>客户经理</w:t>
      </w:r>
      <w:r>
        <w:rPr>
          <w:rFonts w:eastAsia="仿宋_GB2312"/>
          <w:szCs w:val="21"/>
          <w:highlight w:val="none"/>
        </w:rPr>
        <w:tab/>
      </w:r>
      <w:r>
        <w:rPr>
          <w:rFonts w:eastAsia="仿宋_GB2312"/>
          <w:szCs w:val="21"/>
          <w:highlight w:val="none"/>
        </w:rPr>
        <w:t>0915-3236275</w:t>
      </w:r>
      <w:r>
        <w:rPr>
          <w:rFonts w:eastAsia="仿宋_GB2312"/>
          <w:szCs w:val="21"/>
          <w:highlight w:val="none"/>
        </w:rPr>
        <w:tab/>
      </w:r>
      <w:r>
        <w:rPr>
          <w:rFonts w:eastAsia="仿宋_GB2312"/>
          <w:szCs w:val="21"/>
          <w:highlight w:val="none"/>
        </w:rPr>
        <w:t>15667856663</w:t>
      </w:r>
    </w:p>
    <w:p w14:paraId="7998AB29">
      <w:pPr>
        <w:ind w:firstLine="420" w:firstLineChars="200"/>
        <w:rPr>
          <w:rFonts w:eastAsia="仿宋_GB2312"/>
          <w:szCs w:val="21"/>
          <w:highlight w:val="none"/>
        </w:rPr>
      </w:pPr>
      <w:r>
        <w:rPr>
          <w:rFonts w:eastAsia="仿宋_GB2312"/>
          <w:szCs w:val="21"/>
          <w:highlight w:val="none"/>
        </w:rPr>
        <w:t>铜川分行</w:t>
      </w:r>
      <w:r>
        <w:rPr>
          <w:rFonts w:eastAsia="仿宋_GB2312"/>
          <w:szCs w:val="21"/>
          <w:highlight w:val="none"/>
        </w:rPr>
        <w:tab/>
      </w:r>
      <w:r>
        <w:rPr>
          <w:rFonts w:eastAsia="仿宋_GB2312"/>
          <w:szCs w:val="21"/>
          <w:highlight w:val="none"/>
        </w:rPr>
        <w:t>彭东东</w:t>
      </w:r>
      <w:r>
        <w:rPr>
          <w:rFonts w:eastAsia="仿宋_GB2312"/>
          <w:szCs w:val="21"/>
          <w:highlight w:val="none"/>
        </w:rPr>
        <w:tab/>
      </w:r>
      <w:r>
        <w:rPr>
          <w:rFonts w:eastAsia="仿宋_GB2312"/>
          <w:szCs w:val="21"/>
          <w:highlight w:val="none"/>
        </w:rPr>
        <w:t>客户经理</w:t>
      </w:r>
      <w:r>
        <w:rPr>
          <w:rFonts w:eastAsia="仿宋_GB2312"/>
          <w:szCs w:val="21"/>
          <w:highlight w:val="none"/>
        </w:rPr>
        <w:tab/>
      </w:r>
      <w:r>
        <w:rPr>
          <w:rFonts w:eastAsia="仿宋_GB2312"/>
          <w:szCs w:val="21"/>
          <w:highlight w:val="none"/>
        </w:rPr>
        <w:t>0919-2151878</w:t>
      </w:r>
      <w:r>
        <w:rPr>
          <w:rFonts w:eastAsia="仿宋_GB2312"/>
          <w:szCs w:val="21"/>
          <w:highlight w:val="none"/>
        </w:rPr>
        <w:tab/>
      </w:r>
      <w:r>
        <w:rPr>
          <w:rFonts w:eastAsia="仿宋_GB2312"/>
          <w:szCs w:val="21"/>
          <w:highlight w:val="none"/>
        </w:rPr>
        <w:t>17392898832</w:t>
      </w:r>
    </w:p>
    <w:p w14:paraId="0F21FF17">
      <w:pPr>
        <w:ind w:firstLine="420" w:firstLineChars="200"/>
        <w:rPr>
          <w:rFonts w:eastAsia="仿宋_GB2312"/>
          <w:szCs w:val="21"/>
          <w:highlight w:val="none"/>
        </w:rPr>
      </w:pPr>
      <w:r>
        <w:rPr>
          <w:rFonts w:eastAsia="仿宋_GB2312"/>
          <w:szCs w:val="21"/>
          <w:highlight w:val="none"/>
        </w:rPr>
        <w:t>延安分行</w:t>
      </w:r>
      <w:r>
        <w:rPr>
          <w:rFonts w:eastAsia="仿宋_GB2312"/>
          <w:szCs w:val="21"/>
          <w:highlight w:val="none"/>
        </w:rPr>
        <w:tab/>
      </w:r>
      <w:r>
        <w:rPr>
          <w:rFonts w:eastAsia="仿宋_GB2312"/>
          <w:szCs w:val="21"/>
          <w:highlight w:val="none"/>
        </w:rPr>
        <w:t>党莹</w:t>
      </w:r>
      <w:r>
        <w:rPr>
          <w:rFonts w:eastAsia="仿宋_GB2312"/>
          <w:szCs w:val="21"/>
          <w:highlight w:val="none"/>
        </w:rPr>
        <w:tab/>
      </w:r>
      <w:r>
        <w:rPr>
          <w:rFonts w:eastAsia="仿宋_GB2312"/>
          <w:szCs w:val="21"/>
          <w:highlight w:val="none"/>
        </w:rPr>
        <w:t>经理助理</w:t>
      </w:r>
      <w:r>
        <w:rPr>
          <w:rFonts w:eastAsia="仿宋_GB2312"/>
          <w:szCs w:val="21"/>
          <w:highlight w:val="none"/>
        </w:rPr>
        <w:tab/>
      </w:r>
      <w:r>
        <w:rPr>
          <w:rFonts w:eastAsia="仿宋_GB2312"/>
          <w:szCs w:val="21"/>
          <w:highlight w:val="none"/>
        </w:rPr>
        <w:t>0911-2380826</w:t>
      </w:r>
      <w:r>
        <w:rPr>
          <w:rFonts w:eastAsia="仿宋_GB2312"/>
          <w:szCs w:val="21"/>
          <w:highlight w:val="none"/>
        </w:rPr>
        <w:tab/>
      </w:r>
      <w:r>
        <w:rPr>
          <w:rFonts w:eastAsia="仿宋_GB2312"/>
          <w:szCs w:val="21"/>
          <w:highlight w:val="none"/>
        </w:rPr>
        <w:t>15291142933</w:t>
      </w:r>
    </w:p>
    <w:p w14:paraId="236F053F">
      <w:pPr>
        <w:ind w:firstLine="420" w:firstLineChars="200"/>
        <w:rPr>
          <w:rFonts w:eastAsia="仿宋_GB2312"/>
          <w:szCs w:val="21"/>
          <w:highlight w:val="none"/>
        </w:rPr>
      </w:pPr>
      <w:r>
        <w:rPr>
          <w:rFonts w:eastAsia="仿宋_GB2312"/>
          <w:szCs w:val="21"/>
          <w:highlight w:val="none"/>
        </w:rPr>
        <w:t>汉中分行</w:t>
      </w:r>
      <w:r>
        <w:rPr>
          <w:rFonts w:eastAsia="仿宋_GB2312"/>
          <w:szCs w:val="21"/>
          <w:highlight w:val="none"/>
        </w:rPr>
        <w:tab/>
      </w:r>
      <w:r>
        <w:rPr>
          <w:rFonts w:eastAsia="仿宋_GB2312"/>
          <w:szCs w:val="21"/>
          <w:highlight w:val="none"/>
        </w:rPr>
        <w:t>杨薇薇</w:t>
      </w:r>
      <w:r>
        <w:rPr>
          <w:rFonts w:eastAsia="仿宋_GB2312"/>
          <w:szCs w:val="21"/>
          <w:highlight w:val="none"/>
        </w:rPr>
        <w:tab/>
      </w:r>
      <w:r>
        <w:rPr>
          <w:rFonts w:eastAsia="仿宋_GB2312"/>
          <w:szCs w:val="21"/>
          <w:highlight w:val="none"/>
        </w:rPr>
        <w:t>部门副经理</w:t>
      </w:r>
      <w:r>
        <w:rPr>
          <w:rFonts w:eastAsia="仿宋_GB2312"/>
          <w:szCs w:val="21"/>
          <w:highlight w:val="none"/>
        </w:rPr>
        <w:tab/>
      </w:r>
      <w:r>
        <w:rPr>
          <w:rFonts w:eastAsia="仿宋_GB2312"/>
          <w:szCs w:val="21"/>
          <w:highlight w:val="none"/>
        </w:rPr>
        <w:t>0916-2606773</w:t>
      </w:r>
      <w:r>
        <w:rPr>
          <w:rFonts w:eastAsia="仿宋_GB2312"/>
          <w:szCs w:val="21"/>
          <w:highlight w:val="none"/>
        </w:rPr>
        <w:tab/>
      </w:r>
      <w:r>
        <w:rPr>
          <w:rFonts w:eastAsia="仿宋_GB2312"/>
          <w:szCs w:val="21"/>
          <w:highlight w:val="none"/>
        </w:rPr>
        <w:t>18591607453</w:t>
      </w:r>
    </w:p>
    <w:p w14:paraId="3CC5CA23">
      <w:pPr>
        <w:ind w:firstLine="420" w:firstLineChars="200"/>
        <w:rPr>
          <w:rFonts w:eastAsia="仿宋_GB2312"/>
          <w:szCs w:val="21"/>
          <w:highlight w:val="none"/>
        </w:rPr>
      </w:pPr>
      <w:r>
        <w:rPr>
          <w:rFonts w:eastAsia="仿宋_GB2312"/>
          <w:szCs w:val="21"/>
          <w:highlight w:val="none"/>
        </w:rPr>
        <w:t>渭南分行</w:t>
      </w:r>
      <w:r>
        <w:rPr>
          <w:rFonts w:eastAsia="仿宋_GB2312"/>
          <w:szCs w:val="21"/>
          <w:highlight w:val="none"/>
        </w:rPr>
        <w:tab/>
      </w:r>
      <w:r>
        <w:rPr>
          <w:rFonts w:eastAsia="仿宋_GB2312"/>
          <w:szCs w:val="21"/>
          <w:highlight w:val="none"/>
        </w:rPr>
        <w:t>张欢</w:t>
      </w:r>
      <w:r>
        <w:rPr>
          <w:rFonts w:eastAsia="仿宋_GB2312"/>
          <w:szCs w:val="21"/>
          <w:highlight w:val="none"/>
        </w:rPr>
        <w:tab/>
      </w:r>
      <w:r>
        <w:rPr>
          <w:rFonts w:eastAsia="仿宋_GB2312"/>
          <w:szCs w:val="21"/>
          <w:highlight w:val="none"/>
        </w:rPr>
        <w:t>客户经理</w:t>
      </w:r>
      <w:r>
        <w:rPr>
          <w:rFonts w:eastAsia="仿宋_GB2312"/>
          <w:szCs w:val="21"/>
          <w:highlight w:val="none"/>
        </w:rPr>
        <w:tab/>
      </w:r>
      <w:r>
        <w:rPr>
          <w:rFonts w:eastAsia="仿宋_GB2312"/>
          <w:szCs w:val="21"/>
          <w:highlight w:val="none"/>
        </w:rPr>
        <w:t>09132095066</w:t>
      </w:r>
      <w:r>
        <w:rPr>
          <w:rFonts w:eastAsia="仿宋_GB2312"/>
          <w:szCs w:val="21"/>
          <w:highlight w:val="none"/>
        </w:rPr>
        <w:tab/>
      </w:r>
      <w:r>
        <w:rPr>
          <w:rFonts w:eastAsia="仿宋_GB2312"/>
          <w:szCs w:val="21"/>
          <w:highlight w:val="none"/>
        </w:rPr>
        <w:t>15229730006</w:t>
      </w:r>
    </w:p>
    <w:p w14:paraId="77636BF6">
      <w:pPr>
        <w:ind w:firstLine="420" w:firstLineChars="200"/>
        <w:rPr>
          <w:rFonts w:eastAsia="仿宋_GB2312"/>
          <w:szCs w:val="21"/>
          <w:highlight w:val="none"/>
        </w:rPr>
      </w:pPr>
      <w:r>
        <w:rPr>
          <w:rFonts w:eastAsia="仿宋_GB2312"/>
          <w:szCs w:val="21"/>
          <w:highlight w:val="none"/>
        </w:rPr>
        <w:t>咸阳分行</w:t>
      </w:r>
      <w:r>
        <w:rPr>
          <w:rFonts w:eastAsia="仿宋_GB2312"/>
          <w:szCs w:val="21"/>
          <w:highlight w:val="none"/>
        </w:rPr>
        <w:tab/>
      </w:r>
      <w:r>
        <w:rPr>
          <w:rFonts w:eastAsia="仿宋_GB2312"/>
          <w:szCs w:val="21"/>
          <w:highlight w:val="none"/>
        </w:rPr>
        <w:t>袁霖</w:t>
      </w:r>
      <w:r>
        <w:rPr>
          <w:rFonts w:eastAsia="仿宋_GB2312"/>
          <w:szCs w:val="21"/>
          <w:highlight w:val="none"/>
        </w:rPr>
        <w:tab/>
      </w:r>
      <w:r>
        <w:rPr>
          <w:rFonts w:eastAsia="仿宋_GB2312"/>
          <w:szCs w:val="21"/>
          <w:highlight w:val="none"/>
        </w:rPr>
        <w:t>客户经理</w:t>
      </w:r>
      <w:r>
        <w:rPr>
          <w:rFonts w:eastAsia="仿宋_GB2312"/>
          <w:szCs w:val="21"/>
          <w:highlight w:val="none"/>
        </w:rPr>
        <w:tab/>
      </w:r>
      <w:r>
        <w:rPr>
          <w:rFonts w:eastAsia="仿宋_GB2312"/>
          <w:szCs w:val="21"/>
          <w:highlight w:val="none"/>
        </w:rPr>
        <w:t>029-33259370</w:t>
      </w:r>
      <w:r>
        <w:rPr>
          <w:rFonts w:eastAsia="仿宋_GB2312"/>
          <w:szCs w:val="21"/>
          <w:highlight w:val="none"/>
        </w:rPr>
        <w:tab/>
      </w:r>
      <w:r>
        <w:rPr>
          <w:rFonts w:eastAsia="仿宋_GB2312"/>
          <w:szCs w:val="21"/>
          <w:highlight w:val="none"/>
        </w:rPr>
        <w:t>18591006506</w:t>
      </w:r>
    </w:p>
    <w:p w14:paraId="1382678B">
      <w:pPr>
        <w:ind w:firstLine="420" w:firstLineChars="200"/>
        <w:rPr>
          <w:rFonts w:eastAsia="仿宋_GB2312"/>
          <w:szCs w:val="21"/>
          <w:highlight w:val="none"/>
        </w:rPr>
      </w:pPr>
      <w:r>
        <w:rPr>
          <w:rFonts w:eastAsia="仿宋_GB2312"/>
          <w:szCs w:val="21"/>
          <w:highlight w:val="none"/>
        </w:rPr>
        <w:t>商洛分行</w:t>
      </w:r>
      <w:r>
        <w:rPr>
          <w:rFonts w:eastAsia="仿宋_GB2312"/>
          <w:szCs w:val="21"/>
          <w:highlight w:val="none"/>
        </w:rPr>
        <w:tab/>
      </w:r>
      <w:r>
        <w:rPr>
          <w:rFonts w:eastAsia="仿宋_GB2312"/>
          <w:szCs w:val="21"/>
          <w:highlight w:val="none"/>
        </w:rPr>
        <w:t>张铮</w:t>
      </w:r>
      <w:r>
        <w:rPr>
          <w:rFonts w:eastAsia="仿宋_GB2312"/>
          <w:szCs w:val="21"/>
          <w:highlight w:val="none"/>
        </w:rPr>
        <w:tab/>
      </w:r>
      <w:r>
        <w:rPr>
          <w:rFonts w:eastAsia="仿宋_GB2312"/>
          <w:szCs w:val="21"/>
          <w:highlight w:val="none"/>
        </w:rPr>
        <w:t>经理助理</w:t>
      </w:r>
      <w:r>
        <w:rPr>
          <w:rFonts w:eastAsia="仿宋_GB2312"/>
          <w:szCs w:val="21"/>
          <w:highlight w:val="none"/>
        </w:rPr>
        <w:tab/>
      </w:r>
      <w:r>
        <w:rPr>
          <w:rFonts w:eastAsia="仿宋_GB2312"/>
          <w:szCs w:val="21"/>
          <w:highlight w:val="none"/>
        </w:rPr>
        <w:t>0914-2310908</w:t>
      </w:r>
      <w:r>
        <w:rPr>
          <w:rFonts w:eastAsia="仿宋_GB2312"/>
          <w:szCs w:val="21"/>
          <w:highlight w:val="none"/>
        </w:rPr>
        <w:tab/>
      </w:r>
      <w:r>
        <w:rPr>
          <w:rFonts w:eastAsia="仿宋_GB2312"/>
          <w:szCs w:val="21"/>
          <w:highlight w:val="none"/>
        </w:rPr>
        <w:t>18691410305</w:t>
      </w:r>
    </w:p>
    <w:p w14:paraId="23AD0609">
      <w:pPr>
        <w:ind w:firstLine="420" w:firstLineChars="200"/>
        <w:rPr>
          <w:rFonts w:eastAsia="仿宋_GB2312"/>
          <w:szCs w:val="21"/>
          <w:highlight w:val="none"/>
        </w:rPr>
      </w:pPr>
      <w:r>
        <w:rPr>
          <w:rFonts w:eastAsia="仿宋_GB2312"/>
          <w:szCs w:val="21"/>
          <w:highlight w:val="none"/>
        </w:rPr>
        <w:t>商洛分行</w:t>
      </w:r>
      <w:r>
        <w:rPr>
          <w:rFonts w:eastAsia="仿宋_GB2312"/>
          <w:szCs w:val="21"/>
          <w:highlight w:val="none"/>
        </w:rPr>
        <w:tab/>
      </w:r>
      <w:r>
        <w:rPr>
          <w:rFonts w:eastAsia="仿宋_GB2312"/>
          <w:szCs w:val="21"/>
          <w:highlight w:val="none"/>
        </w:rPr>
        <w:t>余勇博</w:t>
      </w:r>
      <w:r>
        <w:rPr>
          <w:rFonts w:eastAsia="仿宋_GB2312"/>
          <w:szCs w:val="21"/>
          <w:highlight w:val="none"/>
        </w:rPr>
        <w:tab/>
      </w:r>
      <w:r>
        <w:rPr>
          <w:rFonts w:eastAsia="仿宋_GB2312"/>
          <w:szCs w:val="21"/>
          <w:highlight w:val="none"/>
        </w:rPr>
        <w:t>客户经理</w:t>
      </w:r>
      <w:r>
        <w:rPr>
          <w:rFonts w:eastAsia="仿宋_GB2312"/>
          <w:szCs w:val="21"/>
          <w:highlight w:val="none"/>
        </w:rPr>
        <w:tab/>
      </w:r>
      <w:r>
        <w:rPr>
          <w:rFonts w:eastAsia="仿宋_GB2312"/>
          <w:szCs w:val="21"/>
          <w:highlight w:val="none"/>
        </w:rPr>
        <w:t>0914-2310908</w:t>
      </w:r>
      <w:r>
        <w:rPr>
          <w:rFonts w:eastAsia="仿宋_GB2312"/>
          <w:szCs w:val="21"/>
          <w:highlight w:val="none"/>
        </w:rPr>
        <w:tab/>
      </w:r>
      <w:r>
        <w:rPr>
          <w:rFonts w:eastAsia="仿宋_GB2312"/>
          <w:szCs w:val="21"/>
          <w:highlight w:val="none"/>
        </w:rPr>
        <w:t>18092802280</w:t>
      </w:r>
    </w:p>
    <w:p w14:paraId="167AE1AE">
      <w:pPr>
        <w:ind w:firstLine="420" w:firstLineChars="200"/>
        <w:rPr>
          <w:rFonts w:eastAsia="仿宋_GB2312"/>
          <w:szCs w:val="21"/>
          <w:highlight w:val="none"/>
        </w:rPr>
      </w:pPr>
      <w:r>
        <w:rPr>
          <w:rFonts w:eastAsia="仿宋_GB2312"/>
          <w:szCs w:val="21"/>
          <w:highlight w:val="none"/>
        </w:rPr>
        <w:t>西安分行</w:t>
      </w:r>
      <w:r>
        <w:rPr>
          <w:rFonts w:eastAsia="仿宋_GB2312"/>
          <w:szCs w:val="21"/>
          <w:highlight w:val="none"/>
        </w:rPr>
        <w:tab/>
      </w:r>
      <w:r>
        <w:rPr>
          <w:rFonts w:eastAsia="仿宋_GB2312"/>
          <w:szCs w:val="21"/>
          <w:highlight w:val="none"/>
        </w:rPr>
        <w:t>巩越</w:t>
      </w:r>
      <w:r>
        <w:rPr>
          <w:rFonts w:eastAsia="仿宋_GB2312"/>
          <w:szCs w:val="21"/>
          <w:highlight w:val="none"/>
        </w:rPr>
        <w:tab/>
      </w:r>
      <w:r>
        <w:rPr>
          <w:rFonts w:eastAsia="仿宋_GB2312"/>
          <w:szCs w:val="21"/>
          <w:highlight w:val="none"/>
        </w:rPr>
        <w:t>客户经理</w:t>
      </w:r>
      <w:r>
        <w:rPr>
          <w:rFonts w:eastAsia="仿宋_GB2312"/>
          <w:szCs w:val="21"/>
          <w:highlight w:val="none"/>
        </w:rPr>
        <w:tab/>
      </w:r>
      <w:r>
        <w:rPr>
          <w:rFonts w:eastAsia="仿宋_GB2312"/>
          <w:szCs w:val="21"/>
          <w:highlight w:val="none"/>
        </w:rPr>
        <w:t>029-87609419</w:t>
      </w:r>
      <w:r>
        <w:rPr>
          <w:rFonts w:eastAsia="仿宋_GB2312"/>
          <w:szCs w:val="21"/>
          <w:highlight w:val="none"/>
        </w:rPr>
        <w:tab/>
      </w:r>
      <w:r>
        <w:rPr>
          <w:rFonts w:eastAsia="仿宋_GB2312"/>
          <w:szCs w:val="21"/>
          <w:highlight w:val="none"/>
        </w:rPr>
        <w:t>18629450680</w:t>
      </w:r>
    </w:p>
    <w:p w14:paraId="658EB9B5">
      <w:pPr>
        <w:rPr>
          <w:rFonts w:eastAsia="仿宋_GB2312"/>
          <w:b/>
          <w:szCs w:val="21"/>
          <w:highlight w:val="none"/>
        </w:rPr>
      </w:pPr>
      <w:r>
        <w:rPr>
          <w:rFonts w:eastAsia="仿宋_GB2312"/>
          <w:b/>
          <w:szCs w:val="21"/>
          <w:highlight w:val="none"/>
        </w:rPr>
        <w:t>四、中信银行 （政采e贷）</w:t>
      </w:r>
    </w:p>
    <w:p w14:paraId="5AF4E3D9">
      <w:pPr>
        <w:ind w:firstLine="420" w:firstLineChars="200"/>
        <w:rPr>
          <w:rFonts w:eastAsia="仿宋_GB2312"/>
          <w:szCs w:val="21"/>
          <w:highlight w:val="none"/>
        </w:rPr>
      </w:pPr>
      <w:r>
        <w:rPr>
          <w:rFonts w:eastAsia="仿宋_GB2312"/>
          <w:szCs w:val="21"/>
          <w:highlight w:val="none"/>
        </w:rPr>
        <w:t>西安分行</w:t>
      </w:r>
      <w:r>
        <w:rPr>
          <w:rFonts w:eastAsia="仿宋_GB2312"/>
          <w:szCs w:val="21"/>
          <w:highlight w:val="none"/>
        </w:rPr>
        <w:tab/>
      </w:r>
      <w:r>
        <w:rPr>
          <w:rFonts w:eastAsia="仿宋_GB2312"/>
          <w:szCs w:val="21"/>
          <w:highlight w:val="none"/>
        </w:rPr>
        <w:t>西安市朱雀大街中段1号</w:t>
      </w:r>
      <w:r>
        <w:rPr>
          <w:rFonts w:eastAsia="仿宋_GB2312"/>
          <w:szCs w:val="21"/>
          <w:highlight w:val="none"/>
        </w:rPr>
        <w:tab/>
      </w:r>
      <w:r>
        <w:rPr>
          <w:rFonts w:eastAsia="仿宋_GB2312"/>
          <w:szCs w:val="21"/>
          <w:highlight w:val="none"/>
        </w:rPr>
        <w:t>曹晓聪</w:t>
      </w:r>
      <w:r>
        <w:rPr>
          <w:rFonts w:eastAsia="仿宋_GB2312"/>
          <w:szCs w:val="21"/>
          <w:highlight w:val="none"/>
        </w:rPr>
        <w:tab/>
      </w:r>
      <w:r>
        <w:rPr>
          <w:rFonts w:eastAsia="仿宋_GB2312"/>
          <w:szCs w:val="21"/>
          <w:highlight w:val="none"/>
        </w:rPr>
        <w:t>13759957407</w:t>
      </w:r>
    </w:p>
    <w:p w14:paraId="142B96E3">
      <w:pPr>
        <w:ind w:firstLine="420" w:firstLineChars="200"/>
        <w:rPr>
          <w:rFonts w:eastAsia="仿宋_GB2312"/>
          <w:szCs w:val="21"/>
          <w:highlight w:val="none"/>
        </w:rPr>
      </w:pPr>
      <w:r>
        <w:rPr>
          <w:rFonts w:eastAsia="仿宋_GB2312"/>
          <w:szCs w:val="21"/>
          <w:highlight w:val="none"/>
        </w:rPr>
        <w:t>咸阳分行</w:t>
      </w:r>
      <w:r>
        <w:rPr>
          <w:rFonts w:eastAsia="仿宋_GB2312"/>
          <w:szCs w:val="21"/>
          <w:highlight w:val="none"/>
        </w:rPr>
        <w:tab/>
      </w:r>
      <w:r>
        <w:rPr>
          <w:rFonts w:eastAsia="仿宋_GB2312"/>
          <w:szCs w:val="21"/>
          <w:highlight w:val="none"/>
        </w:rPr>
        <w:t>秦皇中路绿苑大厦</w:t>
      </w:r>
      <w:r>
        <w:rPr>
          <w:rFonts w:eastAsia="仿宋_GB2312"/>
          <w:szCs w:val="21"/>
          <w:highlight w:val="none"/>
        </w:rPr>
        <w:tab/>
      </w:r>
      <w:r>
        <w:rPr>
          <w:rFonts w:eastAsia="仿宋_GB2312"/>
          <w:szCs w:val="21"/>
          <w:highlight w:val="none"/>
        </w:rPr>
        <w:t>杭群</w:t>
      </w:r>
      <w:r>
        <w:rPr>
          <w:rFonts w:eastAsia="仿宋_GB2312"/>
          <w:szCs w:val="21"/>
          <w:highlight w:val="none"/>
        </w:rPr>
        <w:tab/>
      </w:r>
      <w:r>
        <w:rPr>
          <w:rFonts w:eastAsia="仿宋_GB2312"/>
          <w:szCs w:val="21"/>
          <w:highlight w:val="none"/>
        </w:rPr>
        <w:t>13992016859</w:t>
      </w:r>
    </w:p>
    <w:p w14:paraId="6B377DCE">
      <w:pPr>
        <w:ind w:firstLine="420" w:firstLineChars="200"/>
        <w:rPr>
          <w:rFonts w:eastAsia="仿宋_GB2312"/>
          <w:szCs w:val="21"/>
          <w:highlight w:val="none"/>
        </w:rPr>
      </w:pPr>
      <w:r>
        <w:rPr>
          <w:rFonts w:eastAsia="仿宋_GB2312"/>
          <w:szCs w:val="21"/>
          <w:highlight w:val="none"/>
        </w:rPr>
        <w:t>宝鸡分行</w:t>
      </w:r>
      <w:r>
        <w:rPr>
          <w:rFonts w:eastAsia="仿宋_GB2312"/>
          <w:szCs w:val="21"/>
          <w:highlight w:val="none"/>
        </w:rPr>
        <w:tab/>
      </w:r>
      <w:r>
        <w:rPr>
          <w:rFonts w:eastAsia="仿宋_GB2312"/>
          <w:szCs w:val="21"/>
          <w:highlight w:val="none"/>
        </w:rPr>
        <w:t>宝鸡市高新大道50号财富大厦B座</w:t>
      </w:r>
      <w:r>
        <w:rPr>
          <w:rFonts w:eastAsia="仿宋_GB2312"/>
          <w:szCs w:val="21"/>
          <w:highlight w:val="none"/>
        </w:rPr>
        <w:tab/>
      </w:r>
      <w:r>
        <w:rPr>
          <w:rFonts w:eastAsia="仿宋_GB2312"/>
          <w:szCs w:val="21"/>
          <w:highlight w:val="none"/>
        </w:rPr>
        <w:t>王尧</w:t>
      </w:r>
      <w:r>
        <w:rPr>
          <w:rFonts w:eastAsia="仿宋_GB2312"/>
          <w:szCs w:val="21"/>
          <w:highlight w:val="none"/>
        </w:rPr>
        <w:tab/>
      </w:r>
      <w:r>
        <w:rPr>
          <w:rFonts w:eastAsia="仿宋_GB2312"/>
          <w:szCs w:val="21"/>
          <w:highlight w:val="none"/>
        </w:rPr>
        <w:t>13636762976</w:t>
      </w:r>
    </w:p>
    <w:p w14:paraId="156B490A">
      <w:pPr>
        <w:ind w:firstLine="420" w:firstLineChars="200"/>
        <w:rPr>
          <w:rFonts w:eastAsia="仿宋_GB2312"/>
          <w:szCs w:val="21"/>
          <w:highlight w:val="none"/>
        </w:rPr>
      </w:pPr>
      <w:r>
        <w:rPr>
          <w:rFonts w:eastAsia="仿宋_GB2312"/>
          <w:szCs w:val="21"/>
          <w:highlight w:val="none"/>
        </w:rPr>
        <w:t>渭南分行</w:t>
      </w:r>
      <w:r>
        <w:rPr>
          <w:rFonts w:eastAsia="仿宋_GB2312"/>
          <w:szCs w:val="21"/>
          <w:highlight w:val="none"/>
        </w:rPr>
        <w:tab/>
      </w:r>
      <w:r>
        <w:rPr>
          <w:rFonts w:eastAsia="仿宋_GB2312"/>
          <w:szCs w:val="21"/>
          <w:highlight w:val="none"/>
        </w:rPr>
        <w:t>渭南市朝阳大街中段信达广场世纪明珠大厦</w:t>
      </w:r>
      <w:r>
        <w:rPr>
          <w:rFonts w:eastAsia="仿宋_GB2312"/>
          <w:szCs w:val="21"/>
          <w:highlight w:val="none"/>
        </w:rPr>
        <w:tab/>
      </w:r>
      <w:r>
        <w:rPr>
          <w:rFonts w:eastAsia="仿宋_GB2312"/>
          <w:szCs w:val="21"/>
          <w:highlight w:val="none"/>
        </w:rPr>
        <w:t>杨阳</w:t>
      </w:r>
      <w:r>
        <w:rPr>
          <w:rFonts w:eastAsia="仿宋_GB2312"/>
          <w:szCs w:val="21"/>
          <w:highlight w:val="none"/>
        </w:rPr>
        <w:tab/>
      </w:r>
      <w:r>
        <w:rPr>
          <w:rFonts w:eastAsia="仿宋_GB2312"/>
          <w:szCs w:val="21"/>
          <w:highlight w:val="none"/>
        </w:rPr>
        <w:t>18191815559</w:t>
      </w:r>
    </w:p>
    <w:p w14:paraId="522F2291">
      <w:pPr>
        <w:ind w:firstLine="420" w:firstLineChars="200"/>
        <w:rPr>
          <w:rFonts w:eastAsia="仿宋_GB2312"/>
          <w:szCs w:val="21"/>
          <w:highlight w:val="none"/>
        </w:rPr>
      </w:pPr>
      <w:r>
        <w:rPr>
          <w:rFonts w:eastAsia="仿宋_GB2312"/>
          <w:szCs w:val="21"/>
          <w:highlight w:val="none"/>
        </w:rPr>
        <w:t>榆林分行</w:t>
      </w:r>
      <w:r>
        <w:rPr>
          <w:rFonts w:eastAsia="仿宋_GB2312"/>
          <w:szCs w:val="21"/>
          <w:highlight w:val="none"/>
        </w:rPr>
        <w:tab/>
      </w:r>
      <w:r>
        <w:rPr>
          <w:rFonts w:eastAsia="仿宋_GB2312"/>
          <w:szCs w:val="21"/>
          <w:highlight w:val="none"/>
        </w:rPr>
        <w:t>榆林市高新区长兴路248号中信银行</w:t>
      </w:r>
      <w:r>
        <w:rPr>
          <w:rFonts w:eastAsia="仿宋_GB2312"/>
          <w:szCs w:val="21"/>
          <w:highlight w:val="none"/>
        </w:rPr>
        <w:tab/>
      </w:r>
      <w:r>
        <w:rPr>
          <w:rFonts w:eastAsia="仿宋_GB2312"/>
          <w:szCs w:val="21"/>
          <w:highlight w:val="none"/>
        </w:rPr>
        <w:t>刘洪巍</w:t>
      </w:r>
      <w:r>
        <w:rPr>
          <w:rFonts w:eastAsia="仿宋_GB2312"/>
          <w:szCs w:val="21"/>
          <w:highlight w:val="none"/>
        </w:rPr>
        <w:tab/>
      </w:r>
      <w:r>
        <w:rPr>
          <w:rFonts w:eastAsia="仿宋_GB2312"/>
          <w:szCs w:val="21"/>
          <w:highlight w:val="none"/>
        </w:rPr>
        <w:t>13636885556</w:t>
      </w:r>
    </w:p>
    <w:p w14:paraId="7103D7C1">
      <w:pPr>
        <w:ind w:left="1680" w:leftChars="200" w:hanging="1260" w:hangingChars="600"/>
        <w:rPr>
          <w:rFonts w:eastAsia="仿宋_GB2312"/>
          <w:szCs w:val="21"/>
          <w:highlight w:val="none"/>
        </w:rPr>
      </w:pPr>
      <w:r>
        <w:rPr>
          <w:rFonts w:eastAsia="仿宋_GB2312"/>
          <w:szCs w:val="21"/>
          <w:highlight w:val="none"/>
        </w:rPr>
        <w:t>汉中分行</w:t>
      </w:r>
      <w:r>
        <w:rPr>
          <w:rFonts w:eastAsia="仿宋_GB2312"/>
          <w:szCs w:val="21"/>
          <w:highlight w:val="none"/>
        </w:rPr>
        <w:tab/>
      </w:r>
      <w:r>
        <w:rPr>
          <w:rFonts w:eastAsia="仿宋_GB2312"/>
          <w:szCs w:val="21"/>
          <w:highlight w:val="none"/>
        </w:rPr>
        <w:t>汉中市汉台区西二环路与劳动西路东南汉中滨江•公园壹号（产业孵化区）3B号楼</w:t>
      </w:r>
      <w:r>
        <w:rPr>
          <w:rFonts w:eastAsia="仿宋_GB2312"/>
          <w:szCs w:val="21"/>
          <w:highlight w:val="none"/>
        </w:rPr>
        <w:tab/>
      </w:r>
      <w:r>
        <w:rPr>
          <w:rFonts w:eastAsia="仿宋_GB2312"/>
          <w:szCs w:val="21"/>
          <w:highlight w:val="none"/>
        </w:rPr>
        <w:t>陈真</w:t>
      </w:r>
      <w:r>
        <w:rPr>
          <w:rFonts w:eastAsia="仿宋_GB2312"/>
          <w:szCs w:val="21"/>
          <w:highlight w:val="none"/>
        </w:rPr>
        <w:tab/>
      </w:r>
      <w:r>
        <w:rPr>
          <w:rFonts w:eastAsia="仿宋_GB2312"/>
          <w:szCs w:val="21"/>
          <w:highlight w:val="none"/>
        </w:rPr>
        <w:t>18509165068</w:t>
      </w:r>
    </w:p>
    <w:p w14:paraId="09EF0273">
      <w:pPr>
        <w:rPr>
          <w:rFonts w:eastAsia="仿宋_GB2312"/>
          <w:b/>
          <w:szCs w:val="21"/>
          <w:highlight w:val="none"/>
        </w:rPr>
      </w:pPr>
      <w:r>
        <w:rPr>
          <w:rFonts w:eastAsia="仿宋_GB2312"/>
          <w:b/>
          <w:szCs w:val="21"/>
          <w:highlight w:val="none"/>
        </w:rPr>
        <w:t>五、中国光大银行（阳光政采贷）</w:t>
      </w:r>
      <w:r>
        <w:rPr>
          <w:rFonts w:eastAsia="仿宋_GB2312"/>
          <w:b/>
          <w:szCs w:val="21"/>
          <w:highlight w:val="none"/>
        </w:rPr>
        <w:tab/>
      </w:r>
      <w:r>
        <w:rPr>
          <w:rFonts w:eastAsia="仿宋_GB2312"/>
          <w:b/>
          <w:szCs w:val="21"/>
          <w:highlight w:val="none"/>
        </w:rPr>
        <w:tab/>
      </w:r>
      <w:r>
        <w:rPr>
          <w:rFonts w:eastAsia="仿宋_GB2312"/>
          <w:b/>
          <w:szCs w:val="21"/>
          <w:highlight w:val="none"/>
        </w:rPr>
        <w:tab/>
      </w:r>
      <w:r>
        <w:rPr>
          <w:rFonts w:eastAsia="仿宋_GB2312"/>
          <w:b/>
          <w:szCs w:val="21"/>
          <w:highlight w:val="none"/>
        </w:rPr>
        <w:tab/>
      </w:r>
    </w:p>
    <w:p w14:paraId="46B5F569">
      <w:pPr>
        <w:ind w:firstLine="420" w:firstLineChars="200"/>
        <w:rPr>
          <w:rFonts w:eastAsia="仿宋_GB2312"/>
          <w:szCs w:val="21"/>
          <w:highlight w:val="none"/>
        </w:rPr>
      </w:pPr>
      <w:r>
        <w:rPr>
          <w:rFonts w:eastAsia="仿宋_GB2312"/>
          <w:szCs w:val="21"/>
          <w:highlight w:val="none"/>
        </w:rPr>
        <w:t>宝鸡分行</w:t>
      </w:r>
      <w:r>
        <w:rPr>
          <w:rFonts w:eastAsia="仿宋_GB2312"/>
          <w:szCs w:val="21"/>
          <w:highlight w:val="none"/>
        </w:rPr>
        <w:tab/>
      </w:r>
      <w:r>
        <w:rPr>
          <w:rFonts w:eastAsia="仿宋_GB2312"/>
          <w:szCs w:val="21"/>
          <w:highlight w:val="none"/>
        </w:rPr>
        <w:t>杨 欢</w:t>
      </w:r>
      <w:r>
        <w:rPr>
          <w:rFonts w:eastAsia="仿宋_GB2312"/>
          <w:szCs w:val="21"/>
          <w:highlight w:val="none"/>
        </w:rPr>
        <w:tab/>
      </w:r>
      <w:r>
        <w:rPr>
          <w:rFonts w:eastAsia="仿宋_GB2312"/>
          <w:szCs w:val="21"/>
          <w:highlight w:val="none"/>
        </w:rPr>
        <w:t>0917-3451055</w:t>
      </w:r>
      <w:r>
        <w:rPr>
          <w:rFonts w:eastAsia="仿宋_GB2312"/>
          <w:szCs w:val="21"/>
          <w:highlight w:val="none"/>
        </w:rPr>
        <w:tab/>
      </w:r>
      <w:r>
        <w:rPr>
          <w:rFonts w:eastAsia="仿宋_GB2312"/>
          <w:szCs w:val="21"/>
          <w:highlight w:val="none"/>
        </w:rPr>
        <w:t>18329677163</w:t>
      </w:r>
    </w:p>
    <w:p w14:paraId="2FDAC06E">
      <w:pPr>
        <w:ind w:firstLine="420" w:firstLineChars="200"/>
        <w:rPr>
          <w:rFonts w:eastAsia="仿宋_GB2312"/>
          <w:szCs w:val="21"/>
          <w:highlight w:val="none"/>
        </w:rPr>
      </w:pPr>
      <w:r>
        <w:rPr>
          <w:rFonts w:eastAsia="仿宋_GB2312"/>
          <w:szCs w:val="21"/>
          <w:highlight w:val="none"/>
        </w:rPr>
        <w:t>榆林分行</w:t>
      </w:r>
      <w:r>
        <w:rPr>
          <w:rFonts w:eastAsia="仿宋_GB2312"/>
          <w:szCs w:val="21"/>
          <w:highlight w:val="none"/>
        </w:rPr>
        <w:tab/>
      </w:r>
      <w:r>
        <w:rPr>
          <w:rFonts w:eastAsia="仿宋_GB2312"/>
          <w:szCs w:val="21"/>
          <w:highlight w:val="none"/>
        </w:rPr>
        <w:t>尚云鹏</w:t>
      </w:r>
      <w:r>
        <w:rPr>
          <w:rFonts w:eastAsia="仿宋_GB2312"/>
          <w:szCs w:val="21"/>
          <w:highlight w:val="none"/>
        </w:rPr>
        <w:tab/>
      </w:r>
      <w:r>
        <w:rPr>
          <w:rFonts w:eastAsia="仿宋_GB2312"/>
          <w:szCs w:val="21"/>
          <w:highlight w:val="none"/>
        </w:rPr>
        <w:t>0912-3548019</w:t>
      </w:r>
      <w:r>
        <w:rPr>
          <w:rFonts w:eastAsia="仿宋_GB2312"/>
          <w:szCs w:val="21"/>
          <w:highlight w:val="none"/>
        </w:rPr>
        <w:tab/>
      </w:r>
      <w:r>
        <w:rPr>
          <w:rFonts w:eastAsia="仿宋_GB2312"/>
          <w:szCs w:val="21"/>
          <w:highlight w:val="none"/>
        </w:rPr>
        <w:t>18690473126</w:t>
      </w:r>
    </w:p>
    <w:p w14:paraId="73ED101D">
      <w:pPr>
        <w:ind w:firstLine="420" w:firstLineChars="200"/>
        <w:rPr>
          <w:rFonts w:eastAsia="仿宋_GB2312"/>
          <w:szCs w:val="21"/>
          <w:highlight w:val="none"/>
        </w:rPr>
      </w:pPr>
      <w:r>
        <w:rPr>
          <w:rFonts w:eastAsia="仿宋_GB2312"/>
          <w:szCs w:val="21"/>
          <w:highlight w:val="none"/>
        </w:rPr>
        <w:t>延安分行</w:t>
      </w:r>
      <w:r>
        <w:rPr>
          <w:rFonts w:eastAsia="仿宋_GB2312"/>
          <w:szCs w:val="21"/>
          <w:highlight w:val="none"/>
        </w:rPr>
        <w:tab/>
      </w:r>
      <w:r>
        <w:rPr>
          <w:rFonts w:eastAsia="仿宋_GB2312"/>
          <w:szCs w:val="21"/>
          <w:highlight w:val="none"/>
        </w:rPr>
        <w:t>汪昊田</w:t>
      </w:r>
      <w:r>
        <w:rPr>
          <w:rFonts w:eastAsia="仿宋_GB2312"/>
          <w:szCs w:val="21"/>
          <w:highlight w:val="none"/>
        </w:rPr>
        <w:tab/>
      </w:r>
      <w:r>
        <w:rPr>
          <w:rFonts w:eastAsia="仿宋_GB2312"/>
          <w:szCs w:val="21"/>
          <w:highlight w:val="none"/>
        </w:rPr>
        <w:t>0911-8011831</w:t>
      </w:r>
      <w:r>
        <w:rPr>
          <w:rFonts w:eastAsia="仿宋_GB2312"/>
          <w:szCs w:val="21"/>
          <w:highlight w:val="none"/>
        </w:rPr>
        <w:tab/>
      </w:r>
      <w:r>
        <w:rPr>
          <w:rFonts w:eastAsia="仿宋_GB2312"/>
          <w:szCs w:val="21"/>
          <w:highlight w:val="none"/>
        </w:rPr>
        <w:t>13509115500</w:t>
      </w:r>
    </w:p>
    <w:p w14:paraId="367D8A39">
      <w:pPr>
        <w:ind w:firstLine="420" w:firstLineChars="200"/>
        <w:rPr>
          <w:rFonts w:eastAsia="仿宋_GB2312"/>
          <w:szCs w:val="21"/>
          <w:highlight w:val="none"/>
        </w:rPr>
      </w:pPr>
      <w:r>
        <w:rPr>
          <w:rFonts w:eastAsia="仿宋_GB2312"/>
          <w:szCs w:val="21"/>
          <w:highlight w:val="none"/>
        </w:rPr>
        <w:t>咸阳分行</w:t>
      </w:r>
      <w:r>
        <w:rPr>
          <w:rFonts w:eastAsia="仿宋_GB2312"/>
          <w:szCs w:val="21"/>
          <w:highlight w:val="none"/>
        </w:rPr>
        <w:tab/>
      </w:r>
      <w:r>
        <w:rPr>
          <w:rFonts w:eastAsia="仿宋_GB2312"/>
          <w:szCs w:val="21"/>
          <w:highlight w:val="none"/>
        </w:rPr>
        <w:t>侯 佳</w:t>
      </w:r>
      <w:r>
        <w:rPr>
          <w:rFonts w:eastAsia="仿宋_GB2312"/>
          <w:szCs w:val="21"/>
          <w:highlight w:val="none"/>
        </w:rPr>
        <w:tab/>
      </w:r>
      <w:r>
        <w:rPr>
          <w:rFonts w:eastAsia="仿宋_GB2312"/>
          <w:szCs w:val="21"/>
          <w:highlight w:val="none"/>
        </w:rPr>
        <w:t>32100021</w:t>
      </w:r>
      <w:r>
        <w:rPr>
          <w:rFonts w:eastAsia="仿宋_GB2312"/>
          <w:szCs w:val="21"/>
          <w:highlight w:val="none"/>
        </w:rPr>
        <w:tab/>
      </w:r>
      <w:r>
        <w:rPr>
          <w:rFonts w:eastAsia="仿宋_GB2312"/>
          <w:szCs w:val="21"/>
          <w:highlight w:val="none"/>
        </w:rPr>
        <w:t>15229500088</w:t>
      </w:r>
    </w:p>
    <w:p w14:paraId="2DBE1804">
      <w:pPr>
        <w:ind w:firstLine="420" w:firstLineChars="200"/>
        <w:rPr>
          <w:rFonts w:eastAsia="仿宋_GB2312"/>
          <w:szCs w:val="21"/>
          <w:highlight w:val="none"/>
        </w:rPr>
      </w:pPr>
      <w:r>
        <w:rPr>
          <w:rFonts w:eastAsia="仿宋_GB2312"/>
          <w:szCs w:val="21"/>
          <w:highlight w:val="none"/>
        </w:rPr>
        <w:t>营销一部</w:t>
      </w:r>
      <w:r>
        <w:rPr>
          <w:rFonts w:eastAsia="仿宋_GB2312"/>
          <w:szCs w:val="21"/>
          <w:highlight w:val="none"/>
        </w:rPr>
        <w:tab/>
      </w:r>
      <w:r>
        <w:rPr>
          <w:rFonts w:eastAsia="仿宋_GB2312"/>
          <w:szCs w:val="21"/>
          <w:highlight w:val="none"/>
        </w:rPr>
        <w:t>李 敏</w:t>
      </w:r>
      <w:r>
        <w:rPr>
          <w:rFonts w:eastAsia="仿宋_GB2312"/>
          <w:szCs w:val="21"/>
          <w:highlight w:val="none"/>
        </w:rPr>
        <w:tab/>
      </w:r>
      <w:r>
        <w:rPr>
          <w:rFonts w:eastAsia="仿宋_GB2312"/>
          <w:szCs w:val="21"/>
          <w:highlight w:val="none"/>
        </w:rPr>
        <w:t>87236311</w:t>
      </w:r>
      <w:r>
        <w:rPr>
          <w:rFonts w:eastAsia="仿宋_GB2312"/>
          <w:szCs w:val="21"/>
          <w:highlight w:val="none"/>
        </w:rPr>
        <w:tab/>
      </w:r>
      <w:r>
        <w:rPr>
          <w:rFonts w:eastAsia="仿宋_GB2312"/>
          <w:szCs w:val="21"/>
          <w:highlight w:val="none"/>
        </w:rPr>
        <w:t>13772031109</w:t>
      </w:r>
    </w:p>
    <w:p w14:paraId="2EC2C13B">
      <w:pPr>
        <w:ind w:firstLine="420" w:firstLineChars="200"/>
        <w:rPr>
          <w:rFonts w:eastAsia="仿宋_GB2312"/>
          <w:szCs w:val="21"/>
          <w:highlight w:val="none"/>
        </w:rPr>
      </w:pPr>
      <w:r>
        <w:rPr>
          <w:rFonts w:eastAsia="仿宋_GB2312"/>
          <w:szCs w:val="21"/>
          <w:highlight w:val="none"/>
        </w:rPr>
        <w:t>营销二部</w:t>
      </w:r>
      <w:r>
        <w:rPr>
          <w:rFonts w:eastAsia="仿宋_GB2312"/>
          <w:szCs w:val="21"/>
          <w:highlight w:val="none"/>
        </w:rPr>
        <w:tab/>
      </w:r>
      <w:r>
        <w:rPr>
          <w:rFonts w:eastAsia="仿宋_GB2312"/>
          <w:szCs w:val="21"/>
          <w:highlight w:val="none"/>
        </w:rPr>
        <w:t>朱翰辰</w:t>
      </w:r>
      <w:r>
        <w:rPr>
          <w:rFonts w:eastAsia="仿宋_GB2312"/>
          <w:szCs w:val="21"/>
          <w:highlight w:val="none"/>
        </w:rPr>
        <w:tab/>
      </w:r>
      <w:r>
        <w:rPr>
          <w:rFonts w:eastAsia="仿宋_GB2312"/>
          <w:szCs w:val="21"/>
          <w:highlight w:val="none"/>
        </w:rPr>
        <w:t>87236201</w:t>
      </w:r>
      <w:r>
        <w:rPr>
          <w:rFonts w:eastAsia="仿宋_GB2312"/>
          <w:szCs w:val="21"/>
          <w:highlight w:val="none"/>
        </w:rPr>
        <w:tab/>
      </w:r>
      <w:r>
        <w:rPr>
          <w:rFonts w:eastAsia="仿宋_GB2312"/>
          <w:szCs w:val="21"/>
          <w:highlight w:val="none"/>
        </w:rPr>
        <w:t>17791788078</w:t>
      </w:r>
    </w:p>
    <w:p w14:paraId="14AD40A8">
      <w:pPr>
        <w:ind w:firstLine="420" w:firstLineChars="200"/>
        <w:rPr>
          <w:rFonts w:eastAsia="仿宋_GB2312"/>
          <w:szCs w:val="21"/>
          <w:highlight w:val="none"/>
        </w:rPr>
      </w:pPr>
      <w:r>
        <w:rPr>
          <w:rFonts w:eastAsia="仿宋_GB2312"/>
          <w:szCs w:val="21"/>
          <w:highlight w:val="none"/>
        </w:rPr>
        <w:t>营业部</w:t>
      </w:r>
      <w:r>
        <w:rPr>
          <w:rFonts w:eastAsia="仿宋_GB2312"/>
          <w:szCs w:val="21"/>
          <w:highlight w:val="none"/>
        </w:rPr>
        <w:tab/>
      </w:r>
      <w:r>
        <w:rPr>
          <w:rFonts w:eastAsia="仿宋_GB2312"/>
          <w:szCs w:val="21"/>
          <w:highlight w:val="none"/>
        </w:rPr>
        <w:t>张翔琮</w:t>
      </w:r>
      <w:r>
        <w:rPr>
          <w:rFonts w:eastAsia="仿宋_GB2312"/>
          <w:szCs w:val="21"/>
          <w:highlight w:val="none"/>
        </w:rPr>
        <w:tab/>
      </w:r>
      <w:r>
        <w:rPr>
          <w:rFonts w:eastAsia="仿宋_GB2312"/>
          <w:szCs w:val="21"/>
          <w:highlight w:val="none"/>
        </w:rPr>
        <w:t>87236306</w:t>
      </w:r>
      <w:r>
        <w:rPr>
          <w:rFonts w:eastAsia="仿宋_GB2312"/>
          <w:szCs w:val="21"/>
          <w:highlight w:val="none"/>
        </w:rPr>
        <w:tab/>
      </w:r>
      <w:r>
        <w:rPr>
          <w:rFonts w:eastAsia="仿宋_GB2312"/>
          <w:szCs w:val="21"/>
          <w:highlight w:val="none"/>
        </w:rPr>
        <w:t>18829235568</w:t>
      </w:r>
    </w:p>
    <w:p w14:paraId="2049CC57">
      <w:pPr>
        <w:ind w:firstLine="420" w:firstLineChars="200"/>
        <w:rPr>
          <w:rFonts w:eastAsia="仿宋_GB2312"/>
          <w:szCs w:val="21"/>
          <w:highlight w:val="none"/>
        </w:rPr>
      </w:pPr>
      <w:r>
        <w:rPr>
          <w:rFonts w:eastAsia="仿宋_GB2312"/>
          <w:szCs w:val="21"/>
          <w:highlight w:val="none"/>
        </w:rPr>
        <w:t>电子城支行</w:t>
      </w:r>
      <w:r>
        <w:rPr>
          <w:rFonts w:eastAsia="仿宋_GB2312"/>
          <w:szCs w:val="21"/>
          <w:highlight w:val="none"/>
        </w:rPr>
        <w:tab/>
      </w:r>
      <w:r>
        <w:rPr>
          <w:rFonts w:eastAsia="仿宋_GB2312"/>
          <w:szCs w:val="21"/>
          <w:highlight w:val="none"/>
        </w:rPr>
        <w:t>张曼玉</w:t>
      </w:r>
      <w:r>
        <w:rPr>
          <w:rFonts w:eastAsia="仿宋_GB2312"/>
          <w:szCs w:val="21"/>
          <w:highlight w:val="none"/>
        </w:rPr>
        <w:tab/>
      </w:r>
      <w:r>
        <w:rPr>
          <w:rFonts w:eastAsia="仿宋_GB2312"/>
          <w:szCs w:val="21"/>
          <w:highlight w:val="none"/>
        </w:rPr>
        <w:t>88247071</w:t>
      </w:r>
      <w:r>
        <w:rPr>
          <w:rFonts w:eastAsia="仿宋_GB2312"/>
          <w:szCs w:val="21"/>
          <w:highlight w:val="none"/>
        </w:rPr>
        <w:tab/>
      </w:r>
      <w:r>
        <w:rPr>
          <w:rFonts w:eastAsia="仿宋_GB2312"/>
          <w:szCs w:val="21"/>
          <w:highlight w:val="none"/>
        </w:rPr>
        <w:t>18009298787</w:t>
      </w:r>
    </w:p>
    <w:p w14:paraId="794C9F5F">
      <w:pPr>
        <w:ind w:firstLine="420" w:firstLineChars="200"/>
        <w:rPr>
          <w:rFonts w:eastAsia="仿宋_GB2312"/>
          <w:szCs w:val="21"/>
          <w:highlight w:val="none"/>
        </w:rPr>
      </w:pPr>
      <w:r>
        <w:rPr>
          <w:rFonts w:eastAsia="仿宋_GB2312"/>
          <w:szCs w:val="21"/>
          <w:highlight w:val="none"/>
        </w:rPr>
        <w:t>明德门支行</w:t>
      </w:r>
      <w:r>
        <w:rPr>
          <w:rFonts w:eastAsia="仿宋_GB2312"/>
          <w:szCs w:val="21"/>
          <w:highlight w:val="none"/>
        </w:rPr>
        <w:tab/>
      </w:r>
      <w:r>
        <w:rPr>
          <w:rFonts w:eastAsia="仿宋_GB2312"/>
          <w:szCs w:val="21"/>
          <w:highlight w:val="none"/>
        </w:rPr>
        <w:t>王 晨</w:t>
      </w:r>
      <w:r>
        <w:rPr>
          <w:rFonts w:eastAsia="仿宋_GB2312"/>
          <w:szCs w:val="21"/>
          <w:highlight w:val="none"/>
        </w:rPr>
        <w:tab/>
      </w:r>
      <w:r>
        <w:rPr>
          <w:rFonts w:eastAsia="仿宋_GB2312"/>
          <w:szCs w:val="21"/>
          <w:highlight w:val="none"/>
        </w:rPr>
        <w:t>85350770</w:t>
      </w:r>
      <w:r>
        <w:rPr>
          <w:rFonts w:eastAsia="仿宋_GB2312"/>
          <w:szCs w:val="21"/>
          <w:highlight w:val="none"/>
        </w:rPr>
        <w:tab/>
      </w:r>
      <w:r>
        <w:rPr>
          <w:rFonts w:eastAsia="仿宋_GB2312"/>
          <w:szCs w:val="21"/>
          <w:highlight w:val="none"/>
        </w:rPr>
        <w:t>13991249430</w:t>
      </w:r>
    </w:p>
    <w:p w14:paraId="7FD7E5D4">
      <w:pPr>
        <w:ind w:firstLine="420" w:firstLineChars="200"/>
        <w:rPr>
          <w:rFonts w:eastAsia="仿宋_GB2312"/>
          <w:szCs w:val="21"/>
          <w:highlight w:val="none"/>
        </w:rPr>
      </w:pPr>
      <w:r>
        <w:rPr>
          <w:rFonts w:eastAsia="仿宋_GB2312"/>
          <w:szCs w:val="21"/>
          <w:highlight w:val="none"/>
        </w:rPr>
        <w:t>东大街支行</w:t>
      </w:r>
      <w:r>
        <w:rPr>
          <w:rFonts w:eastAsia="仿宋_GB2312"/>
          <w:szCs w:val="21"/>
          <w:highlight w:val="none"/>
        </w:rPr>
        <w:tab/>
      </w:r>
      <w:r>
        <w:rPr>
          <w:rFonts w:eastAsia="仿宋_GB2312"/>
          <w:szCs w:val="21"/>
          <w:highlight w:val="none"/>
        </w:rPr>
        <w:t>刘 林</w:t>
      </w:r>
      <w:r>
        <w:rPr>
          <w:rFonts w:eastAsia="仿宋_GB2312"/>
          <w:szCs w:val="21"/>
          <w:highlight w:val="none"/>
        </w:rPr>
        <w:tab/>
      </w:r>
      <w:r>
        <w:rPr>
          <w:rFonts w:eastAsia="仿宋_GB2312"/>
          <w:szCs w:val="21"/>
          <w:highlight w:val="none"/>
        </w:rPr>
        <w:t>87438914</w:t>
      </w:r>
      <w:r>
        <w:rPr>
          <w:rFonts w:eastAsia="仿宋_GB2312"/>
          <w:szCs w:val="21"/>
          <w:highlight w:val="none"/>
        </w:rPr>
        <w:tab/>
      </w:r>
      <w:r>
        <w:rPr>
          <w:rFonts w:eastAsia="仿宋_GB2312"/>
          <w:szCs w:val="21"/>
          <w:highlight w:val="none"/>
        </w:rPr>
        <w:t>15029673754</w:t>
      </w:r>
    </w:p>
    <w:p w14:paraId="58F47668">
      <w:pPr>
        <w:ind w:firstLine="420" w:firstLineChars="200"/>
        <w:rPr>
          <w:rFonts w:eastAsia="仿宋_GB2312"/>
          <w:szCs w:val="21"/>
          <w:highlight w:val="none"/>
        </w:rPr>
      </w:pPr>
      <w:r>
        <w:rPr>
          <w:rFonts w:eastAsia="仿宋_GB2312"/>
          <w:szCs w:val="21"/>
          <w:highlight w:val="none"/>
        </w:rPr>
        <w:t>经济开发区支行</w:t>
      </w:r>
      <w:r>
        <w:rPr>
          <w:rFonts w:eastAsia="仿宋_GB2312"/>
          <w:szCs w:val="21"/>
          <w:highlight w:val="none"/>
        </w:rPr>
        <w:tab/>
      </w:r>
      <w:r>
        <w:rPr>
          <w:rFonts w:eastAsia="仿宋_GB2312"/>
          <w:szCs w:val="21"/>
          <w:highlight w:val="none"/>
        </w:rPr>
        <w:t>陆家俊</w:t>
      </w:r>
      <w:r>
        <w:rPr>
          <w:rFonts w:eastAsia="仿宋_GB2312"/>
          <w:szCs w:val="21"/>
          <w:highlight w:val="none"/>
        </w:rPr>
        <w:tab/>
      </w:r>
      <w:r>
        <w:rPr>
          <w:rFonts w:eastAsia="仿宋_GB2312"/>
          <w:szCs w:val="21"/>
          <w:highlight w:val="none"/>
        </w:rPr>
        <w:t>86525176</w:t>
      </w:r>
      <w:r>
        <w:rPr>
          <w:rFonts w:eastAsia="仿宋_GB2312"/>
          <w:szCs w:val="21"/>
          <w:highlight w:val="none"/>
        </w:rPr>
        <w:tab/>
      </w:r>
      <w:r>
        <w:rPr>
          <w:rFonts w:eastAsia="仿宋_GB2312"/>
          <w:szCs w:val="21"/>
          <w:highlight w:val="none"/>
        </w:rPr>
        <w:t>18629303397</w:t>
      </w:r>
    </w:p>
    <w:p w14:paraId="334AEE44">
      <w:pPr>
        <w:ind w:firstLine="420" w:firstLineChars="200"/>
        <w:rPr>
          <w:rFonts w:eastAsia="仿宋_GB2312"/>
          <w:szCs w:val="21"/>
          <w:highlight w:val="none"/>
        </w:rPr>
      </w:pPr>
      <w:r>
        <w:rPr>
          <w:rFonts w:eastAsia="仿宋_GB2312"/>
          <w:szCs w:val="21"/>
          <w:highlight w:val="none"/>
        </w:rPr>
        <w:t>凤城九路支行</w:t>
      </w:r>
      <w:r>
        <w:rPr>
          <w:rFonts w:eastAsia="仿宋_GB2312"/>
          <w:szCs w:val="21"/>
          <w:highlight w:val="none"/>
        </w:rPr>
        <w:tab/>
      </w:r>
      <w:r>
        <w:rPr>
          <w:rFonts w:eastAsia="仿宋_GB2312"/>
          <w:szCs w:val="21"/>
          <w:highlight w:val="none"/>
        </w:rPr>
        <w:t>宋 宜</w:t>
      </w:r>
      <w:r>
        <w:rPr>
          <w:rFonts w:eastAsia="仿宋_GB2312"/>
          <w:szCs w:val="21"/>
          <w:highlight w:val="none"/>
        </w:rPr>
        <w:tab/>
      </w:r>
      <w:r>
        <w:rPr>
          <w:rFonts w:eastAsia="仿宋_GB2312"/>
          <w:szCs w:val="21"/>
          <w:highlight w:val="none"/>
        </w:rPr>
        <w:t>89155022</w:t>
      </w:r>
      <w:r>
        <w:rPr>
          <w:rFonts w:eastAsia="仿宋_GB2312"/>
          <w:szCs w:val="21"/>
          <w:highlight w:val="none"/>
        </w:rPr>
        <w:tab/>
      </w:r>
      <w:r>
        <w:rPr>
          <w:rFonts w:eastAsia="仿宋_GB2312"/>
          <w:szCs w:val="21"/>
          <w:highlight w:val="none"/>
        </w:rPr>
        <w:t>18966911622</w:t>
      </w:r>
    </w:p>
    <w:p w14:paraId="37A45F2D">
      <w:pPr>
        <w:ind w:firstLine="420" w:firstLineChars="200"/>
        <w:rPr>
          <w:rFonts w:eastAsia="仿宋_GB2312"/>
          <w:szCs w:val="21"/>
          <w:highlight w:val="none"/>
        </w:rPr>
      </w:pPr>
      <w:r>
        <w:rPr>
          <w:rFonts w:eastAsia="仿宋_GB2312"/>
          <w:szCs w:val="21"/>
          <w:highlight w:val="none"/>
        </w:rPr>
        <w:t>兴庆路支行</w:t>
      </w:r>
      <w:r>
        <w:rPr>
          <w:rFonts w:eastAsia="仿宋_GB2312"/>
          <w:szCs w:val="21"/>
          <w:highlight w:val="none"/>
        </w:rPr>
        <w:tab/>
      </w:r>
      <w:r>
        <w:rPr>
          <w:rFonts w:eastAsia="仿宋_GB2312"/>
          <w:szCs w:val="21"/>
          <w:highlight w:val="none"/>
        </w:rPr>
        <w:t>司 洋</w:t>
      </w:r>
      <w:r>
        <w:rPr>
          <w:rFonts w:eastAsia="仿宋_GB2312"/>
          <w:szCs w:val="21"/>
          <w:highlight w:val="none"/>
        </w:rPr>
        <w:tab/>
      </w:r>
      <w:r>
        <w:rPr>
          <w:rFonts w:eastAsia="仿宋_GB2312"/>
          <w:szCs w:val="21"/>
          <w:highlight w:val="none"/>
        </w:rPr>
        <w:t>83290033</w:t>
      </w:r>
      <w:r>
        <w:rPr>
          <w:rFonts w:eastAsia="仿宋_GB2312"/>
          <w:szCs w:val="21"/>
          <w:highlight w:val="none"/>
        </w:rPr>
        <w:tab/>
      </w:r>
      <w:r>
        <w:rPr>
          <w:rFonts w:eastAsia="仿宋_GB2312"/>
          <w:szCs w:val="21"/>
          <w:highlight w:val="none"/>
        </w:rPr>
        <w:t>18629251819</w:t>
      </w:r>
    </w:p>
    <w:p w14:paraId="77EFB76F">
      <w:pPr>
        <w:ind w:firstLine="420" w:firstLineChars="200"/>
        <w:rPr>
          <w:rFonts w:eastAsia="仿宋_GB2312"/>
          <w:szCs w:val="21"/>
          <w:highlight w:val="none"/>
        </w:rPr>
      </w:pPr>
      <w:r>
        <w:rPr>
          <w:rFonts w:eastAsia="仿宋_GB2312"/>
          <w:szCs w:val="21"/>
          <w:highlight w:val="none"/>
        </w:rPr>
        <w:t>长乐西路支行</w:t>
      </w:r>
      <w:r>
        <w:rPr>
          <w:rFonts w:eastAsia="仿宋_GB2312"/>
          <w:szCs w:val="21"/>
          <w:highlight w:val="none"/>
        </w:rPr>
        <w:tab/>
      </w:r>
      <w:r>
        <w:rPr>
          <w:rFonts w:eastAsia="仿宋_GB2312"/>
          <w:szCs w:val="21"/>
          <w:highlight w:val="none"/>
        </w:rPr>
        <w:t>张 超</w:t>
      </w:r>
      <w:r>
        <w:rPr>
          <w:rFonts w:eastAsia="仿宋_GB2312"/>
          <w:szCs w:val="21"/>
          <w:highlight w:val="none"/>
        </w:rPr>
        <w:tab/>
      </w:r>
      <w:r>
        <w:rPr>
          <w:rFonts w:eastAsia="仿宋_GB2312"/>
          <w:szCs w:val="21"/>
          <w:highlight w:val="none"/>
        </w:rPr>
        <w:t>82566208</w:t>
      </w:r>
      <w:r>
        <w:rPr>
          <w:rFonts w:eastAsia="仿宋_GB2312"/>
          <w:szCs w:val="21"/>
          <w:highlight w:val="none"/>
        </w:rPr>
        <w:tab/>
      </w:r>
      <w:r>
        <w:rPr>
          <w:rFonts w:eastAsia="仿宋_GB2312"/>
          <w:szCs w:val="21"/>
          <w:highlight w:val="none"/>
        </w:rPr>
        <w:t>15877390201</w:t>
      </w:r>
    </w:p>
    <w:p w14:paraId="717610F1">
      <w:pPr>
        <w:ind w:firstLine="420" w:firstLineChars="200"/>
        <w:rPr>
          <w:rFonts w:eastAsia="仿宋_GB2312"/>
          <w:szCs w:val="21"/>
          <w:highlight w:val="none"/>
        </w:rPr>
      </w:pPr>
      <w:r>
        <w:rPr>
          <w:rFonts w:eastAsia="仿宋_GB2312"/>
          <w:szCs w:val="21"/>
          <w:highlight w:val="none"/>
        </w:rPr>
        <w:t>友谊路支行</w:t>
      </w:r>
      <w:r>
        <w:rPr>
          <w:rFonts w:eastAsia="仿宋_GB2312"/>
          <w:szCs w:val="21"/>
          <w:highlight w:val="none"/>
        </w:rPr>
        <w:tab/>
      </w:r>
      <w:r>
        <w:rPr>
          <w:rFonts w:eastAsia="仿宋_GB2312"/>
          <w:szCs w:val="21"/>
          <w:highlight w:val="none"/>
        </w:rPr>
        <w:t>贠程敏</w:t>
      </w:r>
      <w:r>
        <w:rPr>
          <w:rFonts w:eastAsia="仿宋_GB2312"/>
          <w:szCs w:val="21"/>
          <w:highlight w:val="none"/>
        </w:rPr>
        <w:tab/>
      </w:r>
      <w:r>
        <w:rPr>
          <w:rFonts w:eastAsia="仿宋_GB2312"/>
          <w:szCs w:val="21"/>
          <w:highlight w:val="none"/>
        </w:rPr>
        <w:t>88422067</w:t>
      </w:r>
      <w:r>
        <w:rPr>
          <w:rFonts w:eastAsia="仿宋_GB2312"/>
          <w:szCs w:val="21"/>
          <w:highlight w:val="none"/>
        </w:rPr>
        <w:tab/>
      </w:r>
      <w:r>
        <w:rPr>
          <w:rFonts w:eastAsia="仿宋_GB2312"/>
          <w:szCs w:val="21"/>
          <w:highlight w:val="none"/>
        </w:rPr>
        <w:t>18792795210</w:t>
      </w:r>
    </w:p>
    <w:p w14:paraId="171EC3A4">
      <w:pPr>
        <w:ind w:firstLine="420" w:firstLineChars="200"/>
        <w:rPr>
          <w:rFonts w:eastAsia="仿宋_GB2312"/>
          <w:szCs w:val="21"/>
          <w:highlight w:val="none"/>
        </w:rPr>
      </w:pPr>
      <w:r>
        <w:rPr>
          <w:rFonts w:eastAsia="仿宋_GB2312"/>
          <w:szCs w:val="21"/>
          <w:highlight w:val="none"/>
        </w:rPr>
        <w:t>边家村支行</w:t>
      </w:r>
      <w:r>
        <w:rPr>
          <w:rFonts w:eastAsia="仿宋_GB2312"/>
          <w:szCs w:val="21"/>
          <w:highlight w:val="none"/>
        </w:rPr>
        <w:tab/>
      </w:r>
      <w:r>
        <w:rPr>
          <w:rFonts w:eastAsia="仿宋_GB2312"/>
          <w:szCs w:val="21"/>
          <w:highlight w:val="none"/>
        </w:rPr>
        <w:t>王 鹏</w:t>
      </w:r>
      <w:r>
        <w:rPr>
          <w:rFonts w:eastAsia="仿宋_GB2312"/>
          <w:szCs w:val="21"/>
          <w:highlight w:val="none"/>
        </w:rPr>
        <w:tab/>
      </w:r>
      <w:r>
        <w:rPr>
          <w:rFonts w:eastAsia="仿宋_GB2312"/>
          <w:szCs w:val="21"/>
          <w:highlight w:val="none"/>
        </w:rPr>
        <w:t>85251673</w:t>
      </w:r>
      <w:r>
        <w:rPr>
          <w:rFonts w:eastAsia="仿宋_GB2312"/>
          <w:szCs w:val="21"/>
          <w:highlight w:val="none"/>
        </w:rPr>
        <w:tab/>
      </w:r>
      <w:r>
        <w:rPr>
          <w:rFonts w:eastAsia="仿宋_GB2312"/>
          <w:szCs w:val="21"/>
          <w:highlight w:val="none"/>
        </w:rPr>
        <w:t>15309223048</w:t>
      </w:r>
    </w:p>
    <w:p w14:paraId="5A40C964">
      <w:pPr>
        <w:ind w:firstLine="420" w:firstLineChars="200"/>
        <w:rPr>
          <w:rFonts w:eastAsia="仿宋_GB2312"/>
          <w:szCs w:val="21"/>
          <w:highlight w:val="none"/>
        </w:rPr>
      </w:pPr>
      <w:r>
        <w:rPr>
          <w:rFonts w:eastAsia="仿宋_GB2312"/>
          <w:szCs w:val="21"/>
          <w:highlight w:val="none"/>
        </w:rPr>
        <w:t>北关支行</w:t>
      </w:r>
      <w:r>
        <w:rPr>
          <w:rFonts w:eastAsia="仿宋_GB2312"/>
          <w:szCs w:val="21"/>
          <w:highlight w:val="none"/>
        </w:rPr>
        <w:tab/>
      </w:r>
      <w:r>
        <w:rPr>
          <w:rFonts w:eastAsia="仿宋_GB2312"/>
          <w:szCs w:val="21"/>
          <w:highlight w:val="none"/>
        </w:rPr>
        <w:t>菅新培</w:t>
      </w:r>
      <w:r>
        <w:rPr>
          <w:rFonts w:eastAsia="仿宋_GB2312"/>
          <w:szCs w:val="21"/>
          <w:highlight w:val="none"/>
        </w:rPr>
        <w:tab/>
      </w:r>
      <w:r>
        <w:rPr>
          <w:rFonts w:eastAsia="仿宋_GB2312"/>
          <w:szCs w:val="21"/>
          <w:highlight w:val="none"/>
        </w:rPr>
        <w:t>86248203</w:t>
      </w:r>
      <w:r>
        <w:rPr>
          <w:rFonts w:eastAsia="仿宋_GB2312"/>
          <w:szCs w:val="21"/>
          <w:highlight w:val="none"/>
        </w:rPr>
        <w:tab/>
      </w:r>
      <w:r>
        <w:rPr>
          <w:rFonts w:eastAsia="仿宋_GB2312"/>
          <w:szCs w:val="21"/>
          <w:highlight w:val="none"/>
        </w:rPr>
        <w:t>18092169361</w:t>
      </w:r>
    </w:p>
    <w:p w14:paraId="6E66C9FB">
      <w:pPr>
        <w:ind w:firstLine="420" w:firstLineChars="200"/>
        <w:rPr>
          <w:rFonts w:eastAsia="仿宋_GB2312"/>
          <w:szCs w:val="21"/>
          <w:highlight w:val="none"/>
        </w:rPr>
      </w:pPr>
      <w:r>
        <w:rPr>
          <w:rFonts w:eastAsia="仿宋_GB2312"/>
          <w:szCs w:val="21"/>
          <w:highlight w:val="none"/>
        </w:rPr>
        <w:t>南郊支行</w:t>
      </w:r>
      <w:r>
        <w:rPr>
          <w:rFonts w:eastAsia="仿宋_GB2312"/>
          <w:szCs w:val="21"/>
          <w:highlight w:val="none"/>
        </w:rPr>
        <w:tab/>
      </w:r>
      <w:r>
        <w:rPr>
          <w:rFonts w:eastAsia="仿宋_GB2312"/>
          <w:szCs w:val="21"/>
          <w:highlight w:val="none"/>
        </w:rPr>
        <w:t>程 拓</w:t>
      </w:r>
      <w:r>
        <w:rPr>
          <w:rFonts w:eastAsia="仿宋_GB2312"/>
          <w:szCs w:val="21"/>
          <w:highlight w:val="none"/>
        </w:rPr>
        <w:tab/>
      </w:r>
      <w:r>
        <w:rPr>
          <w:rFonts w:eastAsia="仿宋_GB2312"/>
          <w:szCs w:val="21"/>
          <w:highlight w:val="none"/>
        </w:rPr>
        <w:t>85265234</w:t>
      </w:r>
      <w:r>
        <w:rPr>
          <w:rFonts w:eastAsia="仿宋_GB2312"/>
          <w:szCs w:val="21"/>
          <w:highlight w:val="none"/>
        </w:rPr>
        <w:tab/>
      </w:r>
      <w:r>
        <w:rPr>
          <w:rFonts w:eastAsia="仿宋_GB2312"/>
          <w:szCs w:val="21"/>
          <w:highlight w:val="none"/>
        </w:rPr>
        <w:t>13772491661</w:t>
      </w:r>
    </w:p>
    <w:p w14:paraId="7CDA63D2">
      <w:pPr>
        <w:ind w:firstLine="420" w:firstLineChars="200"/>
        <w:rPr>
          <w:rFonts w:eastAsia="仿宋_GB2312"/>
          <w:szCs w:val="21"/>
          <w:highlight w:val="none"/>
        </w:rPr>
      </w:pPr>
      <w:r>
        <w:rPr>
          <w:rFonts w:eastAsia="仿宋_GB2312"/>
          <w:szCs w:val="21"/>
          <w:highlight w:val="none"/>
        </w:rPr>
        <w:t>西关正街</w:t>
      </w:r>
      <w:r>
        <w:rPr>
          <w:rFonts w:eastAsia="仿宋_GB2312"/>
          <w:szCs w:val="21"/>
          <w:highlight w:val="none"/>
        </w:rPr>
        <w:tab/>
      </w:r>
      <w:r>
        <w:rPr>
          <w:rFonts w:eastAsia="仿宋_GB2312"/>
          <w:szCs w:val="21"/>
          <w:highlight w:val="none"/>
        </w:rPr>
        <w:t>马 瑜</w:t>
      </w:r>
      <w:r>
        <w:rPr>
          <w:rFonts w:eastAsia="仿宋_GB2312"/>
          <w:szCs w:val="21"/>
          <w:highlight w:val="none"/>
        </w:rPr>
        <w:tab/>
      </w:r>
      <w:r>
        <w:rPr>
          <w:rFonts w:eastAsia="仿宋_GB2312"/>
          <w:szCs w:val="21"/>
          <w:highlight w:val="none"/>
        </w:rPr>
        <w:t>89548109</w:t>
      </w:r>
      <w:r>
        <w:rPr>
          <w:rFonts w:eastAsia="仿宋_GB2312"/>
          <w:szCs w:val="21"/>
          <w:highlight w:val="none"/>
        </w:rPr>
        <w:tab/>
      </w:r>
      <w:r>
        <w:rPr>
          <w:rFonts w:eastAsia="仿宋_GB2312"/>
          <w:szCs w:val="21"/>
          <w:highlight w:val="none"/>
        </w:rPr>
        <w:t>13772337373</w:t>
      </w:r>
    </w:p>
    <w:p w14:paraId="20FC0094">
      <w:pPr>
        <w:ind w:firstLine="420" w:firstLineChars="200"/>
        <w:rPr>
          <w:rFonts w:eastAsia="仿宋_GB2312"/>
          <w:szCs w:val="21"/>
          <w:highlight w:val="none"/>
        </w:rPr>
      </w:pPr>
      <w:r>
        <w:rPr>
          <w:rFonts w:eastAsia="仿宋_GB2312"/>
          <w:szCs w:val="21"/>
          <w:highlight w:val="none"/>
        </w:rPr>
        <w:t>丈八东路支行</w:t>
      </w:r>
      <w:r>
        <w:rPr>
          <w:rFonts w:eastAsia="仿宋_GB2312"/>
          <w:szCs w:val="21"/>
          <w:highlight w:val="none"/>
        </w:rPr>
        <w:tab/>
      </w:r>
      <w:r>
        <w:rPr>
          <w:rFonts w:eastAsia="仿宋_GB2312"/>
          <w:szCs w:val="21"/>
          <w:highlight w:val="none"/>
        </w:rPr>
        <w:t>杨筱凡</w:t>
      </w:r>
      <w:r>
        <w:rPr>
          <w:rFonts w:eastAsia="仿宋_GB2312"/>
          <w:szCs w:val="21"/>
          <w:highlight w:val="none"/>
        </w:rPr>
        <w:tab/>
      </w:r>
      <w:r>
        <w:rPr>
          <w:rFonts w:eastAsia="仿宋_GB2312"/>
          <w:szCs w:val="21"/>
          <w:highlight w:val="none"/>
        </w:rPr>
        <w:t>81026910</w:t>
      </w:r>
      <w:r>
        <w:rPr>
          <w:rFonts w:eastAsia="仿宋_GB2312"/>
          <w:szCs w:val="21"/>
          <w:highlight w:val="none"/>
        </w:rPr>
        <w:tab/>
      </w:r>
      <w:r>
        <w:rPr>
          <w:rFonts w:eastAsia="仿宋_GB2312"/>
          <w:szCs w:val="21"/>
          <w:highlight w:val="none"/>
        </w:rPr>
        <w:t>15129044185</w:t>
      </w:r>
    </w:p>
    <w:p w14:paraId="346C2BD3">
      <w:pPr>
        <w:ind w:firstLine="420" w:firstLineChars="200"/>
        <w:rPr>
          <w:rFonts w:eastAsia="仿宋_GB2312"/>
          <w:szCs w:val="21"/>
          <w:highlight w:val="none"/>
        </w:rPr>
      </w:pPr>
      <w:r>
        <w:rPr>
          <w:rFonts w:eastAsia="仿宋_GB2312"/>
          <w:szCs w:val="21"/>
          <w:highlight w:val="none"/>
        </w:rPr>
        <w:t>雁塔路支行</w:t>
      </w:r>
      <w:r>
        <w:rPr>
          <w:rFonts w:eastAsia="仿宋_GB2312"/>
          <w:szCs w:val="21"/>
          <w:highlight w:val="none"/>
        </w:rPr>
        <w:tab/>
      </w:r>
      <w:r>
        <w:rPr>
          <w:rFonts w:eastAsia="仿宋_GB2312"/>
          <w:szCs w:val="21"/>
          <w:highlight w:val="none"/>
        </w:rPr>
        <w:t>闫梓闶</w:t>
      </w:r>
      <w:r>
        <w:rPr>
          <w:rFonts w:eastAsia="仿宋_GB2312"/>
          <w:szCs w:val="21"/>
          <w:highlight w:val="none"/>
        </w:rPr>
        <w:tab/>
      </w:r>
      <w:r>
        <w:rPr>
          <w:rFonts w:eastAsia="仿宋_GB2312"/>
          <w:szCs w:val="21"/>
          <w:highlight w:val="none"/>
        </w:rPr>
        <w:t>82222501</w:t>
      </w:r>
      <w:r>
        <w:rPr>
          <w:rFonts w:eastAsia="仿宋_GB2312"/>
          <w:szCs w:val="21"/>
          <w:highlight w:val="none"/>
        </w:rPr>
        <w:tab/>
      </w:r>
      <w:r>
        <w:rPr>
          <w:rFonts w:eastAsia="仿宋_GB2312"/>
          <w:szCs w:val="21"/>
          <w:highlight w:val="none"/>
        </w:rPr>
        <w:t>18691561524</w:t>
      </w:r>
    </w:p>
    <w:p w14:paraId="21B6D8A3">
      <w:pPr>
        <w:ind w:firstLine="420" w:firstLineChars="200"/>
        <w:rPr>
          <w:rFonts w:eastAsia="仿宋_GB2312"/>
          <w:szCs w:val="21"/>
          <w:highlight w:val="none"/>
        </w:rPr>
      </w:pPr>
      <w:r>
        <w:rPr>
          <w:rFonts w:eastAsia="仿宋_GB2312"/>
          <w:szCs w:val="21"/>
          <w:highlight w:val="none"/>
        </w:rPr>
        <w:t>唐延路支行</w:t>
      </w:r>
      <w:r>
        <w:rPr>
          <w:rFonts w:eastAsia="仿宋_GB2312"/>
          <w:szCs w:val="21"/>
          <w:highlight w:val="none"/>
        </w:rPr>
        <w:tab/>
      </w:r>
      <w:r>
        <w:rPr>
          <w:rFonts w:eastAsia="仿宋_GB2312"/>
          <w:szCs w:val="21"/>
          <w:highlight w:val="none"/>
        </w:rPr>
        <w:t>尉二宝</w:t>
      </w:r>
      <w:r>
        <w:rPr>
          <w:rFonts w:eastAsia="仿宋_GB2312"/>
          <w:szCs w:val="21"/>
          <w:highlight w:val="none"/>
        </w:rPr>
        <w:tab/>
      </w:r>
      <w:r>
        <w:rPr>
          <w:rFonts w:eastAsia="仿宋_GB2312"/>
          <w:szCs w:val="21"/>
          <w:highlight w:val="none"/>
        </w:rPr>
        <w:t>88329478</w:t>
      </w:r>
      <w:r>
        <w:rPr>
          <w:rFonts w:eastAsia="仿宋_GB2312"/>
          <w:szCs w:val="21"/>
          <w:highlight w:val="none"/>
        </w:rPr>
        <w:tab/>
      </w:r>
      <w:r>
        <w:rPr>
          <w:rFonts w:eastAsia="仿宋_GB2312"/>
          <w:szCs w:val="21"/>
          <w:highlight w:val="none"/>
        </w:rPr>
        <w:t>13991930150</w:t>
      </w:r>
    </w:p>
    <w:p w14:paraId="1E8B2760">
      <w:pPr>
        <w:ind w:firstLine="420" w:firstLineChars="200"/>
        <w:rPr>
          <w:rFonts w:eastAsia="仿宋_GB2312"/>
          <w:szCs w:val="21"/>
          <w:highlight w:val="none"/>
        </w:rPr>
      </w:pPr>
      <w:r>
        <w:rPr>
          <w:rFonts w:eastAsia="仿宋_GB2312"/>
          <w:szCs w:val="21"/>
          <w:highlight w:val="none"/>
        </w:rPr>
        <w:t>枫林绿洲支行</w:t>
      </w:r>
      <w:r>
        <w:rPr>
          <w:rFonts w:eastAsia="仿宋_GB2312"/>
          <w:szCs w:val="21"/>
          <w:highlight w:val="none"/>
        </w:rPr>
        <w:tab/>
      </w:r>
      <w:r>
        <w:rPr>
          <w:rFonts w:eastAsia="仿宋_GB2312"/>
          <w:szCs w:val="21"/>
          <w:highlight w:val="none"/>
        </w:rPr>
        <w:t>杨 嘉</w:t>
      </w:r>
      <w:r>
        <w:rPr>
          <w:rFonts w:eastAsia="仿宋_GB2312"/>
          <w:szCs w:val="21"/>
          <w:highlight w:val="none"/>
        </w:rPr>
        <w:tab/>
      </w:r>
      <w:r>
        <w:rPr>
          <w:rFonts w:eastAsia="仿宋_GB2312"/>
          <w:szCs w:val="21"/>
          <w:highlight w:val="none"/>
        </w:rPr>
        <w:t>87302120</w:t>
      </w:r>
      <w:r>
        <w:rPr>
          <w:rFonts w:eastAsia="仿宋_GB2312"/>
          <w:szCs w:val="21"/>
          <w:highlight w:val="none"/>
        </w:rPr>
        <w:tab/>
      </w:r>
      <w:r>
        <w:rPr>
          <w:rFonts w:eastAsia="仿宋_GB2312"/>
          <w:szCs w:val="21"/>
          <w:highlight w:val="none"/>
        </w:rPr>
        <w:t>13609199490</w:t>
      </w:r>
    </w:p>
    <w:p w14:paraId="6E4EC985">
      <w:pPr>
        <w:ind w:firstLine="420" w:firstLineChars="200"/>
        <w:rPr>
          <w:rFonts w:eastAsia="仿宋_GB2312"/>
          <w:szCs w:val="21"/>
          <w:highlight w:val="none"/>
        </w:rPr>
      </w:pPr>
      <w:r>
        <w:rPr>
          <w:rFonts w:eastAsia="仿宋_GB2312"/>
          <w:szCs w:val="21"/>
          <w:highlight w:val="none"/>
        </w:rPr>
        <w:t>南关正街支行</w:t>
      </w:r>
      <w:r>
        <w:rPr>
          <w:rFonts w:eastAsia="仿宋_GB2312"/>
          <w:szCs w:val="21"/>
          <w:highlight w:val="none"/>
        </w:rPr>
        <w:tab/>
      </w:r>
      <w:r>
        <w:rPr>
          <w:rFonts w:eastAsia="仿宋_GB2312"/>
          <w:szCs w:val="21"/>
          <w:highlight w:val="none"/>
        </w:rPr>
        <w:t>郭 敏</w:t>
      </w:r>
      <w:r>
        <w:rPr>
          <w:rFonts w:eastAsia="仿宋_GB2312"/>
          <w:szCs w:val="21"/>
          <w:highlight w:val="none"/>
        </w:rPr>
        <w:tab/>
      </w:r>
      <w:r>
        <w:rPr>
          <w:rFonts w:eastAsia="仿宋_GB2312"/>
          <w:szCs w:val="21"/>
          <w:highlight w:val="none"/>
        </w:rPr>
        <w:t>85230722</w:t>
      </w:r>
      <w:r>
        <w:rPr>
          <w:rFonts w:eastAsia="仿宋_GB2312"/>
          <w:szCs w:val="21"/>
          <w:highlight w:val="none"/>
        </w:rPr>
        <w:tab/>
      </w:r>
      <w:r>
        <w:rPr>
          <w:rFonts w:eastAsia="仿宋_GB2312"/>
          <w:szCs w:val="21"/>
          <w:highlight w:val="none"/>
        </w:rPr>
        <w:t>18066610983</w:t>
      </w:r>
    </w:p>
    <w:p w14:paraId="38F40D41">
      <w:pPr>
        <w:ind w:firstLine="420" w:firstLineChars="200"/>
        <w:rPr>
          <w:rFonts w:eastAsia="仿宋_GB2312"/>
          <w:szCs w:val="21"/>
          <w:highlight w:val="none"/>
        </w:rPr>
      </w:pPr>
      <w:r>
        <w:rPr>
          <w:rFonts w:eastAsia="仿宋_GB2312"/>
          <w:szCs w:val="21"/>
          <w:highlight w:val="none"/>
        </w:rPr>
        <w:t>南二环支行</w:t>
      </w:r>
      <w:r>
        <w:rPr>
          <w:rFonts w:eastAsia="仿宋_GB2312"/>
          <w:szCs w:val="21"/>
          <w:highlight w:val="none"/>
        </w:rPr>
        <w:tab/>
      </w:r>
      <w:r>
        <w:rPr>
          <w:rFonts w:eastAsia="仿宋_GB2312"/>
          <w:szCs w:val="21"/>
          <w:highlight w:val="none"/>
        </w:rPr>
        <w:t>刘 超</w:t>
      </w:r>
      <w:r>
        <w:rPr>
          <w:rFonts w:eastAsia="仿宋_GB2312"/>
          <w:szCs w:val="21"/>
          <w:highlight w:val="none"/>
        </w:rPr>
        <w:tab/>
      </w:r>
      <w:r>
        <w:rPr>
          <w:rFonts w:eastAsia="仿宋_GB2312"/>
          <w:szCs w:val="21"/>
          <w:highlight w:val="none"/>
        </w:rPr>
        <w:t>88362861</w:t>
      </w:r>
      <w:r>
        <w:rPr>
          <w:rFonts w:eastAsia="仿宋_GB2312"/>
          <w:szCs w:val="21"/>
          <w:highlight w:val="none"/>
        </w:rPr>
        <w:tab/>
      </w:r>
      <w:r>
        <w:rPr>
          <w:rFonts w:eastAsia="仿宋_GB2312"/>
          <w:szCs w:val="21"/>
          <w:highlight w:val="none"/>
        </w:rPr>
        <w:t>18192080396</w:t>
      </w:r>
    </w:p>
    <w:p w14:paraId="11F3AC33">
      <w:pPr>
        <w:ind w:firstLine="420" w:firstLineChars="200"/>
        <w:rPr>
          <w:rFonts w:eastAsia="仿宋_GB2312"/>
          <w:szCs w:val="21"/>
          <w:highlight w:val="none"/>
        </w:rPr>
      </w:pPr>
      <w:r>
        <w:rPr>
          <w:rFonts w:eastAsia="仿宋_GB2312"/>
          <w:szCs w:val="21"/>
          <w:highlight w:val="none"/>
        </w:rPr>
        <w:t>曲江支行</w:t>
      </w:r>
      <w:r>
        <w:rPr>
          <w:rFonts w:eastAsia="仿宋_GB2312"/>
          <w:szCs w:val="21"/>
          <w:highlight w:val="none"/>
        </w:rPr>
        <w:tab/>
      </w:r>
      <w:r>
        <w:rPr>
          <w:rFonts w:eastAsia="仿宋_GB2312"/>
          <w:szCs w:val="21"/>
          <w:highlight w:val="none"/>
        </w:rPr>
        <w:t>田 鹏</w:t>
      </w:r>
      <w:r>
        <w:rPr>
          <w:rFonts w:eastAsia="仿宋_GB2312"/>
          <w:szCs w:val="21"/>
          <w:highlight w:val="none"/>
        </w:rPr>
        <w:tab/>
      </w:r>
      <w:r>
        <w:rPr>
          <w:rFonts w:eastAsia="仿宋_GB2312"/>
          <w:szCs w:val="21"/>
          <w:highlight w:val="none"/>
        </w:rPr>
        <w:t>81205890</w:t>
      </w:r>
      <w:r>
        <w:rPr>
          <w:rFonts w:eastAsia="仿宋_GB2312"/>
          <w:szCs w:val="21"/>
          <w:highlight w:val="none"/>
        </w:rPr>
        <w:tab/>
      </w:r>
      <w:r>
        <w:rPr>
          <w:rFonts w:eastAsia="仿宋_GB2312"/>
          <w:szCs w:val="21"/>
          <w:highlight w:val="none"/>
        </w:rPr>
        <w:t>13991937977</w:t>
      </w:r>
    </w:p>
    <w:p w14:paraId="5E67FD5F">
      <w:pPr>
        <w:ind w:firstLine="420" w:firstLineChars="200"/>
        <w:rPr>
          <w:rFonts w:eastAsia="仿宋_GB2312"/>
          <w:szCs w:val="21"/>
          <w:highlight w:val="none"/>
        </w:rPr>
      </w:pPr>
      <w:r>
        <w:rPr>
          <w:rFonts w:eastAsia="仿宋_GB2312"/>
          <w:szCs w:val="21"/>
          <w:highlight w:val="none"/>
        </w:rPr>
        <w:t>太白路支行</w:t>
      </w:r>
      <w:r>
        <w:rPr>
          <w:rFonts w:eastAsia="仿宋_GB2312"/>
          <w:szCs w:val="21"/>
          <w:highlight w:val="none"/>
        </w:rPr>
        <w:tab/>
      </w:r>
      <w:r>
        <w:rPr>
          <w:rFonts w:eastAsia="仿宋_GB2312"/>
          <w:szCs w:val="21"/>
          <w:highlight w:val="none"/>
        </w:rPr>
        <w:t>马振林</w:t>
      </w:r>
      <w:r>
        <w:rPr>
          <w:rFonts w:eastAsia="仿宋_GB2312"/>
          <w:szCs w:val="21"/>
          <w:highlight w:val="none"/>
        </w:rPr>
        <w:tab/>
      </w:r>
      <w:r>
        <w:rPr>
          <w:rFonts w:eastAsia="仿宋_GB2312"/>
          <w:szCs w:val="21"/>
          <w:highlight w:val="none"/>
        </w:rPr>
        <w:t>68912880</w:t>
      </w:r>
      <w:r>
        <w:rPr>
          <w:rFonts w:eastAsia="仿宋_GB2312"/>
          <w:szCs w:val="21"/>
          <w:highlight w:val="none"/>
        </w:rPr>
        <w:tab/>
      </w:r>
      <w:r>
        <w:rPr>
          <w:rFonts w:eastAsia="仿宋_GB2312"/>
          <w:szCs w:val="21"/>
          <w:highlight w:val="none"/>
        </w:rPr>
        <w:t>15353736656</w:t>
      </w:r>
    </w:p>
    <w:p w14:paraId="0B10866A">
      <w:pPr>
        <w:ind w:firstLine="420" w:firstLineChars="200"/>
        <w:rPr>
          <w:rFonts w:eastAsia="仿宋_GB2312"/>
          <w:szCs w:val="21"/>
          <w:highlight w:val="none"/>
        </w:rPr>
      </w:pPr>
      <w:r>
        <w:rPr>
          <w:rFonts w:eastAsia="仿宋_GB2312"/>
          <w:szCs w:val="21"/>
          <w:highlight w:val="none"/>
        </w:rPr>
        <w:t>明光路支行</w:t>
      </w:r>
      <w:r>
        <w:rPr>
          <w:rFonts w:eastAsia="仿宋_GB2312"/>
          <w:szCs w:val="21"/>
          <w:highlight w:val="none"/>
        </w:rPr>
        <w:tab/>
      </w:r>
      <w:r>
        <w:rPr>
          <w:rFonts w:eastAsia="仿宋_GB2312"/>
          <w:szCs w:val="21"/>
          <w:highlight w:val="none"/>
        </w:rPr>
        <w:t>刘二渭</w:t>
      </w:r>
      <w:r>
        <w:rPr>
          <w:rFonts w:eastAsia="仿宋_GB2312"/>
          <w:szCs w:val="21"/>
          <w:highlight w:val="none"/>
        </w:rPr>
        <w:tab/>
      </w:r>
      <w:r>
        <w:rPr>
          <w:rFonts w:eastAsia="仿宋_GB2312"/>
          <w:szCs w:val="21"/>
          <w:highlight w:val="none"/>
        </w:rPr>
        <w:t>81623506</w:t>
      </w:r>
      <w:r>
        <w:rPr>
          <w:rFonts w:eastAsia="仿宋_GB2312"/>
          <w:szCs w:val="21"/>
          <w:highlight w:val="none"/>
        </w:rPr>
        <w:tab/>
      </w:r>
      <w:r>
        <w:rPr>
          <w:rFonts w:eastAsia="仿宋_GB2312"/>
          <w:szCs w:val="21"/>
          <w:highlight w:val="none"/>
        </w:rPr>
        <w:t>13201793405</w:t>
      </w:r>
    </w:p>
    <w:p w14:paraId="19CFD66C">
      <w:pPr>
        <w:ind w:firstLine="420" w:firstLineChars="200"/>
        <w:rPr>
          <w:rFonts w:eastAsia="仿宋_GB2312"/>
          <w:szCs w:val="21"/>
          <w:highlight w:val="none"/>
        </w:rPr>
      </w:pPr>
      <w:r>
        <w:rPr>
          <w:rFonts w:eastAsia="仿宋_GB2312"/>
          <w:szCs w:val="21"/>
          <w:highlight w:val="none"/>
        </w:rPr>
        <w:t>凤城二路支行</w:t>
      </w:r>
      <w:r>
        <w:rPr>
          <w:rFonts w:eastAsia="仿宋_GB2312"/>
          <w:szCs w:val="21"/>
          <w:highlight w:val="none"/>
        </w:rPr>
        <w:tab/>
      </w:r>
      <w:r>
        <w:rPr>
          <w:rFonts w:eastAsia="仿宋_GB2312"/>
          <w:szCs w:val="21"/>
          <w:highlight w:val="none"/>
        </w:rPr>
        <w:t>张 洋</w:t>
      </w:r>
      <w:r>
        <w:rPr>
          <w:rFonts w:eastAsia="仿宋_GB2312"/>
          <w:szCs w:val="21"/>
          <w:highlight w:val="none"/>
        </w:rPr>
        <w:tab/>
      </w:r>
      <w:r>
        <w:rPr>
          <w:rFonts w:eastAsia="仿宋_GB2312"/>
          <w:szCs w:val="21"/>
          <w:highlight w:val="none"/>
        </w:rPr>
        <w:t>86680267</w:t>
      </w:r>
      <w:r>
        <w:rPr>
          <w:rFonts w:eastAsia="仿宋_GB2312"/>
          <w:szCs w:val="21"/>
          <w:highlight w:val="none"/>
        </w:rPr>
        <w:tab/>
      </w:r>
      <w:r>
        <w:rPr>
          <w:rFonts w:eastAsia="仿宋_GB2312"/>
          <w:szCs w:val="21"/>
          <w:highlight w:val="none"/>
        </w:rPr>
        <w:t>13720423343</w:t>
      </w:r>
    </w:p>
    <w:p w14:paraId="5D46D4BF">
      <w:pPr>
        <w:ind w:firstLine="420" w:firstLineChars="200"/>
        <w:rPr>
          <w:rFonts w:eastAsia="仿宋_GB2312"/>
          <w:szCs w:val="21"/>
          <w:highlight w:val="none"/>
        </w:rPr>
      </w:pPr>
      <w:r>
        <w:rPr>
          <w:rFonts w:eastAsia="仿宋_GB2312"/>
          <w:szCs w:val="21"/>
          <w:highlight w:val="none"/>
        </w:rPr>
        <w:t>昆明路支行</w:t>
      </w:r>
      <w:r>
        <w:rPr>
          <w:rFonts w:eastAsia="仿宋_GB2312"/>
          <w:szCs w:val="21"/>
          <w:highlight w:val="none"/>
        </w:rPr>
        <w:tab/>
      </w:r>
      <w:r>
        <w:rPr>
          <w:rFonts w:eastAsia="仿宋_GB2312"/>
          <w:szCs w:val="21"/>
          <w:highlight w:val="none"/>
        </w:rPr>
        <w:t>张 洁</w:t>
      </w:r>
      <w:r>
        <w:rPr>
          <w:rFonts w:eastAsia="仿宋_GB2312"/>
          <w:szCs w:val="21"/>
          <w:highlight w:val="none"/>
        </w:rPr>
        <w:tab/>
      </w:r>
      <w:r>
        <w:rPr>
          <w:rFonts w:eastAsia="仿宋_GB2312"/>
          <w:szCs w:val="21"/>
          <w:highlight w:val="none"/>
        </w:rPr>
        <w:t>84592506</w:t>
      </w:r>
      <w:r>
        <w:rPr>
          <w:rFonts w:eastAsia="仿宋_GB2312"/>
          <w:szCs w:val="21"/>
          <w:highlight w:val="none"/>
        </w:rPr>
        <w:tab/>
      </w:r>
      <w:r>
        <w:rPr>
          <w:rFonts w:eastAsia="仿宋_GB2312"/>
          <w:szCs w:val="21"/>
          <w:highlight w:val="none"/>
        </w:rPr>
        <w:t>13991821278</w:t>
      </w:r>
    </w:p>
    <w:p w14:paraId="4397177F">
      <w:pPr>
        <w:ind w:firstLine="420" w:firstLineChars="200"/>
        <w:rPr>
          <w:rFonts w:eastAsia="仿宋_GB2312"/>
          <w:szCs w:val="21"/>
          <w:highlight w:val="none"/>
        </w:rPr>
      </w:pPr>
      <w:r>
        <w:rPr>
          <w:rFonts w:eastAsia="仿宋_GB2312"/>
          <w:szCs w:val="21"/>
          <w:highlight w:val="none"/>
        </w:rPr>
        <w:t>丈八北路支行</w:t>
      </w:r>
      <w:r>
        <w:rPr>
          <w:rFonts w:eastAsia="仿宋_GB2312"/>
          <w:szCs w:val="21"/>
          <w:highlight w:val="none"/>
        </w:rPr>
        <w:tab/>
      </w:r>
      <w:r>
        <w:rPr>
          <w:rFonts w:eastAsia="仿宋_GB2312"/>
          <w:szCs w:val="21"/>
          <w:highlight w:val="none"/>
        </w:rPr>
        <w:t>郭 浩</w:t>
      </w:r>
      <w:r>
        <w:rPr>
          <w:rFonts w:eastAsia="仿宋_GB2312"/>
          <w:szCs w:val="21"/>
          <w:highlight w:val="none"/>
        </w:rPr>
        <w:tab/>
      </w:r>
      <w:r>
        <w:rPr>
          <w:rFonts w:eastAsia="仿宋_GB2312"/>
          <w:szCs w:val="21"/>
          <w:highlight w:val="none"/>
        </w:rPr>
        <w:t>81875192</w:t>
      </w:r>
      <w:r>
        <w:rPr>
          <w:rFonts w:eastAsia="仿宋_GB2312"/>
          <w:szCs w:val="21"/>
          <w:highlight w:val="none"/>
        </w:rPr>
        <w:tab/>
      </w:r>
      <w:r>
        <w:rPr>
          <w:rFonts w:eastAsia="仿宋_GB2312"/>
          <w:szCs w:val="21"/>
          <w:highlight w:val="none"/>
        </w:rPr>
        <w:t>15667087662</w:t>
      </w:r>
    </w:p>
    <w:p w14:paraId="3AFE8BDB">
      <w:pPr>
        <w:ind w:firstLine="420" w:firstLineChars="200"/>
        <w:rPr>
          <w:rFonts w:eastAsia="仿宋_GB2312"/>
          <w:szCs w:val="21"/>
          <w:highlight w:val="none"/>
        </w:rPr>
      </w:pPr>
      <w:r>
        <w:rPr>
          <w:rFonts w:eastAsia="仿宋_GB2312"/>
          <w:szCs w:val="21"/>
          <w:highlight w:val="none"/>
        </w:rPr>
        <w:t>新城支行</w:t>
      </w:r>
      <w:r>
        <w:rPr>
          <w:rFonts w:eastAsia="仿宋_GB2312"/>
          <w:szCs w:val="21"/>
          <w:highlight w:val="none"/>
        </w:rPr>
        <w:tab/>
      </w:r>
      <w:r>
        <w:rPr>
          <w:rFonts w:eastAsia="仿宋_GB2312"/>
          <w:szCs w:val="21"/>
          <w:highlight w:val="none"/>
        </w:rPr>
        <w:t>余振东</w:t>
      </w:r>
      <w:r>
        <w:rPr>
          <w:rFonts w:eastAsia="仿宋_GB2312"/>
          <w:szCs w:val="21"/>
          <w:highlight w:val="none"/>
        </w:rPr>
        <w:tab/>
      </w:r>
      <w:r>
        <w:rPr>
          <w:rFonts w:eastAsia="仿宋_GB2312"/>
          <w:szCs w:val="21"/>
          <w:highlight w:val="none"/>
        </w:rPr>
        <w:t>87251680</w:t>
      </w:r>
      <w:r>
        <w:rPr>
          <w:rFonts w:eastAsia="仿宋_GB2312"/>
          <w:szCs w:val="21"/>
          <w:highlight w:val="none"/>
        </w:rPr>
        <w:tab/>
      </w:r>
      <w:r>
        <w:rPr>
          <w:rFonts w:eastAsia="仿宋_GB2312"/>
          <w:szCs w:val="21"/>
          <w:highlight w:val="none"/>
        </w:rPr>
        <w:t>18066617238</w:t>
      </w:r>
    </w:p>
    <w:p w14:paraId="6E1F69B3">
      <w:pPr>
        <w:rPr>
          <w:rFonts w:eastAsia="仿宋_GB2312"/>
          <w:b/>
          <w:szCs w:val="21"/>
          <w:highlight w:val="none"/>
        </w:rPr>
      </w:pPr>
      <w:r>
        <w:rPr>
          <w:rFonts w:eastAsia="仿宋_GB2312"/>
          <w:b/>
          <w:szCs w:val="21"/>
          <w:highlight w:val="none"/>
        </w:rPr>
        <w:t>六、浦发银行 （政采e贷）</w:t>
      </w:r>
    </w:p>
    <w:p w14:paraId="58D5FE0B">
      <w:pPr>
        <w:ind w:firstLine="420" w:firstLineChars="200"/>
        <w:rPr>
          <w:rFonts w:eastAsia="仿宋_GB2312"/>
          <w:szCs w:val="21"/>
          <w:highlight w:val="none"/>
        </w:rPr>
      </w:pPr>
      <w:r>
        <w:rPr>
          <w:rFonts w:eastAsia="仿宋_GB2312"/>
          <w:szCs w:val="21"/>
          <w:highlight w:val="none"/>
        </w:rPr>
        <w:t>西安分行</w:t>
      </w:r>
      <w:r>
        <w:rPr>
          <w:rFonts w:eastAsia="仿宋_GB2312"/>
          <w:szCs w:val="21"/>
          <w:highlight w:val="none"/>
        </w:rPr>
        <w:tab/>
      </w:r>
      <w:r>
        <w:rPr>
          <w:rFonts w:eastAsia="仿宋_GB2312"/>
          <w:szCs w:val="21"/>
          <w:highlight w:val="none"/>
        </w:rPr>
        <w:t>吴晨雨</w:t>
      </w:r>
      <w:r>
        <w:rPr>
          <w:rFonts w:eastAsia="仿宋_GB2312"/>
          <w:szCs w:val="21"/>
          <w:highlight w:val="none"/>
        </w:rPr>
        <w:tab/>
      </w:r>
      <w:r>
        <w:rPr>
          <w:rFonts w:eastAsia="仿宋_GB2312"/>
          <w:szCs w:val="21"/>
          <w:highlight w:val="none"/>
        </w:rPr>
        <w:t>客户经理</w:t>
      </w:r>
      <w:r>
        <w:rPr>
          <w:rFonts w:eastAsia="仿宋_GB2312"/>
          <w:szCs w:val="21"/>
          <w:highlight w:val="none"/>
        </w:rPr>
        <w:tab/>
      </w:r>
      <w:r>
        <w:rPr>
          <w:rFonts w:eastAsia="仿宋_GB2312"/>
          <w:szCs w:val="21"/>
          <w:highlight w:val="none"/>
        </w:rPr>
        <w:t>029-63603803</w:t>
      </w:r>
      <w:r>
        <w:rPr>
          <w:rFonts w:eastAsia="仿宋_GB2312"/>
          <w:szCs w:val="21"/>
          <w:highlight w:val="none"/>
        </w:rPr>
        <w:tab/>
      </w:r>
      <w:r>
        <w:rPr>
          <w:rFonts w:eastAsia="仿宋_GB2312"/>
          <w:szCs w:val="21"/>
          <w:highlight w:val="none"/>
        </w:rPr>
        <w:t>15991724645</w:t>
      </w:r>
    </w:p>
    <w:p w14:paraId="6236DB87">
      <w:pPr>
        <w:ind w:firstLine="420" w:firstLineChars="200"/>
        <w:rPr>
          <w:rFonts w:eastAsia="仿宋_GB2312"/>
          <w:szCs w:val="21"/>
          <w:highlight w:val="none"/>
        </w:rPr>
      </w:pPr>
      <w:r>
        <w:rPr>
          <w:rFonts w:eastAsia="仿宋_GB2312"/>
          <w:szCs w:val="21"/>
          <w:highlight w:val="none"/>
        </w:rPr>
        <w:t>西安分行</w:t>
      </w:r>
      <w:r>
        <w:rPr>
          <w:rFonts w:eastAsia="仿宋_GB2312"/>
          <w:szCs w:val="21"/>
          <w:highlight w:val="none"/>
        </w:rPr>
        <w:tab/>
      </w:r>
      <w:r>
        <w:rPr>
          <w:rFonts w:eastAsia="仿宋_GB2312"/>
          <w:szCs w:val="21"/>
          <w:highlight w:val="none"/>
        </w:rPr>
        <w:t>陈福全</w:t>
      </w:r>
      <w:r>
        <w:rPr>
          <w:rFonts w:eastAsia="仿宋_GB2312"/>
          <w:szCs w:val="21"/>
          <w:highlight w:val="none"/>
        </w:rPr>
        <w:tab/>
      </w:r>
      <w:r>
        <w:rPr>
          <w:rFonts w:eastAsia="仿宋_GB2312"/>
          <w:szCs w:val="21"/>
          <w:highlight w:val="none"/>
        </w:rPr>
        <w:t>客户经理</w:t>
      </w:r>
      <w:r>
        <w:rPr>
          <w:rFonts w:eastAsia="仿宋_GB2312"/>
          <w:szCs w:val="21"/>
          <w:highlight w:val="none"/>
        </w:rPr>
        <w:tab/>
      </w:r>
      <w:r>
        <w:rPr>
          <w:rFonts w:eastAsia="仿宋_GB2312"/>
          <w:szCs w:val="21"/>
          <w:highlight w:val="none"/>
        </w:rPr>
        <w:t>029-63603441</w:t>
      </w:r>
      <w:r>
        <w:rPr>
          <w:rFonts w:eastAsia="仿宋_GB2312"/>
          <w:szCs w:val="21"/>
          <w:highlight w:val="none"/>
        </w:rPr>
        <w:tab/>
      </w:r>
      <w:r>
        <w:rPr>
          <w:rFonts w:eastAsia="仿宋_GB2312"/>
          <w:szCs w:val="21"/>
          <w:highlight w:val="none"/>
        </w:rPr>
        <w:t>17782511994</w:t>
      </w:r>
    </w:p>
    <w:p w14:paraId="625BA760">
      <w:pPr>
        <w:ind w:firstLine="420" w:firstLineChars="200"/>
        <w:rPr>
          <w:rFonts w:eastAsia="仿宋_GB2312"/>
          <w:szCs w:val="21"/>
          <w:highlight w:val="none"/>
        </w:rPr>
      </w:pPr>
      <w:r>
        <w:rPr>
          <w:rFonts w:eastAsia="仿宋_GB2312"/>
          <w:szCs w:val="21"/>
          <w:highlight w:val="none"/>
        </w:rPr>
        <w:t>西安分行</w:t>
      </w:r>
      <w:r>
        <w:rPr>
          <w:rFonts w:eastAsia="仿宋_GB2312"/>
          <w:szCs w:val="21"/>
          <w:highlight w:val="none"/>
        </w:rPr>
        <w:tab/>
      </w:r>
      <w:r>
        <w:rPr>
          <w:rFonts w:eastAsia="仿宋_GB2312"/>
          <w:szCs w:val="21"/>
          <w:highlight w:val="none"/>
        </w:rPr>
        <w:t>韩瑾</w:t>
      </w:r>
      <w:r>
        <w:rPr>
          <w:rFonts w:eastAsia="仿宋_GB2312"/>
          <w:szCs w:val="21"/>
          <w:highlight w:val="none"/>
        </w:rPr>
        <w:tab/>
      </w:r>
      <w:r>
        <w:rPr>
          <w:rFonts w:eastAsia="仿宋_GB2312"/>
          <w:szCs w:val="21"/>
          <w:highlight w:val="none"/>
        </w:rPr>
        <w:t>客户经理</w:t>
      </w:r>
      <w:r>
        <w:rPr>
          <w:rFonts w:eastAsia="仿宋_GB2312"/>
          <w:szCs w:val="21"/>
          <w:highlight w:val="none"/>
        </w:rPr>
        <w:tab/>
      </w:r>
      <w:r>
        <w:rPr>
          <w:rFonts w:eastAsia="仿宋_GB2312"/>
          <w:szCs w:val="21"/>
          <w:highlight w:val="none"/>
        </w:rPr>
        <w:t>029-63603443</w:t>
      </w:r>
      <w:r>
        <w:rPr>
          <w:rFonts w:eastAsia="仿宋_GB2312"/>
          <w:szCs w:val="21"/>
          <w:highlight w:val="none"/>
        </w:rPr>
        <w:tab/>
      </w:r>
      <w:r>
        <w:rPr>
          <w:rFonts w:eastAsia="仿宋_GB2312"/>
          <w:szCs w:val="21"/>
          <w:highlight w:val="none"/>
        </w:rPr>
        <w:t>18202909790</w:t>
      </w:r>
    </w:p>
    <w:p w14:paraId="1C8F5F03">
      <w:pPr>
        <w:ind w:firstLine="420" w:firstLineChars="200"/>
        <w:rPr>
          <w:rFonts w:eastAsia="仿宋_GB2312"/>
          <w:szCs w:val="21"/>
          <w:highlight w:val="none"/>
        </w:rPr>
      </w:pPr>
      <w:r>
        <w:rPr>
          <w:rFonts w:eastAsia="仿宋_GB2312"/>
          <w:szCs w:val="21"/>
          <w:highlight w:val="none"/>
        </w:rPr>
        <w:t>西安分行</w:t>
      </w:r>
      <w:r>
        <w:rPr>
          <w:rFonts w:eastAsia="仿宋_GB2312"/>
          <w:szCs w:val="21"/>
          <w:highlight w:val="none"/>
        </w:rPr>
        <w:tab/>
      </w:r>
      <w:r>
        <w:rPr>
          <w:rFonts w:eastAsia="仿宋_GB2312"/>
          <w:szCs w:val="21"/>
          <w:highlight w:val="none"/>
        </w:rPr>
        <w:t>李瑞雪</w:t>
      </w:r>
      <w:r>
        <w:rPr>
          <w:rFonts w:eastAsia="仿宋_GB2312"/>
          <w:szCs w:val="21"/>
          <w:highlight w:val="none"/>
        </w:rPr>
        <w:tab/>
      </w:r>
      <w:r>
        <w:rPr>
          <w:rFonts w:eastAsia="仿宋_GB2312"/>
          <w:szCs w:val="21"/>
          <w:highlight w:val="none"/>
        </w:rPr>
        <w:t>客户经理</w:t>
      </w:r>
      <w:r>
        <w:rPr>
          <w:rFonts w:eastAsia="仿宋_GB2312"/>
          <w:szCs w:val="21"/>
          <w:highlight w:val="none"/>
        </w:rPr>
        <w:tab/>
      </w:r>
      <w:r>
        <w:rPr>
          <w:rFonts w:eastAsia="仿宋_GB2312"/>
          <w:szCs w:val="21"/>
          <w:highlight w:val="none"/>
        </w:rPr>
        <w:t>029-63603445</w:t>
      </w:r>
      <w:r>
        <w:rPr>
          <w:rFonts w:eastAsia="仿宋_GB2312"/>
          <w:szCs w:val="21"/>
          <w:highlight w:val="none"/>
        </w:rPr>
        <w:tab/>
      </w:r>
      <w:r>
        <w:rPr>
          <w:rFonts w:eastAsia="仿宋_GB2312"/>
          <w:szCs w:val="21"/>
          <w:highlight w:val="none"/>
        </w:rPr>
        <w:t>18220862398</w:t>
      </w:r>
    </w:p>
    <w:p w14:paraId="4D3363B5">
      <w:pPr>
        <w:ind w:firstLine="420" w:firstLineChars="200"/>
        <w:rPr>
          <w:rFonts w:eastAsia="仿宋_GB2312"/>
          <w:szCs w:val="21"/>
          <w:highlight w:val="none"/>
        </w:rPr>
      </w:pPr>
      <w:r>
        <w:rPr>
          <w:rFonts w:eastAsia="仿宋_GB2312"/>
          <w:szCs w:val="21"/>
          <w:highlight w:val="none"/>
        </w:rPr>
        <w:t>榆林分行</w:t>
      </w:r>
      <w:r>
        <w:rPr>
          <w:rFonts w:eastAsia="仿宋_GB2312"/>
          <w:szCs w:val="21"/>
          <w:highlight w:val="none"/>
        </w:rPr>
        <w:tab/>
      </w:r>
      <w:r>
        <w:rPr>
          <w:rFonts w:eastAsia="仿宋_GB2312"/>
          <w:szCs w:val="21"/>
          <w:highlight w:val="none"/>
        </w:rPr>
        <w:t>陈晓晓</w:t>
      </w:r>
      <w:r>
        <w:rPr>
          <w:rFonts w:eastAsia="仿宋_GB2312"/>
          <w:szCs w:val="21"/>
          <w:highlight w:val="none"/>
        </w:rPr>
        <w:tab/>
      </w:r>
      <w:r>
        <w:rPr>
          <w:rFonts w:eastAsia="仿宋_GB2312"/>
          <w:szCs w:val="21"/>
          <w:highlight w:val="none"/>
        </w:rPr>
        <w:t>公司业务部</w:t>
      </w:r>
      <w:r>
        <w:rPr>
          <w:rFonts w:eastAsia="仿宋_GB2312"/>
          <w:szCs w:val="21"/>
          <w:highlight w:val="none"/>
        </w:rPr>
        <w:tab/>
      </w:r>
      <w:r>
        <w:rPr>
          <w:rFonts w:eastAsia="仿宋_GB2312"/>
          <w:szCs w:val="21"/>
          <w:highlight w:val="none"/>
        </w:rPr>
        <w:t>0912-2216068</w:t>
      </w:r>
      <w:r>
        <w:rPr>
          <w:rFonts w:eastAsia="仿宋_GB2312"/>
          <w:szCs w:val="21"/>
          <w:highlight w:val="none"/>
        </w:rPr>
        <w:tab/>
      </w:r>
      <w:r>
        <w:rPr>
          <w:rFonts w:eastAsia="仿宋_GB2312"/>
          <w:szCs w:val="21"/>
          <w:highlight w:val="none"/>
        </w:rPr>
        <w:t>15691269965</w:t>
      </w:r>
    </w:p>
    <w:p w14:paraId="2DE61FDE">
      <w:pPr>
        <w:ind w:firstLine="420" w:firstLineChars="200"/>
        <w:rPr>
          <w:rFonts w:eastAsia="仿宋_GB2312"/>
          <w:szCs w:val="21"/>
          <w:highlight w:val="none"/>
        </w:rPr>
      </w:pPr>
      <w:r>
        <w:rPr>
          <w:rFonts w:eastAsia="仿宋_GB2312"/>
          <w:szCs w:val="21"/>
          <w:highlight w:val="none"/>
        </w:rPr>
        <w:t>榆林分行</w:t>
      </w:r>
      <w:r>
        <w:rPr>
          <w:rFonts w:eastAsia="仿宋_GB2312"/>
          <w:szCs w:val="21"/>
          <w:highlight w:val="none"/>
        </w:rPr>
        <w:tab/>
      </w:r>
      <w:r>
        <w:rPr>
          <w:rFonts w:eastAsia="仿宋_GB2312"/>
          <w:szCs w:val="21"/>
          <w:highlight w:val="none"/>
        </w:rPr>
        <w:t>郭小东</w:t>
      </w:r>
      <w:r>
        <w:rPr>
          <w:rFonts w:eastAsia="仿宋_GB2312"/>
          <w:szCs w:val="21"/>
          <w:highlight w:val="none"/>
        </w:rPr>
        <w:tab/>
      </w:r>
      <w:r>
        <w:rPr>
          <w:rFonts w:eastAsia="仿宋_GB2312"/>
          <w:szCs w:val="21"/>
          <w:highlight w:val="none"/>
        </w:rPr>
        <w:t>公司业务部</w:t>
      </w:r>
      <w:r>
        <w:rPr>
          <w:rFonts w:eastAsia="仿宋_GB2312"/>
          <w:szCs w:val="21"/>
          <w:highlight w:val="none"/>
        </w:rPr>
        <w:tab/>
      </w:r>
      <w:r>
        <w:rPr>
          <w:rFonts w:eastAsia="仿宋_GB2312"/>
          <w:szCs w:val="21"/>
          <w:highlight w:val="none"/>
        </w:rPr>
        <w:t>0912-2216008</w:t>
      </w:r>
      <w:r>
        <w:rPr>
          <w:rFonts w:eastAsia="仿宋_GB2312"/>
          <w:szCs w:val="21"/>
          <w:highlight w:val="none"/>
        </w:rPr>
        <w:tab/>
      </w:r>
      <w:r>
        <w:rPr>
          <w:rFonts w:eastAsia="仿宋_GB2312"/>
          <w:szCs w:val="21"/>
          <w:highlight w:val="none"/>
        </w:rPr>
        <w:t>15291820586</w:t>
      </w:r>
    </w:p>
    <w:p w14:paraId="40A0B0A5">
      <w:pPr>
        <w:ind w:firstLine="420" w:firstLineChars="200"/>
        <w:rPr>
          <w:rFonts w:eastAsia="仿宋_GB2312"/>
          <w:szCs w:val="21"/>
          <w:highlight w:val="none"/>
        </w:rPr>
      </w:pPr>
      <w:r>
        <w:rPr>
          <w:rFonts w:eastAsia="仿宋_GB2312"/>
          <w:szCs w:val="21"/>
          <w:highlight w:val="none"/>
        </w:rPr>
        <w:t>宝鸡分行</w:t>
      </w:r>
      <w:r>
        <w:rPr>
          <w:rFonts w:eastAsia="仿宋_GB2312"/>
          <w:szCs w:val="21"/>
          <w:highlight w:val="none"/>
        </w:rPr>
        <w:tab/>
      </w:r>
      <w:r>
        <w:rPr>
          <w:rFonts w:eastAsia="仿宋_GB2312"/>
          <w:szCs w:val="21"/>
          <w:highlight w:val="none"/>
        </w:rPr>
        <w:t>张一岚</w:t>
      </w:r>
      <w:r>
        <w:rPr>
          <w:rFonts w:eastAsia="仿宋_GB2312"/>
          <w:szCs w:val="21"/>
          <w:highlight w:val="none"/>
        </w:rPr>
        <w:tab/>
      </w:r>
      <w:r>
        <w:rPr>
          <w:rFonts w:eastAsia="仿宋_GB2312"/>
          <w:szCs w:val="21"/>
          <w:highlight w:val="none"/>
        </w:rPr>
        <w:t>公司业务部</w:t>
      </w:r>
      <w:r>
        <w:rPr>
          <w:rFonts w:eastAsia="仿宋_GB2312"/>
          <w:szCs w:val="21"/>
          <w:highlight w:val="none"/>
        </w:rPr>
        <w:tab/>
      </w:r>
      <w:r>
        <w:rPr>
          <w:rFonts w:eastAsia="仿宋_GB2312"/>
          <w:szCs w:val="21"/>
          <w:highlight w:val="none"/>
        </w:rPr>
        <w:t xml:space="preserve">0917-8662919 </w:t>
      </w:r>
      <w:r>
        <w:rPr>
          <w:rFonts w:eastAsia="仿宋_GB2312"/>
          <w:szCs w:val="21"/>
          <w:highlight w:val="none"/>
        </w:rPr>
        <w:tab/>
      </w:r>
      <w:r>
        <w:rPr>
          <w:rFonts w:eastAsia="仿宋_GB2312"/>
          <w:szCs w:val="21"/>
          <w:highlight w:val="none"/>
        </w:rPr>
        <w:t>18690008816</w:t>
      </w:r>
    </w:p>
    <w:p w14:paraId="710606C3">
      <w:pPr>
        <w:ind w:firstLine="420" w:firstLineChars="200"/>
        <w:rPr>
          <w:rFonts w:eastAsia="仿宋_GB2312"/>
          <w:szCs w:val="21"/>
          <w:highlight w:val="none"/>
        </w:rPr>
      </w:pPr>
      <w:r>
        <w:rPr>
          <w:rFonts w:eastAsia="仿宋_GB2312"/>
          <w:szCs w:val="21"/>
          <w:highlight w:val="none"/>
        </w:rPr>
        <w:t>宝鸡分行</w:t>
      </w:r>
      <w:r>
        <w:rPr>
          <w:rFonts w:eastAsia="仿宋_GB2312"/>
          <w:szCs w:val="21"/>
          <w:highlight w:val="none"/>
        </w:rPr>
        <w:tab/>
      </w:r>
      <w:r>
        <w:rPr>
          <w:rFonts w:eastAsia="仿宋_GB2312"/>
          <w:szCs w:val="21"/>
          <w:highlight w:val="none"/>
        </w:rPr>
        <w:t>朱强</w:t>
      </w:r>
      <w:r>
        <w:rPr>
          <w:rFonts w:eastAsia="仿宋_GB2312"/>
          <w:szCs w:val="21"/>
          <w:highlight w:val="none"/>
        </w:rPr>
        <w:tab/>
      </w:r>
      <w:r>
        <w:rPr>
          <w:rFonts w:eastAsia="仿宋_GB2312"/>
          <w:szCs w:val="21"/>
          <w:highlight w:val="none"/>
        </w:rPr>
        <w:t>公司业务部</w:t>
      </w:r>
      <w:r>
        <w:rPr>
          <w:rFonts w:eastAsia="仿宋_GB2312"/>
          <w:szCs w:val="21"/>
          <w:highlight w:val="none"/>
        </w:rPr>
        <w:tab/>
      </w:r>
      <w:r>
        <w:rPr>
          <w:rFonts w:eastAsia="仿宋_GB2312"/>
          <w:szCs w:val="21"/>
          <w:highlight w:val="none"/>
        </w:rPr>
        <w:t xml:space="preserve">0917-8662926 </w:t>
      </w:r>
      <w:r>
        <w:rPr>
          <w:rFonts w:eastAsia="仿宋_GB2312"/>
          <w:szCs w:val="21"/>
          <w:highlight w:val="none"/>
        </w:rPr>
        <w:tab/>
      </w:r>
      <w:r>
        <w:rPr>
          <w:rFonts w:eastAsia="仿宋_GB2312"/>
          <w:szCs w:val="21"/>
          <w:highlight w:val="none"/>
        </w:rPr>
        <w:t>13909176381</w:t>
      </w:r>
    </w:p>
    <w:p w14:paraId="7BD1CCAA">
      <w:pPr>
        <w:ind w:firstLine="420" w:firstLineChars="200"/>
        <w:rPr>
          <w:rFonts w:eastAsia="仿宋_GB2312"/>
          <w:szCs w:val="21"/>
          <w:highlight w:val="none"/>
        </w:rPr>
      </w:pPr>
      <w:r>
        <w:rPr>
          <w:rFonts w:eastAsia="仿宋_GB2312"/>
          <w:szCs w:val="21"/>
          <w:highlight w:val="none"/>
        </w:rPr>
        <w:t>渭南分行</w:t>
      </w:r>
      <w:r>
        <w:rPr>
          <w:rFonts w:eastAsia="仿宋_GB2312"/>
          <w:szCs w:val="21"/>
          <w:highlight w:val="none"/>
        </w:rPr>
        <w:tab/>
      </w:r>
      <w:r>
        <w:rPr>
          <w:rFonts w:eastAsia="仿宋_GB2312"/>
          <w:szCs w:val="21"/>
          <w:highlight w:val="none"/>
        </w:rPr>
        <w:t>王晓峰</w:t>
      </w:r>
      <w:r>
        <w:rPr>
          <w:rFonts w:eastAsia="仿宋_GB2312"/>
          <w:szCs w:val="21"/>
          <w:highlight w:val="none"/>
        </w:rPr>
        <w:tab/>
      </w:r>
      <w:r>
        <w:rPr>
          <w:rFonts w:eastAsia="仿宋_GB2312"/>
          <w:szCs w:val="21"/>
          <w:highlight w:val="none"/>
        </w:rPr>
        <w:t>公司业务部</w:t>
      </w:r>
      <w:r>
        <w:rPr>
          <w:rFonts w:eastAsia="仿宋_GB2312"/>
          <w:szCs w:val="21"/>
          <w:highlight w:val="none"/>
        </w:rPr>
        <w:tab/>
      </w:r>
      <w:r>
        <w:rPr>
          <w:rFonts w:eastAsia="仿宋_GB2312"/>
          <w:szCs w:val="21"/>
          <w:highlight w:val="none"/>
        </w:rPr>
        <w:t>0913-3357080</w:t>
      </w:r>
      <w:r>
        <w:rPr>
          <w:rFonts w:eastAsia="仿宋_GB2312"/>
          <w:szCs w:val="21"/>
          <w:highlight w:val="none"/>
        </w:rPr>
        <w:tab/>
      </w:r>
      <w:r>
        <w:rPr>
          <w:rFonts w:eastAsia="仿宋_GB2312"/>
          <w:szCs w:val="21"/>
          <w:highlight w:val="none"/>
        </w:rPr>
        <w:t>13992363166</w:t>
      </w:r>
    </w:p>
    <w:p w14:paraId="78478256">
      <w:pPr>
        <w:ind w:firstLine="420" w:firstLineChars="200"/>
        <w:rPr>
          <w:rFonts w:eastAsia="仿宋_GB2312"/>
          <w:szCs w:val="21"/>
          <w:highlight w:val="none"/>
        </w:rPr>
      </w:pPr>
      <w:r>
        <w:rPr>
          <w:rFonts w:eastAsia="仿宋_GB2312"/>
          <w:szCs w:val="21"/>
          <w:highlight w:val="none"/>
        </w:rPr>
        <w:t>咸阳分行</w:t>
      </w:r>
      <w:r>
        <w:rPr>
          <w:rFonts w:eastAsia="仿宋_GB2312"/>
          <w:szCs w:val="21"/>
          <w:highlight w:val="none"/>
        </w:rPr>
        <w:tab/>
      </w:r>
      <w:r>
        <w:rPr>
          <w:rFonts w:eastAsia="仿宋_GB2312"/>
          <w:szCs w:val="21"/>
          <w:highlight w:val="none"/>
        </w:rPr>
        <w:t>薛晗</w:t>
      </w:r>
      <w:r>
        <w:rPr>
          <w:rFonts w:eastAsia="仿宋_GB2312"/>
          <w:szCs w:val="21"/>
          <w:highlight w:val="none"/>
        </w:rPr>
        <w:tab/>
      </w:r>
      <w:r>
        <w:rPr>
          <w:rFonts w:eastAsia="仿宋_GB2312"/>
          <w:szCs w:val="21"/>
          <w:highlight w:val="none"/>
        </w:rPr>
        <w:t>公司业务部</w:t>
      </w:r>
      <w:r>
        <w:rPr>
          <w:rFonts w:eastAsia="仿宋_GB2312"/>
          <w:szCs w:val="21"/>
          <w:highlight w:val="none"/>
        </w:rPr>
        <w:tab/>
      </w:r>
      <w:r>
        <w:rPr>
          <w:rFonts w:eastAsia="仿宋_GB2312"/>
          <w:szCs w:val="21"/>
          <w:highlight w:val="none"/>
        </w:rPr>
        <w:t>029-32083788</w:t>
      </w:r>
      <w:r>
        <w:rPr>
          <w:rFonts w:eastAsia="仿宋_GB2312"/>
          <w:szCs w:val="21"/>
          <w:highlight w:val="none"/>
        </w:rPr>
        <w:tab/>
      </w:r>
      <w:r>
        <w:rPr>
          <w:rFonts w:eastAsia="仿宋_GB2312"/>
          <w:szCs w:val="21"/>
          <w:highlight w:val="none"/>
        </w:rPr>
        <w:t>15109226216</w:t>
      </w:r>
    </w:p>
    <w:p w14:paraId="209003BF">
      <w:pPr>
        <w:rPr>
          <w:rFonts w:eastAsia="仿宋_GB2312"/>
          <w:szCs w:val="21"/>
          <w:highlight w:val="none"/>
        </w:rPr>
      </w:pPr>
    </w:p>
    <w:p w14:paraId="55AB6FFD">
      <w:pPr>
        <w:rPr>
          <w:rFonts w:eastAsia="仿宋_GB2312"/>
          <w:b/>
          <w:szCs w:val="21"/>
          <w:highlight w:val="none"/>
        </w:rPr>
      </w:pPr>
      <w:r>
        <w:rPr>
          <w:rFonts w:eastAsia="仿宋_GB2312"/>
          <w:b/>
          <w:szCs w:val="21"/>
          <w:highlight w:val="none"/>
        </w:rPr>
        <w:t>七、兴业银行（政采贷）</w:t>
      </w:r>
    </w:p>
    <w:p w14:paraId="41255761">
      <w:pPr>
        <w:ind w:firstLine="420" w:firstLineChars="200"/>
        <w:rPr>
          <w:rFonts w:eastAsia="仿宋_GB2312"/>
          <w:szCs w:val="21"/>
          <w:highlight w:val="none"/>
        </w:rPr>
      </w:pPr>
      <w:r>
        <w:rPr>
          <w:rFonts w:eastAsia="仿宋_GB2312"/>
          <w:szCs w:val="21"/>
          <w:highlight w:val="none"/>
        </w:rPr>
        <w:t>西安分行</w:t>
      </w:r>
      <w:r>
        <w:rPr>
          <w:rFonts w:eastAsia="仿宋_GB2312"/>
          <w:szCs w:val="21"/>
          <w:highlight w:val="none"/>
        </w:rPr>
        <w:tab/>
      </w:r>
      <w:r>
        <w:rPr>
          <w:rFonts w:eastAsia="仿宋_GB2312"/>
          <w:szCs w:val="21"/>
          <w:highlight w:val="none"/>
        </w:rPr>
        <w:t>朱靖</w:t>
      </w:r>
      <w:r>
        <w:rPr>
          <w:rFonts w:eastAsia="仿宋_GB2312"/>
          <w:szCs w:val="21"/>
          <w:highlight w:val="none"/>
        </w:rPr>
        <w:tab/>
      </w:r>
      <w:r>
        <w:rPr>
          <w:rFonts w:eastAsia="仿宋_GB2312"/>
          <w:szCs w:val="21"/>
          <w:highlight w:val="none"/>
        </w:rPr>
        <w:t>总监</w:t>
      </w:r>
      <w:r>
        <w:rPr>
          <w:rFonts w:eastAsia="仿宋_GB2312"/>
          <w:szCs w:val="21"/>
          <w:highlight w:val="none"/>
        </w:rPr>
        <w:tab/>
      </w:r>
      <w:r>
        <w:rPr>
          <w:rFonts w:eastAsia="仿宋_GB2312"/>
          <w:szCs w:val="21"/>
          <w:highlight w:val="none"/>
        </w:rPr>
        <w:t>029-87482998</w:t>
      </w:r>
      <w:r>
        <w:rPr>
          <w:rFonts w:eastAsia="仿宋_GB2312"/>
          <w:szCs w:val="21"/>
          <w:highlight w:val="none"/>
        </w:rPr>
        <w:tab/>
      </w:r>
      <w:r>
        <w:rPr>
          <w:rFonts w:eastAsia="仿宋_GB2312"/>
          <w:szCs w:val="21"/>
          <w:highlight w:val="none"/>
        </w:rPr>
        <w:t>13363979983</w:t>
      </w:r>
    </w:p>
    <w:p w14:paraId="06AE2B52">
      <w:pPr>
        <w:rPr>
          <w:rFonts w:eastAsia="仿宋_GB2312"/>
          <w:b/>
          <w:szCs w:val="21"/>
          <w:highlight w:val="none"/>
        </w:rPr>
      </w:pPr>
      <w:r>
        <w:rPr>
          <w:rFonts w:eastAsia="仿宋_GB2312"/>
          <w:b/>
          <w:szCs w:val="21"/>
          <w:highlight w:val="none"/>
        </w:rPr>
        <w:t>八、中国民生银行（政采贷）</w:t>
      </w:r>
    </w:p>
    <w:p w14:paraId="7712A88E">
      <w:pPr>
        <w:ind w:left="2310" w:leftChars="200" w:hanging="1890" w:hangingChars="900"/>
        <w:rPr>
          <w:rFonts w:eastAsia="仿宋_GB2312"/>
          <w:szCs w:val="21"/>
          <w:highlight w:val="none"/>
        </w:rPr>
      </w:pPr>
      <w:r>
        <w:rPr>
          <w:rFonts w:eastAsia="仿宋_GB2312"/>
          <w:szCs w:val="21"/>
          <w:highlight w:val="none"/>
        </w:rPr>
        <w:t>民生银行西安分行  联系人：陈经理 联系电话：61815275 /18821669199</w:t>
      </w:r>
    </w:p>
    <w:p w14:paraId="47967329">
      <w:pPr>
        <w:ind w:left="2310" w:leftChars="200" w:hanging="1890" w:hangingChars="900"/>
        <w:rPr>
          <w:rFonts w:eastAsia="仿宋_GB2312"/>
          <w:szCs w:val="21"/>
          <w:highlight w:val="none"/>
        </w:rPr>
      </w:pPr>
      <w:r>
        <w:rPr>
          <w:rFonts w:eastAsia="仿宋_GB2312"/>
          <w:szCs w:val="21"/>
          <w:highlight w:val="none"/>
        </w:rPr>
        <w:t xml:space="preserve">联系人：王经理 联系电话：61815280 /18591953690 </w:t>
      </w:r>
    </w:p>
    <w:p w14:paraId="4AA9CB89">
      <w:pPr>
        <w:rPr>
          <w:rFonts w:eastAsia="仿宋_GB2312"/>
          <w:b/>
          <w:szCs w:val="21"/>
          <w:highlight w:val="none"/>
        </w:rPr>
      </w:pPr>
      <w:r>
        <w:rPr>
          <w:rFonts w:eastAsia="仿宋_GB2312"/>
          <w:b/>
          <w:szCs w:val="21"/>
          <w:highlight w:val="none"/>
        </w:rPr>
        <w:t>九、浙商银行 （政采贷）</w:t>
      </w:r>
    </w:p>
    <w:p w14:paraId="5752B7A3">
      <w:pPr>
        <w:ind w:firstLine="420" w:firstLineChars="200"/>
        <w:rPr>
          <w:rFonts w:eastAsia="仿宋_GB2312"/>
          <w:szCs w:val="21"/>
          <w:highlight w:val="none"/>
        </w:rPr>
      </w:pPr>
      <w:r>
        <w:rPr>
          <w:rFonts w:eastAsia="仿宋_GB2312"/>
          <w:szCs w:val="21"/>
          <w:highlight w:val="none"/>
        </w:rPr>
        <w:t>西安分行</w:t>
      </w:r>
      <w:r>
        <w:rPr>
          <w:rFonts w:eastAsia="仿宋_GB2312"/>
          <w:szCs w:val="21"/>
          <w:highlight w:val="none"/>
        </w:rPr>
        <w:tab/>
      </w:r>
      <w:r>
        <w:rPr>
          <w:rFonts w:eastAsia="仿宋_GB2312"/>
          <w:szCs w:val="21"/>
          <w:highlight w:val="none"/>
        </w:rPr>
        <w:t>西安市雁塔区科技路259号</w:t>
      </w:r>
      <w:r>
        <w:rPr>
          <w:rFonts w:eastAsia="仿宋_GB2312"/>
          <w:szCs w:val="21"/>
          <w:highlight w:val="none"/>
        </w:rPr>
        <w:tab/>
      </w:r>
      <w:r>
        <w:rPr>
          <w:rFonts w:eastAsia="仿宋_GB2312"/>
          <w:szCs w:val="21"/>
          <w:highlight w:val="none"/>
        </w:rPr>
        <w:t>曹金辉</w:t>
      </w:r>
      <w:r>
        <w:rPr>
          <w:rFonts w:eastAsia="仿宋_GB2312"/>
          <w:szCs w:val="21"/>
          <w:highlight w:val="none"/>
        </w:rPr>
        <w:tab/>
      </w:r>
      <w:r>
        <w:rPr>
          <w:rFonts w:eastAsia="仿宋_GB2312"/>
          <w:szCs w:val="21"/>
          <w:highlight w:val="none"/>
        </w:rPr>
        <w:t>18710993980</w:t>
      </w:r>
    </w:p>
    <w:p w14:paraId="2F1AD2A7">
      <w:pPr>
        <w:rPr>
          <w:rFonts w:eastAsia="仿宋_GB2312"/>
          <w:b/>
          <w:szCs w:val="21"/>
          <w:highlight w:val="none"/>
        </w:rPr>
      </w:pPr>
      <w:r>
        <w:rPr>
          <w:rFonts w:eastAsia="仿宋_GB2312"/>
          <w:b/>
          <w:szCs w:val="21"/>
          <w:highlight w:val="none"/>
        </w:rPr>
        <w:t xml:space="preserve">十、 招商银行（政采贷） </w:t>
      </w:r>
    </w:p>
    <w:p w14:paraId="2E4D7F3D">
      <w:pPr>
        <w:ind w:firstLine="420" w:firstLineChars="200"/>
        <w:rPr>
          <w:rFonts w:eastAsia="仿宋_GB2312"/>
          <w:szCs w:val="21"/>
          <w:highlight w:val="none"/>
        </w:rPr>
      </w:pPr>
      <w:r>
        <w:rPr>
          <w:rFonts w:eastAsia="仿宋_GB2312"/>
          <w:szCs w:val="21"/>
          <w:highlight w:val="none"/>
        </w:rPr>
        <w:t>招商银行西安分行   联系人：任瑾；85438988</w:t>
      </w:r>
    </w:p>
    <w:p w14:paraId="0445F2FB">
      <w:pPr>
        <w:rPr>
          <w:rFonts w:eastAsia="仿宋_GB2312"/>
          <w:b/>
          <w:szCs w:val="21"/>
          <w:highlight w:val="none"/>
        </w:rPr>
      </w:pPr>
      <w:r>
        <w:rPr>
          <w:rFonts w:eastAsia="仿宋_GB2312"/>
          <w:b/>
          <w:szCs w:val="21"/>
          <w:highlight w:val="none"/>
        </w:rPr>
        <w:t xml:space="preserve">十一、 长安银行（小微贷） </w:t>
      </w:r>
    </w:p>
    <w:p w14:paraId="105D2853">
      <w:pPr>
        <w:ind w:firstLine="420" w:firstLineChars="200"/>
        <w:rPr>
          <w:rFonts w:eastAsia="仿宋_GB2312"/>
          <w:szCs w:val="21"/>
          <w:highlight w:val="none"/>
        </w:rPr>
      </w:pPr>
      <w:r>
        <w:rPr>
          <w:rFonts w:eastAsia="仿宋_GB2312"/>
          <w:szCs w:val="21"/>
          <w:highlight w:val="none"/>
        </w:rPr>
        <w:t xml:space="preserve">长安银行西安曲江新区支行 地址：西安市曲江新区雁南一路3号  </w:t>
      </w:r>
    </w:p>
    <w:p w14:paraId="5226A68B">
      <w:pPr>
        <w:ind w:firstLine="420" w:firstLineChars="200"/>
        <w:rPr>
          <w:rFonts w:eastAsia="仿宋_GB2312"/>
          <w:szCs w:val="21"/>
          <w:highlight w:val="none"/>
        </w:rPr>
      </w:pPr>
      <w:r>
        <w:rPr>
          <w:rFonts w:eastAsia="仿宋_GB2312"/>
          <w:szCs w:val="21"/>
          <w:highlight w:val="none"/>
        </w:rPr>
        <w:t xml:space="preserve">联系人：陈瑶 13629266833 </w:t>
      </w:r>
    </w:p>
    <w:p w14:paraId="5DFA04A7">
      <w:pPr>
        <w:rPr>
          <w:rFonts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十二、网商银行（合同贷）</w:t>
      </w:r>
    </w:p>
    <w:p w14:paraId="15C7C1A5">
      <w:pPr>
        <w:rPr>
          <w:rFonts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十三、中国邮政储蓄银行陕西省分行（政采贷）</w:t>
      </w:r>
    </w:p>
    <w:p w14:paraId="59533A26">
      <w:pPr>
        <w:pStyle w:val="22"/>
        <w:tabs>
          <w:tab w:val="left" w:pos="567"/>
        </w:tabs>
        <w:rPr>
          <w:rFonts w:ascii="仿宋_GB2312" w:hAnsi="仿宋_GB2312" w:eastAsia="仿宋_GB2312" w:cs="仿宋_GB2312"/>
          <w:szCs w:val="21"/>
          <w:highlight w:val="none"/>
        </w:rPr>
      </w:pPr>
    </w:p>
    <w:p w14:paraId="6A1F82EA">
      <w:pPr>
        <w:pStyle w:val="22"/>
        <w:tabs>
          <w:tab w:val="left" w:pos="567"/>
        </w:tabs>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渭南市政府采购贷款银行信息：</w:t>
      </w:r>
    </w:p>
    <w:tbl>
      <w:tblPr>
        <w:tblStyle w:val="50"/>
        <w:tblW w:w="4998" w:type="pct"/>
        <w:tblInd w:w="0" w:type="dxa"/>
        <w:tblLayout w:type="autofit"/>
        <w:tblCellMar>
          <w:top w:w="0" w:type="dxa"/>
          <w:left w:w="108" w:type="dxa"/>
          <w:bottom w:w="0" w:type="dxa"/>
          <w:right w:w="108" w:type="dxa"/>
        </w:tblCellMar>
      </w:tblPr>
      <w:tblGrid>
        <w:gridCol w:w="1330"/>
        <w:gridCol w:w="2210"/>
        <w:gridCol w:w="2871"/>
        <w:gridCol w:w="2871"/>
      </w:tblGrid>
      <w:tr w14:paraId="447C1D28">
        <w:tblPrEx>
          <w:tblCellMar>
            <w:top w:w="0" w:type="dxa"/>
            <w:left w:w="108" w:type="dxa"/>
            <w:bottom w:w="0" w:type="dxa"/>
            <w:right w:w="108" w:type="dxa"/>
          </w:tblCellMar>
        </w:tblPrEx>
        <w:trPr>
          <w:trHeight w:val="558" w:hRule="atLeast"/>
        </w:trPr>
        <w:tc>
          <w:tcPr>
            <w:tcW w:w="716" w:type="pct"/>
            <w:tcBorders>
              <w:top w:val="single" w:color="000000" w:sz="4" w:space="0"/>
              <w:left w:val="single" w:color="000000" w:sz="4" w:space="0"/>
              <w:bottom w:val="single" w:color="000000" w:sz="4" w:space="0"/>
              <w:right w:val="single" w:color="000000" w:sz="4" w:space="0"/>
            </w:tcBorders>
            <w:noWrap/>
            <w:vAlign w:val="center"/>
          </w:tcPr>
          <w:p w14:paraId="72BDD0EA">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序号</w:t>
            </w:r>
          </w:p>
        </w:tc>
        <w:tc>
          <w:tcPr>
            <w:tcW w:w="1190" w:type="pct"/>
            <w:tcBorders>
              <w:top w:val="single" w:color="000000" w:sz="4" w:space="0"/>
              <w:left w:val="single" w:color="000000" w:sz="4" w:space="0"/>
              <w:bottom w:val="single" w:color="000000" w:sz="4" w:space="0"/>
              <w:right w:val="single" w:color="000000" w:sz="4" w:space="0"/>
            </w:tcBorders>
            <w:noWrap/>
            <w:vAlign w:val="center"/>
          </w:tcPr>
          <w:p w14:paraId="4C550FA0">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单位名称</w:t>
            </w:r>
          </w:p>
        </w:tc>
        <w:tc>
          <w:tcPr>
            <w:tcW w:w="1546" w:type="pct"/>
            <w:tcBorders>
              <w:top w:val="single" w:color="000000" w:sz="4" w:space="0"/>
              <w:left w:val="single" w:color="000000" w:sz="4" w:space="0"/>
              <w:bottom w:val="single" w:color="000000" w:sz="4" w:space="0"/>
              <w:right w:val="single" w:color="000000" w:sz="4" w:space="0"/>
            </w:tcBorders>
            <w:noWrap/>
            <w:vAlign w:val="center"/>
          </w:tcPr>
          <w:p w14:paraId="02C0F80B">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联系人</w:t>
            </w:r>
          </w:p>
        </w:tc>
        <w:tc>
          <w:tcPr>
            <w:tcW w:w="1546" w:type="pct"/>
            <w:tcBorders>
              <w:top w:val="single" w:color="000000" w:sz="4" w:space="0"/>
              <w:left w:val="single" w:color="000000" w:sz="4" w:space="0"/>
              <w:bottom w:val="single" w:color="000000" w:sz="4" w:space="0"/>
              <w:right w:val="single" w:color="000000" w:sz="4" w:space="0"/>
            </w:tcBorders>
            <w:noWrap/>
            <w:vAlign w:val="center"/>
          </w:tcPr>
          <w:p w14:paraId="1AFB56D4">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联系电话</w:t>
            </w:r>
          </w:p>
        </w:tc>
      </w:tr>
      <w:tr w14:paraId="49FD0163">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0F1D86F5">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1</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3F3887D4">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建设银行</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4F3CA391">
            <w:pPr>
              <w:widowControl/>
              <w:spacing w:line="240" w:lineRule="exact"/>
              <w:jc w:val="center"/>
              <w:textAlignment w:val="top"/>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郭煜庆 田宇</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32129957">
            <w:pPr>
              <w:widowControl/>
              <w:spacing w:line="240" w:lineRule="exact"/>
              <w:jc w:val="center"/>
              <w:textAlignment w:val="top"/>
              <w:rPr>
                <w:rFonts w:ascii="仿宋_GB2312" w:hAnsi="仿宋_GB2312" w:eastAsia="仿宋_GB2312" w:cs="仿宋_GB2312"/>
                <w:kern w:val="0"/>
                <w:szCs w:val="21"/>
                <w:highlight w:val="none"/>
                <w:lang w:bidi="ar"/>
              </w:rPr>
            </w:pPr>
            <w:r>
              <w:rPr>
                <w:rFonts w:hint="eastAsia" w:ascii="仿宋_GB2312" w:hAnsi="仿宋_GB2312" w:eastAsia="仿宋_GB2312" w:cs="仿宋_GB2312"/>
                <w:kern w:val="0"/>
                <w:szCs w:val="21"/>
                <w:highlight w:val="none"/>
                <w:lang w:bidi="ar"/>
              </w:rPr>
              <w:t>13892535580</w:t>
            </w:r>
          </w:p>
          <w:p w14:paraId="500ED337">
            <w:pPr>
              <w:widowControl/>
              <w:spacing w:line="240" w:lineRule="exact"/>
              <w:jc w:val="center"/>
              <w:textAlignment w:val="top"/>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17797059890</w:t>
            </w:r>
          </w:p>
        </w:tc>
      </w:tr>
      <w:tr w14:paraId="15C7DBE4">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7724D873">
            <w:pPr>
              <w:spacing w:line="240" w:lineRule="exact"/>
              <w:jc w:val="center"/>
              <w:rPr>
                <w:rFonts w:ascii="仿宋_GB2312" w:hAnsi="仿宋_GB2312" w:eastAsia="仿宋_GB2312" w:cs="仿宋_GB2312"/>
                <w:szCs w:val="21"/>
                <w:highlight w:val="none"/>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534B5BD0">
            <w:pPr>
              <w:spacing w:line="240" w:lineRule="exact"/>
              <w:jc w:val="center"/>
              <w:rPr>
                <w:rFonts w:ascii="仿宋_GB2312" w:hAnsi="仿宋_GB2312" w:eastAsia="仿宋_GB2312" w:cs="仿宋_GB2312"/>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2D1B5B95">
            <w:pPr>
              <w:spacing w:line="240" w:lineRule="exact"/>
              <w:jc w:val="center"/>
              <w:rPr>
                <w:rFonts w:ascii="仿宋_GB2312" w:hAnsi="仿宋_GB2312" w:eastAsia="仿宋_GB2312" w:cs="仿宋_GB2312"/>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71AA44C7">
            <w:pPr>
              <w:spacing w:line="240" w:lineRule="exact"/>
              <w:jc w:val="center"/>
              <w:rPr>
                <w:rFonts w:ascii="仿宋_GB2312" w:hAnsi="仿宋_GB2312" w:eastAsia="仿宋_GB2312" w:cs="仿宋_GB2312"/>
                <w:szCs w:val="21"/>
                <w:highlight w:val="none"/>
              </w:rPr>
            </w:pPr>
          </w:p>
        </w:tc>
      </w:tr>
      <w:tr w14:paraId="164CC7F0">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42F06F5C">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2</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159E8F20">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浦发银行</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1C46C9A6">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孙哲龙 蒙波</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45597BD3">
            <w:pPr>
              <w:widowControl/>
              <w:spacing w:line="240" w:lineRule="exact"/>
              <w:jc w:val="center"/>
              <w:textAlignment w:val="center"/>
              <w:rPr>
                <w:rFonts w:ascii="仿宋_GB2312" w:hAnsi="仿宋_GB2312" w:eastAsia="仿宋_GB2312" w:cs="仿宋_GB2312"/>
                <w:kern w:val="0"/>
                <w:szCs w:val="21"/>
                <w:highlight w:val="none"/>
                <w:lang w:bidi="ar"/>
              </w:rPr>
            </w:pPr>
            <w:r>
              <w:rPr>
                <w:rFonts w:hint="eastAsia" w:ascii="仿宋_GB2312" w:hAnsi="仿宋_GB2312" w:eastAsia="仿宋_GB2312" w:cs="仿宋_GB2312"/>
                <w:kern w:val="0"/>
                <w:szCs w:val="21"/>
                <w:highlight w:val="none"/>
                <w:lang w:bidi="ar"/>
              </w:rPr>
              <w:t>13892383911</w:t>
            </w:r>
          </w:p>
          <w:p w14:paraId="79D706A2">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15249035320</w:t>
            </w:r>
          </w:p>
        </w:tc>
      </w:tr>
      <w:tr w14:paraId="663C9BC1">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5F3E91CD">
            <w:pPr>
              <w:spacing w:line="240" w:lineRule="exact"/>
              <w:jc w:val="center"/>
              <w:rPr>
                <w:rFonts w:ascii="仿宋_GB2312" w:hAnsi="仿宋_GB2312" w:eastAsia="仿宋_GB2312" w:cs="仿宋_GB2312"/>
                <w:szCs w:val="21"/>
                <w:highlight w:val="none"/>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1F41BB37">
            <w:pPr>
              <w:spacing w:line="240" w:lineRule="exact"/>
              <w:jc w:val="center"/>
              <w:rPr>
                <w:rFonts w:ascii="仿宋_GB2312" w:hAnsi="仿宋_GB2312" w:eastAsia="仿宋_GB2312" w:cs="仿宋_GB2312"/>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1DB2D911">
            <w:pPr>
              <w:spacing w:line="240" w:lineRule="exact"/>
              <w:jc w:val="center"/>
              <w:rPr>
                <w:rFonts w:ascii="仿宋_GB2312" w:hAnsi="仿宋_GB2312" w:eastAsia="仿宋_GB2312" w:cs="仿宋_GB2312"/>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612250CB">
            <w:pPr>
              <w:spacing w:line="240" w:lineRule="exact"/>
              <w:jc w:val="center"/>
              <w:rPr>
                <w:rFonts w:ascii="仿宋_GB2312" w:hAnsi="仿宋_GB2312" w:eastAsia="仿宋_GB2312" w:cs="仿宋_GB2312"/>
                <w:szCs w:val="21"/>
                <w:highlight w:val="none"/>
              </w:rPr>
            </w:pPr>
          </w:p>
        </w:tc>
      </w:tr>
      <w:tr w14:paraId="7EFE21A6">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2BEF7866">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3</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1CA311DE">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中信银行</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0ED529F6">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杨洋 耿浩</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11EF841D">
            <w:pPr>
              <w:widowControl/>
              <w:spacing w:line="240" w:lineRule="exact"/>
              <w:jc w:val="center"/>
              <w:textAlignment w:val="center"/>
              <w:rPr>
                <w:rFonts w:ascii="仿宋_GB2312" w:hAnsi="仿宋_GB2312" w:eastAsia="仿宋_GB2312" w:cs="仿宋_GB2312"/>
                <w:kern w:val="0"/>
                <w:szCs w:val="21"/>
                <w:highlight w:val="none"/>
                <w:lang w:bidi="ar"/>
              </w:rPr>
            </w:pPr>
            <w:r>
              <w:rPr>
                <w:rFonts w:hint="eastAsia" w:ascii="仿宋_GB2312" w:hAnsi="仿宋_GB2312" w:eastAsia="仿宋_GB2312" w:cs="仿宋_GB2312"/>
                <w:kern w:val="0"/>
                <w:szCs w:val="21"/>
                <w:highlight w:val="none"/>
                <w:lang w:bidi="ar"/>
              </w:rPr>
              <w:t>18191815559</w:t>
            </w:r>
          </w:p>
          <w:p w14:paraId="18C4D9A6">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13193388328</w:t>
            </w:r>
          </w:p>
        </w:tc>
      </w:tr>
      <w:tr w14:paraId="7689F95B">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164DDEC7">
            <w:pPr>
              <w:spacing w:line="240" w:lineRule="exact"/>
              <w:jc w:val="center"/>
              <w:rPr>
                <w:rFonts w:ascii="仿宋_GB2312" w:hAnsi="仿宋_GB2312" w:eastAsia="仿宋_GB2312" w:cs="仿宋_GB2312"/>
                <w:szCs w:val="21"/>
                <w:highlight w:val="none"/>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370596D4">
            <w:pPr>
              <w:spacing w:line="240" w:lineRule="exact"/>
              <w:jc w:val="center"/>
              <w:rPr>
                <w:rFonts w:ascii="仿宋_GB2312" w:hAnsi="仿宋_GB2312" w:eastAsia="仿宋_GB2312" w:cs="仿宋_GB2312"/>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448DC3AA">
            <w:pPr>
              <w:spacing w:line="240" w:lineRule="exact"/>
              <w:jc w:val="center"/>
              <w:rPr>
                <w:rFonts w:ascii="仿宋_GB2312" w:hAnsi="仿宋_GB2312" w:eastAsia="仿宋_GB2312" w:cs="仿宋_GB2312"/>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74D609A0">
            <w:pPr>
              <w:spacing w:line="240" w:lineRule="exact"/>
              <w:jc w:val="center"/>
              <w:rPr>
                <w:rFonts w:ascii="仿宋_GB2312" w:hAnsi="仿宋_GB2312" w:eastAsia="仿宋_GB2312" w:cs="仿宋_GB2312"/>
                <w:szCs w:val="21"/>
                <w:highlight w:val="none"/>
              </w:rPr>
            </w:pPr>
          </w:p>
        </w:tc>
      </w:tr>
      <w:tr w14:paraId="6B3A57B4">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01BF8041">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4</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13B3A28A">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兴业银行</w:t>
            </w:r>
          </w:p>
        </w:tc>
        <w:tc>
          <w:tcPr>
            <w:tcW w:w="1546" w:type="pct"/>
            <w:vMerge w:val="restart"/>
            <w:tcBorders>
              <w:top w:val="single" w:color="000000" w:sz="4" w:space="0"/>
              <w:left w:val="single" w:color="000000" w:sz="4" w:space="0"/>
              <w:bottom w:val="single" w:color="000000" w:sz="4" w:space="0"/>
              <w:right w:val="single" w:color="000000" w:sz="4" w:space="0"/>
            </w:tcBorders>
            <w:noWrap/>
            <w:vAlign w:val="center"/>
          </w:tcPr>
          <w:p w14:paraId="793EC7D6">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权奥星</w:t>
            </w:r>
          </w:p>
        </w:tc>
        <w:tc>
          <w:tcPr>
            <w:tcW w:w="1546" w:type="pct"/>
            <w:vMerge w:val="restart"/>
            <w:tcBorders>
              <w:top w:val="single" w:color="000000" w:sz="4" w:space="0"/>
              <w:left w:val="single" w:color="000000" w:sz="4" w:space="0"/>
              <w:bottom w:val="single" w:color="000000" w:sz="4" w:space="0"/>
              <w:right w:val="single" w:color="000000" w:sz="4" w:space="0"/>
            </w:tcBorders>
            <w:noWrap/>
            <w:vAlign w:val="center"/>
          </w:tcPr>
          <w:p w14:paraId="172BC3CB">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15706090239</w:t>
            </w:r>
          </w:p>
        </w:tc>
      </w:tr>
      <w:tr w14:paraId="637C57A6">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0A7D746B">
            <w:pPr>
              <w:spacing w:line="240" w:lineRule="exact"/>
              <w:jc w:val="center"/>
              <w:rPr>
                <w:rFonts w:ascii="仿宋_GB2312" w:hAnsi="仿宋_GB2312" w:eastAsia="仿宋_GB2312" w:cs="仿宋_GB2312"/>
                <w:szCs w:val="21"/>
                <w:highlight w:val="none"/>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279BEA42">
            <w:pPr>
              <w:spacing w:line="240" w:lineRule="exact"/>
              <w:jc w:val="center"/>
              <w:rPr>
                <w:rFonts w:ascii="仿宋_GB2312" w:hAnsi="仿宋_GB2312" w:eastAsia="仿宋_GB2312" w:cs="仿宋_GB2312"/>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noWrap/>
            <w:vAlign w:val="center"/>
          </w:tcPr>
          <w:p w14:paraId="05582837">
            <w:pPr>
              <w:spacing w:line="240" w:lineRule="exact"/>
              <w:jc w:val="center"/>
              <w:rPr>
                <w:rFonts w:ascii="仿宋_GB2312" w:hAnsi="仿宋_GB2312" w:eastAsia="仿宋_GB2312" w:cs="仿宋_GB2312"/>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noWrap/>
            <w:vAlign w:val="center"/>
          </w:tcPr>
          <w:p w14:paraId="4103438C">
            <w:pPr>
              <w:spacing w:line="240" w:lineRule="exact"/>
              <w:jc w:val="center"/>
              <w:rPr>
                <w:rFonts w:ascii="仿宋_GB2312" w:hAnsi="仿宋_GB2312" w:eastAsia="仿宋_GB2312" w:cs="仿宋_GB2312"/>
                <w:szCs w:val="21"/>
                <w:highlight w:val="none"/>
              </w:rPr>
            </w:pPr>
          </w:p>
        </w:tc>
      </w:tr>
      <w:tr w14:paraId="498C7E49">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443E89B4">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5</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340922BC">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工商银行</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30C4A591">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张剑 张欢</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527F7DE9">
            <w:pPr>
              <w:widowControl/>
              <w:spacing w:line="240" w:lineRule="exact"/>
              <w:jc w:val="center"/>
              <w:textAlignment w:val="center"/>
              <w:rPr>
                <w:rFonts w:ascii="仿宋_GB2312" w:hAnsi="仿宋_GB2312" w:eastAsia="仿宋_GB2312" w:cs="仿宋_GB2312"/>
                <w:kern w:val="0"/>
                <w:szCs w:val="21"/>
                <w:highlight w:val="none"/>
                <w:lang w:bidi="ar"/>
              </w:rPr>
            </w:pPr>
            <w:r>
              <w:rPr>
                <w:rFonts w:hint="eastAsia" w:ascii="仿宋_GB2312" w:hAnsi="仿宋_GB2312" w:eastAsia="仿宋_GB2312" w:cs="仿宋_GB2312"/>
                <w:kern w:val="0"/>
                <w:szCs w:val="21"/>
                <w:highlight w:val="none"/>
                <w:lang w:bidi="ar"/>
              </w:rPr>
              <w:t>18191356300</w:t>
            </w:r>
          </w:p>
          <w:p w14:paraId="5C523ED3">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15229730006</w:t>
            </w:r>
          </w:p>
        </w:tc>
      </w:tr>
      <w:tr w14:paraId="3D00DC99">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6B24C400">
            <w:pPr>
              <w:spacing w:line="240" w:lineRule="exact"/>
              <w:jc w:val="center"/>
              <w:rPr>
                <w:rFonts w:ascii="仿宋_GB2312" w:hAnsi="仿宋_GB2312" w:eastAsia="仿宋_GB2312" w:cs="仿宋_GB2312"/>
                <w:szCs w:val="21"/>
                <w:highlight w:val="none"/>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3D596315">
            <w:pPr>
              <w:spacing w:line="240" w:lineRule="exact"/>
              <w:jc w:val="center"/>
              <w:rPr>
                <w:rFonts w:ascii="仿宋_GB2312" w:hAnsi="仿宋_GB2312" w:eastAsia="仿宋_GB2312" w:cs="仿宋_GB2312"/>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04281122">
            <w:pPr>
              <w:spacing w:line="240" w:lineRule="exact"/>
              <w:jc w:val="center"/>
              <w:rPr>
                <w:rFonts w:ascii="仿宋_GB2312" w:hAnsi="仿宋_GB2312" w:eastAsia="仿宋_GB2312" w:cs="仿宋_GB2312"/>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5F551039">
            <w:pPr>
              <w:spacing w:line="240" w:lineRule="exact"/>
              <w:jc w:val="center"/>
              <w:rPr>
                <w:rFonts w:ascii="仿宋_GB2312" w:hAnsi="仿宋_GB2312" w:eastAsia="仿宋_GB2312" w:cs="仿宋_GB2312"/>
                <w:szCs w:val="21"/>
                <w:highlight w:val="none"/>
              </w:rPr>
            </w:pPr>
          </w:p>
        </w:tc>
      </w:tr>
      <w:tr w14:paraId="1D7F9397">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6A6CC588">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6</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037A73F5">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长安银行</w:t>
            </w:r>
          </w:p>
        </w:tc>
        <w:tc>
          <w:tcPr>
            <w:tcW w:w="1546" w:type="pct"/>
            <w:vMerge w:val="restart"/>
            <w:tcBorders>
              <w:top w:val="single" w:color="000000" w:sz="4" w:space="0"/>
              <w:left w:val="single" w:color="000000" w:sz="4" w:space="0"/>
              <w:bottom w:val="single" w:color="000000" w:sz="4" w:space="0"/>
              <w:right w:val="single" w:color="000000" w:sz="4" w:space="0"/>
            </w:tcBorders>
            <w:noWrap/>
            <w:vAlign w:val="center"/>
          </w:tcPr>
          <w:p w14:paraId="130A6762">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李华</w:t>
            </w:r>
          </w:p>
        </w:tc>
        <w:tc>
          <w:tcPr>
            <w:tcW w:w="1546" w:type="pct"/>
            <w:vMerge w:val="restart"/>
            <w:tcBorders>
              <w:top w:val="single" w:color="000000" w:sz="4" w:space="0"/>
              <w:left w:val="single" w:color="000000" w:sz="4" w:space="0"/>
              <w:bottom w:val="single" w:color="000000" w:sz="4" w:space="0"/>
              <w:right w:val="single" w:color="000000" w:sz="4" w:space="0"/>
            </w:tcBorders>
            <w:noWrap/>
            <w:vAlign w:val="center"/>
          </w:tcPr>
          <w:p w14:paraId="6B6DEE73">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13335331958</w:t>
            </w:r>
          </w:p>
        </w:tc>
      </w:tr>
      <w:tr w14:paraId="4ADEF8E2">
        <w:tblPrEx>
          <w:tblCellMar>
            <w:top w:w="0" w:type="dxa"/>
            <w:left w:w="108" w:type="dxa"/>
            <w:bottom w:w="0" w:type="dxa"/>
            <w:right w:w="108" w:type="dxa"/>
          </w:tblCellMar>
        </w:tblPrEx>
        <w:trPr>
          <w:trHeight w:val="312"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4BB4D097">
            <w:pPr>
              <w:spacing w:line="240" w:lineRule="exact"/>
              <w:jc w:val="center"/>
              <w:rPr>
                <w:rFonts w:ascii="仿宋_GB2312" w:hAnsi="仿宋_GB2312" w:eastAsia="仿宋_GB2312" w:cs="仿宋_GB2312"/>
                <w:szCs w:val="21"/>
                <w:highlight w:val="none"/>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771D00FE">
            <w:pPr>
              <w:spacing w:line="240" w:lineRule="exact"/>
              <w:jc w:val="center"/>
              <w:rPr>
                <w:rFonts w:ascii="仿宋_GB2312" w:hAnsi="仿宋_GB2312" w:eastAsia="仿宋_GB2312" w:cs="仿宋_GB2312"/>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noWrap/>
            <w:vAlign w:val="center"/>
          </w:tcPr>
          <w:p w14:paraId="538860CF">
            <w:pPr>
              <w:spacing w:line="240" w:lineRule="exact"/>
              <w:jc w:val="center"/>
              <w:rPr>
                <w:rFonts w:ascii="仿宋_GB2312" w:hAnsi="仿宋_GB2312" w:eastAsia="仿宋_GB2312" w:cs="仿宋_GB2312"/>
                <w:szCs w:val="21"/>
                <w:highlight w:val="none"/>
              </w:rPr>
            </w:pPr>
          </w:p>
        </w:tc>
        <w:tc>
          <w:tcPr>
            <w:tcW w:w="1546" w:type="pct"/>
            <w:vMerge w:val="continue"/>
            <w:tcBorders>
              <w:top w:val="single" w:color="000000" w:sz="4" w:space="0"/>
              <w:left w:val="single" w:color="000000" w:sz="4" w:space="0"/>
              <w:bottom w:val="single" w:color="000000" w:sz="4" w:space="0"/>
              <w:right w:val="single" w:color="000000" w:sz="4" w:space="0"/>
            </w:tcBorders>
            <w:noWrap/>
            <w:vAlign w:val="center"/>
          </w:tcPr>
          <w:p w14:paraId="5762D756">
            <w:pPr>
              <w:spacing w:line="240" w:lineRule="exact"/>
              <w:jc w:val="center"/>
              <w:rPr>
                <w:rFonts w:ascii="仿宋_GB2312" w:hAnsi="仿宋_GB2312" w:eastAsia="仿宋_GB2312" w:cs="仿宋_GB2312"/>
                <w:szCs w:val="21"/>
                <w:highlight w:val="none"/>
              </w:rPr>
            </w:pPr>
          </w:p>
        </w:tc>
      </w:tr>
      <w:tr w14:paraId="7DA8C0C2">
        <w:tblPrEx>
          <w:tblCellMar>
            <w:top w:w="0" w:type="dxa"/>
            <w:left w:w="108" w:type="dxa"/>
            <w:bottom w:w="0" w:type="dxa"/>
            <w:right w:w="108" w:type="dxa"/>
          </w:tblCellMar>
        </w:tblPrEx>
        <w:trPr>
          <w:trHeight w:val="570" w:hRule="atLeast"/>
        </w:trPr>
        <w:tc>
          <w:tcPr>
            <w:tcW w:w="716" w:type="pct"/>
            <w:tcBorders>
              <w:top w:val="single" w:color="000000" w:sz="4" w:space="0"/>
              <w:left w:val="single" w:color="000000" w:sz="4" w:space="0"/>
              <w:bottom w:val="single" w:color="000000" w:sz="4" w:space="0"/>
              <w:right w:val="single" w:color="000000" w:sz="4" w:space="0"/>
            </w:tcBorders>
            <w:noWrap/>
            <w:vAlign w:val="center"/>
          </w:tcPr>
          <w:p w14:paraId="6E9F1797">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7</w:t>
            </w:r>
          </w:p>
        </w:tc>
        <w:tc>
          <w:tcPr>
            <w:tcW w:w="1190" w:type="pct"/>
            <w:tcBorders>
              <w:top w:val="single" w:color="000000" w:sz="4" w:space="0"/>
              <w:left w:val="single" w:color="000000" w:sz="4" w:space="0"/>
              <w:bottom w:val="single" w:color="000000" w:sz="4" w:space="0"/>
              <w:right w:val="single" w:color="000000" w:sz="4" w:space="0"/>
            </w:tcBorders>
            <w:noWrap/>
            <w:vAlign w:val="center"/>
          </w:tcPr>
          <w:p w14:paraId="1A9F676F">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邮储银行</w:t>
            </w:r>
          </w:p>
        </w:tc>
        <w:tc>
          <w:tcPr>
            <w:tcW w:w="1546" w:type="pct"/>
            <w:tcBorders>
              <w:top w:val="single" w:color="000000" w:sz="4" w:space="0"/>
              <w:left w:val="single" w:color="000000" w:sz="4" w:space="0"/>
              <w:bottom w:val="single" w:color="000000" w:sz="4" w:space="0"/>
              <w:right w:val="single" w:color="000000" w:sz="4" w:space="0"/>
            </w:tcBorders>
            <w:noWrap/>
            <w:vAlign w:val="center"/>
          </w:tcPr>
          <w:p w14:paraId="30B95030">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张萱</w:t>
            </w:r>
          </w:p>
        </w:tc>
        <w:tc>
          <w:tcPr>
            <w:tcW w:w="1546" w:type="pct"/>
            <w:tcBorders>
              <w:top w:val="single" w:color="000000" w:sz="4" w:space="0"/>
              <w:left w:val="single" w:color="000000" w:sz="4" w:space="0"/>
              <w:bottom w:val="single" w:color="000000" w:sz="4" w:space="0"/>
              <w:right w:val="single" w:color="000000" w:sz="4" w:space="0"/>
            </w:tcBorders>
            <w:vAlign w:val="center"/>
          </w:tcPr>
          <w:p w14:paraId="281BFB67">
            <w:pPr>
              <w:widowControl/>
              <w:spacing w:line="240" w:lineRule="exact"/>
              <w:jc w:val="center"/>
              <w:textAlignment w:val="center"/>
              <w:rPr>
                <w:rFonts w:ascii="仿宋_GB2312" w:hAnsi="仿宋_GB2312" w:eastAsia="仿宋_GB2312" w:cs="仿宋_GB2312"/>
                <w:kern w:val="0"/>
                <w:szCs w:val="21"/>
                <w:highlight w:val="none"/>
                <w:lang w:bidi="ar"/>
              </w:rPr>
            </w:pPr>
            <w:r>
              <w:rPr>
                <w:rFonts w:hint="eastAsia" w:ascii="仿宋_GB2312" w:hAnsi="仿宋_GB2312" w:eastAsia="仿宋_GB2312" w:cs="仿宋_GB2312"/>
                <w:kern w:val="0"/>
                <w:szCs w:val="21"/>
                <w:highlight w:val="none"/>
                <w:lang w:bidi="ar"/>
              </w:rPr>
              <w:t>13028431555</w:t>
            </w:r>
          </w:p>
          <w:p w14:paraId="3F7B5B80">
            <w:pPr>
              <w:widowControl/>
              <w:spacing w:line="240" w:lineRule="exact"/>
              <w:jc w:val="center"/>
              <w:textAlignment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lang w:bidi="ar"/>
              </w:rPr>
              <w:t>18091365182</w:t>
            </w:r>
          </w:p>
        </w:tc>
      </w:tr>
    </w:tbl>
    <w:p w14:paraId="6629081D">
      <w:pPr>
        <w:pStyle w:val="22"/>
        <w:tabs>
          <w:tab w:val="left" w:pos="567"/>
        </w:tabs>
        <w:rPr>
          <w:rFonts w:ascii="仿宋_GB2312" w:hAnsi="仿宋_GB2312" w:eastAsia="仿宋_GB2312" w:cs="仿宋_GB2312"/>
          <w:szCs w:val="21"/>
          <w:highlight w:val="none"/>
        </w:rPr>
      </w:pPr>
    </w:p>
    <w:p w14:paraId="0DBA4DB1">
      <w:pPr>
        <w:pStyle w:val="22"/>
        <w:tabs>
          <w:tab w:val="left" w:pos="567"/>
        </w:tabs>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延安市政府采购贷款银行信息：</w:t>
      </w:r>
    </w:p>
    <w:tbl>
      <w:tblPr>
        <w:tblStyle w:val="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5"/>
        <w:gridCol w:w="2041"/>
        <w:gridCol w:w="3640"/>
        <w:gridCol w:w="946"/>
        <w:gridCol w:w="1574"/>
      </w:tblGrid>
      <w:tr w14:paraId="677FB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755" w:type="dxa"/>
            <w:noWrap w:val="0"/>
            <w:vAlign w:val="center"/>
          </w:tcPr>
          <w:p w14:paraId="2E4217D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b/>
                <w:bCs/>
                <w:i w:val="0"/>
                <w:caps w:val="0"/>
                <w:color w:val="auto"/>
                <w:spacing w:val="0"/>
                <w:kern w:val="0"/>
                <w:sz w:val="24"/>
                <w:szCs w:val="24"/>
                <w:highlight w:val="none"/>
                <w:shd w:val="clear" w:color="auto" w:fill="FFFFFF"/>
                <w:vertAlign w:val="baseline"/>
                <w:lang w:val="en-US" w:eastAsia="zh-CN" w:bidi="ar-SA"/>
              </w:rPr>
            </w:pPr>
            <w:r>
              <w:rPr>
                <w:rFonts w:hint="eastAsia" w:ascii="仿宋_GB2312" w:hAnsi="仿宋_GB2312" w:eastAsia="仿宋_GB2312" w:cs="仿宋_GB2312"/>
                <w:b/>
                <w:bCs/>
                <w:i w:val="0"/>
                <w:caps w:val="0"/>
                <w:color w:val="auto"/>
                <w:spacing w:val="0"/>
                <w:kern w:val="0"/>
                <w:sz w:val="24"/>
                <w:szCs w:val="24"/>
                <w:highlight w:val="none"/>
                <w:shd w:val="clear" w:color="auto" w:fill="FFFFFF"/>
                <w:vertAlign w:val="baseline"/>
                <w:lang w:val="en-US" w:eastAsia="zh-CN" w:bidi="ar-SA"/>
              </w:rPr>
              <w:t>序号</w:t>
            </w:r>
          </w:p>
        </w:tc>
        <w:tc>
          <w:tcPr>
            <w:tcW w:w="2041" w:type="dxa"/>
            <w:noWrap w:val="0"/>
            <w:vAlign w:val="center"/>
          </w:tcPr>
          <w:p w14:paraId="262F73C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b/>
                <w:bCs/>
                <w:i w:val="0"/>
                <w:caps w:val="0"/>
                <w:color w:val="auto"/>
                <w:spacing w:val="0"/>
                <w:kern w:val="0"/>
                <w:sz w:val="24"/>
                <w:szCs w:val="24"/>
                <w:highlight w:val="none"/>
                <w:shd w:val="clear" w:color="auto" w:fill="FFFFFF"/>
                <w:vertAlign w:val="baseline"/>
                <w:lang w:val="en-US" w:eastAsia="zh-CN" w:bidi="ar-SA"/>
              </w:rPr>
            </w:pPr>
            <w:r>
              <w:rPr>
                <w:rFonts w:hint="eastAsia" w:ascii="仿宋_GB2312" w:hAnsi="仿宋_GB2312" w:eastAsia="仿宋_GB2312" w:cs="仿宋_GB2312"/>
                <w:b/>
                <w:bCs/>
                <w:i w:val="0"/>
                <w:caps w:val="0"/>
                <w:color w:val="auto"/>
                <w:spacing w:val="0"/>
                <w:kern w:val="0"/>
                <w:sz w:val="24"/>
                <w:szCs w:val="24"/>
                <w:highlight w:val="none"/>
                <w:shd w:val="clear" w:color="auto" w:fill="FFFFFF"/>
                <w:vertAlign w:val="baseline"/>
                <w:lang w:val="en-US" w:eastAsia="zh-CN" w:bidi="ar-SA"/>
              </w:rPr>
              <w:t>银行</w:t>
            </w:r>
          </w:p>
        </w:tc>
        <w:tc>
          <w:tcPr>
            <w:tcW w:w="3640" w:type="dxa"/>
            <w:noWrap w:val="0"/>
            <w:vAlign w:val="center"/>
          </w:tcPr>
          <w:p w14:paraId="130C6C4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b/>
                <w:bCs/>
                <w:i w:val="0"/>
                <w:caps w:val="0"/>
                <w:color w:val="auto"/>
                <w:spacing w:val="0"/>
                <w:kern w:val="0"/>
                <w:sz w:val="24"/>
                <w:szCs w:val="24"/>
                <w:highlight w:val="none"/>
                <w:shd w:val="clear" w:color="auto" w:fill="FFFFFF"/>
                <w:vertAlign w:val="baseline"/>
                <w:lang w:val="en-US" w:eastAsia="zh-CN" w:bidi="ar-SA"/>
              </w:rPr>
            </w:pPr>
            <w:r>
              <w:rPr>
                <w:rFonts w:hint="eastAsia" w:ascii="仿宋_GB2312" w:hAnsi="仿宋_GB2312" w:eastAsia="仿宋_GB2312" w:cs="仿宋_GB2312"/>
                <w:b/>
                <w:bCs/>
                <w:i w:val="0"/>
                <w:caps w:val="0"/>
                <w:color w:val="auto"/>
                <w:spacing w:val="0"/>
                <w:kern w:val="0"/>
                <w:sz w:val="24"/>
                <w:szCs w:val="24"/>
                <w:highlight w:val="none"/>
                <w:shd w:val="clear" w:color="auto" w:fill="FFFFFF"/>
                <w:vertAlign w:val="baseline"/>
                <w:lang w:val="en-US" w:eastAsia="zh-CN" w:bidi="ar-SA"/>
              </w:rPr>
              <w:t>地址</w:t>
            </w:r>
          </w:p>
        </w:tc>
        <w:tc>
          <w:tcPr>
            <w:tcW w:w="946" w:type="dxa"/>
            <w:noWrap w:val="0"/>
            <w:vAlign w:val="center"/>
          </w:tcPr>
          <w:p w14:paraId="11938C1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b/>
                <w:bCs/>
                <w:i w:val="0"/>
                <w:caps w:val="0"/>
                <w:color w:val="auto"/>
                <w:spacing w:val="0"/>
                <w:kern w:val="0"/>
                <w:sz w:val="24"/>
                <w:szCs w:val="24"/>
                <w:highlight w:val="none"/>
                <w:shd w:val="clear" w:color="auto" w:fill="FFFFFF"/>
                <w:vertAlign w:val="baseline"/>
                <w:lang w:val="en-US" w:eastAsia="zh-CN" w:bidi="ar-SA"/>
              </w:rPr>
            </w:pPr>
            <w:r>
              <w:rPr>
                <w:rFonts w:hint="eastAsia" w:ascii="仿宋_GB2312" w:hAnsi="仿宋_GB2312" w:eastAsia="仿宋_GB2312" w:cs="仿宋_GB2312"/>
                <w:b/>
                <w:bCs/>
                <w:i w:val="0"/>
                <w:caps w:val="0"/>
                <w:color w:val="auto"/>
                <w:spacing w:val="0"/>
                <w:kern w:val="0"/>
                <w:sz w:val="24"/>
                <w:szCs w:val="24"/>
                <w:highlight w:val="none"/>
                <w:shd w:val="clear" w:color="auto" w:fill="FFFFFF"/>
                <w:vertAlign w:val="baseline"/>
                <w:lang w:val="en-US" w:eastAsia="zh-CN" w:bidi="ar-SA"/>
              </w:rPr>
              <w:t>联系人</w:t>
            </w:r>
          </w:p>
        </w:tc>
        <w:tc>
          <w:tcPr>
            <w:tcW w:w="1574" w:type="dxa"/>
            <w:noWrap w:val="0"/>
            <w:vAlign w:val="center"/>
          </w:tcPr>
          <w:p w14:paraId="12CB807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b/>
                <w:bCs/>
                <w:i w:val="0"/>
                <w:caps w:val="0"/>
                <w:color w:val="auto"/>
                <w:spacing w:val="0"/>
                <w:kern w:val="0"/>
                <w:sz w:val="24"/>
                <w:szCs w:val="24"/>
                <w:highlight w:val="none"/>
                <w:shd w:val="clear" w:color="auto" w:fill="FFFFFF"/>
                <w:vertAlign w:val="baseline"/>
                <w:lang w:val="en-US" w:eastAsia="zh-CN" w:bidi="ar-SA"/>
              </w:rPr>
            </w:pPr>
            <w:r>
              <w:rPr>
                <w:rFonts w:hint="eastAsia" w:ascii="仿宋_GB2312" w:hAnsi="仿宋_GB2312" w:eastAsia="仿宋_GB2312" w:cs="仿宋_GB2312"/>
                <w:b/>
                <w:bCs/>
                <w:i w:val="0"/>
                <w:caps w:val="0"/>
                <w:color w:val="auto"/>
                <w:spacing w:val="0"/>
                <w:kern w:val="0"/>
                <w:sz w:val="24"/>
                <w:szCs w:val="24"/>
                <w:highlight w:val="none"/>
                <w:shd w:val="clear" w:color="auto" w:fill="FFFFFF"/>
                <w:vertAlign w:val="baseline"/>
                <w:lang w:val="en-US" w:eastAsia="zh-CN" w:bidi="ar-SA"/>
              </w:rPr>
              <w:t>电话</w:t>
            </w:r>
          </w:p>
        </w:tc>
      </w:tr>
      <w:tr w14:paraId="6636F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55" w:type="dxa"/>
            <w:noWrap w:val="0"/>
            <w:vAlign w:val="center"/>
          </w:tcPr>
          <w:p w14:paraId="2767B5B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w:t>
            </w:r>
          </w:p>
        </w:tc>
        <w:tc>
          <w:tcPr>
            <w:tcW w:w="2041" w:type="dxa"/>
            <w:noWrap w:val="0"/>
            <w:vAlign w:val="center"/>
          </w:tcPr>
          <w:p w14:paraId="365A645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lang w:val="en-US" w:eastAsia="zh-CN" w:bidi="ar-SA"/>
              </w:rPr>
              <w:t>中国建设银行延安分行</w:t>
            </w:r>
          </w:p>
        </w:tc>
        <w:tc>
          <w:tcPr>
            <w:tcW w:w="3640" w:type="dxa"/>
            <w:noWrap w:val="0"/>
            <w:vAlign w:val="center"/>
          </w:tcPr>
          <w:p w14:paraId="776E7DE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lang w:val="en-US" w:eastAsia="zh-CN" w:bidi="ar-SA"/>
              </w:rPr>
              <w:t>延安市宝塔区中心街</w:t>
            </w:r>
          </w:p>
        </w:tc>
        <w:tc>
          <w:tcPr>
            <w:tcW w:w="946" w:type="dxa"/>
            <w:noWrap w:val="0"/>
            <w:vAlign w:val="center"/>
          </w:tcPr>
          <w:p w14:paraId="27FD445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徐欣蕾</w:t>
            </w:r>
          </w:p>
        </w:tc>
        <w:tc>
          <w:tcPr>
            <w:tcW w:w="1574" w:type="dxa"/>
            <w:noWrap w:val="0"/>
            <w:vAlign w:val="center"/>
          </w:tcPr>
          <w:p w14:paraId="61176D8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15891686951</w:t>
            </w:r>
          </w:p>
        </w:tc>
      </w:tr>
      <w:tr w14:paraId="3F077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55" w:type="dxa"/>
            <w:noWrap w:val="0"/>
            <w:vAlign w:val="center"/>
          </w:tcPr>
          <w:p w14:paraId="1087C1A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2</w:t>
            </w:r>
          </w:p>
        </w:tc>
        <w:tc>
          <w:tcPr>
            <w:tcW w:w="2041" w:type="dxa"/>
            <w:noWrap w:val="0"/>
            <w:vAlign w:val="center"/>
          </w:tcPr>
          <w:p w14:paraId="12EC96E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中国工商银行延安分行</w:t>
            </w:r>
          </w:p>
        </w:tc>
        <w:tc>
          <w:tcPr>
            <w:tcW w:w="3640" w:type="dxa"/>
            <w:noWrap w:val="0"/>
            <w:vAlign w:val="center"/>
          </w:tcPr>
          <w:p w14:paraId="56B8363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延安市宝塔区师范路</w:t>
            </w:r>
          </w:p>
        </w:tc>
        <w:tc>
          <w:tcPr>
            <w:tcW w:w="946" w:type="dxa"/>
            <w:noWrap w:val="0"/>
            <w:vAlign w:val="center"/>
          </w:tcPr>
          <w:p w14:paraId="301CE4A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姬悦</w:t>
            </w:r>
          </w:p>
        </w:tc>
        <w:tc>
          <w:tcPr>
            <w:tcW w:w="1574" w:type="dxa"/>
            <w:noWrap w:val="0"/>
            <w:vAlign w:val="center"/>
          </w:tcPr>
          <w:p w14:paraId="0B82CA5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18391156580</w:t>
            </w:r>
          </w:p>
        </w:tc>
      </w:tr>
      <w:tr w14:paraId="626E9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0233F70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3</w:t>
            </w:r>
          </w:p>
        </w:tc>
        <w:tc>
          <w:tcPr>
            <w:tcW w:w="2041" w:type="dxa"/>
            <w:noWrap w:val="0"/>
            <w:vAlign w:val="center"/>
          </w:tcPr>
          <w:p w14:paraId="7DFAC88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北京银行延安分行</w:t>
            </w:r>
          </w:p>
        </w:tc>
        <w:tc>
          <w:tcPr>
            <w:tcW w:w="3640" w:type="dxa"/>
            <w:noWrap w:val="0"/>
            <w:vAlign w:val="center"/>
          </w:tcPr>
          <w:p w14:paraId="5DE7FEC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延安市宝塔区双拥大道</w:t>
            </w:r>
          </w:p>
        </w:tc>
        <w:tc>
          <w:tcPr>
            <w:tcW w:w="946" w:type="dxa"/>
            <w:noWrap w:val="0"/>
            <w:vAlign w:val="center"/>
          </w:tcPr>
          <w:p w14:paraId="4413445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奥宝森</w:t>
            </w:r>
          </w:p>
        </w:tc>
        <w:tc>
          <w:tcPr>
            <w:tcW w:w="1574" w:type="dxa"/>
            <w:noWrap w:val="0"/>
            <w:vAlign w:val="center"/>
          </w:tcPr>
          <w:p w14:paraId="7774BBD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15592925222</w:t>
            </w:r>
          </w:p>
        </w:tc>
      </w:tr>
      <w:tr w14:paraId="7683E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755" w:type="dxa"/>
            <w:noWrap w:val="0"/>
            <w:vAlign w:val="center"/>
          </w:tcPr>
          <w:p w14:paraId="2633A9D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4</w:t>
            </w:r>
          </w:p>
        </w:tc>
        <w:tc>
          <w:tcPr>
            <w:tcW w:w="2041" w:type="dxa"/>
            <w:noWrap w:val="0"/>
            <w:vAlign w:val="center"/>
          </w:tcPr>
          <w:p w14:paraId="7680904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邮储银行延安分行</w:t>
            </w:r>
          </w:p>
        </w:tc>
        <w:tc>
          <w:tcPr>
            <w:tcW w:w="3640" w:type="dxa"/>
            <w:noWrap w:val="0"/>
            <w:vAlign w:val="center"/>
          </w:tcPr>
          <w:p w14:paraId="76F8D60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宝塔区枣园路志丹大厦</w:t>
            </w:r>
          </w:p>
        </w:tc>
        <w:tc>
          <w:tcPr>
            <w:tcW w:w="946" w:type="dxa"/>
            <w:noWrap w:val="0"/>
            <w:vAlign w:val="center"/>
          </w:tcPr>
          <w:p w14:paraId="6A719BE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刘凯</w:t>
            </w:r>
          </w:p>
        </w:tc>
        <w:tc>
          <w:tcPr>
            <w:tcW w:w="1574" w:type="dxa"/>
            <w:noWrap w:val="0"/>
            <w:vAlign w:val="center"/>
          </w:tcPr>
          <w:p w14:paraId="51BF122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18691114222</w:t>
            </w:r>
          </w:p>
        </w:tc>
      </w:tr>
      <w:tr w14:paraId="4061B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755" w:type="dxa"/>
            <w:noWrap w:val="0"/>
            <w:vAlign w:val="center"/>
          </w:tcPr>
          <w:p w14:paraId="32FB847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5</w:t>
            </w:r>
          </w:p>
        </w:tc>
        <w:tc>
          <w:tcPr>
            <w:tcW w:w="2041" w:type="dxa"/>
            <w:noWrap w:val="0"/>
            <w:vAlign w:val="center"/>
          </w:tcPr>
          <w:p w14:paraId="43EFDC9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光大银行延安分行</w:t>
            </w:r>
          </w:p>
        </w:tc>
        <w:tc>
          <w:tcPr>
            <w:tcW w:w="3640" w:type="dxa"/>
            <w:noWrap w:val="0"/>
            <w:vAlign w:val="center"/>
          </w:tcPr>
          <w:p w14:paraId="78862C2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宝塔区卷烟厂东信时代一、二层</w:t>
            </w:r>
          </w:p>
        </w:tc>
        <w:tc>
          <w:tcPr>
            <w:tcW w:w="946" w:type="dxa"/>
            <w:noWrap w:val="0"/>
            <w:vAlign w:val="center"/>
          </w:tcPr>
          <w:p w14:paraId="629BC60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汪昊田</w:t>
            </w:r>
          </w:p>
        </w:tc>
        <w:tc>
          <w:tcPr>
            <w:tcW w:w="1574" w:type="dxa"/>
            <w:noWrap w:val="0"/>
            <w:vAlign w:val="center"/>
          </w:tcPr>
          <w:p w14:paraId="3F7FBB6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13509115500</w:t>
            </w:r>
          </w:p>
        </w:tc>
      </w:tr>
      <w:tr w14:paraId="48848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3D5EBC4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6</w:t>
            </w:r>
          </w:p>
        </w:tc>
        <w:tc>
          <w:tcPr>
            <w:tcW w:w="2041" w:type="dxa"/>
            <w:noWrap w:val="0"/>
            <w:vAlign w:val="center"/>
          </w:tcPr>
          <w:p w14:paraId="71DAB65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交通银行延安分行</w:t>
            </w:r>
          </w:p>
        </w:tc>
        <w:tc>
          <w:tcPr>
            <w:tcW w:w="3640" w:type="dxa"/>
            <w:noWrap w:val="0"/>
            <w:vAlign w:val="center"/>
          </w:tcPr>
          <w:p w14:paraId="14B3367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延安市宝塔区北大街95号</w:t>
            </w:r>
          </w:p>
        </w:tc>
        <w:tc>
          <w:tcPr>
            <w:tcW w:w="946" w:type="dxa"/>
            <w:noWrap w:val="0"/>
            <w:vAlign w:val="center"/>
          </w:tcPr>
          <w:p w14:paraId="102FDB2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王瑶</w:t>
            </w:r>
          </w:p>
        </w:tc>
        <w:tc>
          <w:tcPr>
            <w:tcW w:w="1574" w:type="dxa"/>
            <w:noWrap w:val="0"/>
            <w:vAlign w:val="center"/>
          </w:tcPr>
          <w:p w14:paraId="655AA9A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13389119518</w:t>
            </w:r>
          </w:p>
        </w:tc>
      </w:tr>
      <w:tr w14:paraId="47BEA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2116FB1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7</w:t>
            </w:r>
          </w:p>
        </w:tc>
        <w:tc>
          <w:tcPr>
            <w:tcW w:w="2041" w:type="dxa"/>
            <w:noWrap w:val="0"/>
            <w:vAlign w:val="center"/>
          </w:tcPr>
          <w:p w14:paraId="22A5748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延安农商行</w:t>
            </w:r>
          </w:p>
        </w:tc>
        <w:tc>
          <w:tcPr>
            <w:tcW w:w="3640" w:type="dxa"/>
            <w:noWrap w:val="0"/>
            <w:vAlign w:val="center"/>
          </w:tcPr>
          <w:p w14:paraId="14B340A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延安市宝塔区百米大道永兴路农商银行大厦</w:t>
            </w:r>
          </w:p>
        </w:tc>
        <w:tc>
          <w:tcPr>
            <w:tcW w:w="946" w:type="dxa"/>
            <w:noWrap w:val="0"/>
            <w:vAlign w:val="center"/>
          </w:tcPr>
          <w:p w14:paraId="3C743C9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段田瑞</w:t>
            </w:r>
          </w:p>
        </w:tc>
        <w:tc>
          <w:tcPr>
            <w:tcW w:w="1574" w:type="dxa"/>
            <w:noWrap w:val="0"/>
            <w:vAlign w:val="center"/>
          </w:tcPr>
          <w:p w14:paraId="0B04B71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18700166012</w:t>
            </w:r>
          </w:p>
        </w:tc>
      </w:tr>
      <w:tr w14:paraId="7157D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72FC594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8</w:t>
            </w:r>
          </w:p>
        </w:tc>
        <w:tc>
          <w:tcPr>
            <w:tcW w:w="2041" w:type="dxa"/>
            <w:noWrap w:val="0"/>
            <w:vAlign w:val="center"/>
          </w:tcPr>
          <w:p w14:paraId="3986169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甘泉农商行</w:t>
            </w:r>
          </w:p>
        </w:tc>
        <w:tc>
          <w:tcPr>
            <w:tcW w:w="3640" w:type="dxa"/>
            <w:noWrap w:val="0"/>
            <w:vAlign w:val="center"/>
          </w:tcPr>
          <w:p w14:paraId="0AF8C6B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甘泉县中心街019号</w:t>
            </w:r>
          </w:p>
        </w:tc>
        <w:tc>
          <w:tcPr>
            <w:tcW w:w="946" w:type="dxa"/>
            <w:noWrap w:val="0"/>
            <w:vAlign w:val="center"/>
          </w:tcPr>
          <w:p w14:paraId="36285CC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白晶晶</w:t>
            </w:r>
          </w:p>
        </w:tc>
        <w:tc>
          <w:tcPr>
            <w:tcW w:w="1574" w:type="dxa"/>
            <w:noWrap w:val="0"/>
            <w:vAlign w:val="center"/>
          </w:tcPr>
          <w:p w14:paraId="4D9F80B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15129872940</w:t>
            </w:r>
          </w:p>
        </w:tc>
      </w:tr>
      <w:tr w14:paraId="32D71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2FEB47D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9</w:t>
            </w:r>
          </w:p>
        </w:tc>
        <w:tc>
          <w:tcPr>
            <w:tcW w:w="2041" w:type="dxa"/>
            <w:noWrap w:val="0"/>
            <w:vAlign w:val="center"/>
          </w:tcPr>
          <w:p w14:paraId="3CF362A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延长联社</w:t>
            </w:r>
          </w:p>
        </w:tc>
        <w:tc>
          <w:tcPr>
            <w:tcW w:w="3640" w:type="dxa"/>
            <w:noWrap w:val="0"/>
            <w:vAlign w:val="center"/>
          </w:tcPr>
          <w:p w14:paraId="39869E5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延长县七里村镇街道城区中街</w:t>
            </w:r>
          </w:p>
        </w:tc>
        <w:tc>
          <w:tcPr>
            <w:tcW w:w="946" w:type="dxa"/>
            <w:noWrap w:val="0"/>
            <w:vAlign w:val="center"/>
          </w:tcPr>
          <w:p w14:paraId="19488D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白永卿</w:t>
            </w:r>
          </w:p>
        </w:tc>
        <w:tc>
          <w:tcPr>
            <w:tcW w:w="1574" w:type="dxa"/>
            <w:noWrap w:val="0"/>
            <w:vAlign w:val="center"/>
          </w:tcPr>
          <w:p w14:paraId="5CEF602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18109119635</w:t>
            </w:r>
          </w:p>
        </w:tc>
      </w:tr>
      <w:tr w14:paraId="5F9BE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10AAC45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10</w:t>
            </w:r>
          </w:p>
        </w:tc>
        <w:tc>
          <w:tcPr>
            <w:tcW w:w="2041" w:type="dxa"/>
            <w:noWrap w:val="0"/>
            <w:vAlign w:val="center"/>
          </w:tcPr>
          <w:p w14:paraId="758ACC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延川联社</w:t>
            </w:r>
          </w:p>
        </w:tc>
        <w:tc>
          <w:tcPr>
            <w:tcW w:w="3640" w:type="dxa"/>
            <w:noWrap w:val="0"/>
            <w:vAlign w:val="center"/>
          </w:tcPr>
          <w:p w14:paraId="38FD242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延川县大禹街道北关信用合作联社</w:t>
            </w:r>
          </w:p>
        </w:tc>
        <w:tc>
          <w:tcPr>
            <w:tcW w:w="946" w:type="dxa"/>
            <w:noWrap w:val="0"/>
            <w:vAlign w:val="center"/>
          </w:tcPr>
          <w:p w14:paraId="0D0D43C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张沛兴</w:t>
            </w:r>
          </w:p>
        </w:tc>
        <w:tc>
          <w:tcPr>
            <w:tcW w:w="1574" w:type="dxa"/>
            <w:noWrap w:val="0"/>
            <w:vAlign w:val="center"/>
          </w:tcPr>
          <w:p w14:paraId="486B5C6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15129756920</w:t>
            </w:r>
          </w:p>
        </w:tc>
      </w:tr>
      <w:tr w14:paraId="5595E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77941F0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11</w:t>
            </w:r>
          </w:p>
        </w:tc>
        <w:tc>
          <w:tcPr>
            <w:tcW w:w="2041" w:type="dxa"/>
            <w:noWrap w:val="0"/>
            <w:vAlign w:val="center"/>
          </w:tcPr>
          <w:p w14:paraId="7DE8D53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子长农商行</w:t>
            </w:r>
          </w:p>
        </w:tc>
        <w:tc>
          <w:tcPr>
            <w:tcW w:w="3640" w:type="dxa"/>
            <w:noWrap w:val="0"/>
            <w:vAlign w:val="center"/>
          </w:tcPr>
          <w:p w14:paraId="0A2848A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子长市长兴街</w:t>
            </w:r>
          </w:p>
        </w:tc>
        <w:tc>
          <w:tcPr>
            <w:tcW w:w="946" w:type="dxa"/>
            <w:noWrap w:val="0"/>
            <w:vAlign w:val="center"/>
          </w:tcPr>
          <w:p w14:paraId="25F5CB0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王莉</w:t>
            </w:r>
          </w:p>
        </w:tc>
        <w:tc>
          <w:tcPr>
            <w:tcW w:w="1574" w:type="dxa"/>
            <w:noWrap w:val="0"/>
            <w:vAlign w:val="center"/>
          </w:tcPr>
          <w:p w14:paraId="4EE5AA2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13992153010</w:t>
            </w:r>
          </w:p>
        </w:tc>
      </w:tr>
      <w:tr w14:paraId="1AE52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755" w:type="dxa"/>
            <w:noWrap w:val="0"/>
            <w:vAlign w:val="center"/>
          </w:tcPr>
          <w:p w14:paraId="494FC79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12</w:t>
            </w:r>
          </w:p>
        </w:tc>
        <w:tc>
          <w:tcPr>
            <w:tcW w:w="2041" w:type="dxa"/>
            <w:noWrap w:val="0"/>
            <w:vAlign w:val="center"/>
          </w:tcPr>
          <w:p w14:paraId="01B4D53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安塞农商行</w:t>
            </w:r>
          </w:p>
        </w:tc>
        <w:tc>
          <w:tcPr>
            <w:tcW w:w="3640" w:type="dxa"/>
            <w:noWrap w:val="0"/>
            <w:vAlign w:val="center"/>
          </w:tcPr>
          <w:p w14:paraId="187CDB5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延安市安塞区富民街22号</w:t>
            </w:r>
          </w:p>
        </w:tc>
        <w:tc>
          <w:tcPr>
            <w:tcW w:w="946" w:type="dxa"/>
            <w:noWrap w:val="0"/>
            <w:vAlign w:val="center"/>
          </w:tcPr>
          <w:p w14:paraId="5B8DBEA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王平</w:t>
            </w:r>
          </w:p>
        </w:tc>
        <w:tc>
          <w:tcPr>
            <w:tcW w:w="1574" w:type="dxa"/>
            <w:noWrap w:val="0"/>
            <w:vAlign w:val="center"/>
          </w:tcPr>
          <w:p w14:paraId="2AD0C5E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15991569027</w:t>
            </w:r>
          </w:p>
        </w:tc>
      </w:tr>
      <w:tr w14:paraId="473E3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55" w:type="dxa"/>
            <w:noWrap w:val="0"/>
            <w:vAlign w:val="center"/>
          </w:tcPr>
          <w:p w14:paraId="10D542C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13</w:t>
            </w:r>
          </w:p>
        </w:tc>
        <w:tc>
          <w:tcPr>
            <w:tcW w:w="2041" w:type="dxa"/>
            <w:noWrap w:val="0"/>
            <w:vAlign w:val="center"/>
          </w:tcPr>
          <w:p w14:paraId="617A9B9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志丹联社</w:t>
            </w:r>
          </w:p>
        </w:tc>
        <w:tc>
          <w:tcPr>
            <w:tcW w:w="3640" w:type="dxa"/>
            <w:noWrap w:val="0"/>
            <w:vAlign w:val="center"/>
          </w:tcPr>
          <w:p w14:paraId="6E54966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延安市志丹县保安街134号信合大厦</w:t>
            </w:r>
          </w:p>
        </w:tc>
        <w:tc>
          <w:tcPr>
            <w:tcW w:w="946" w:type="dxa"/>
            <w:noWrap w:val="0"/>
            <w:vAlign w:val="center"/>
          </w:tcPr>
          <w:p w14:paraId="42CAAC9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李倩</w:t>
            </w:r>
          </w:p>
        </w:tc>
        <w:tc>
          <w:tcPr>
            <w:tcW w:w="1574" w:type="dxa"/>
            <w:noWrap w:val="0"/>
            <w:vAlign w:val="center"/>
          </w:tcPr>
          <w:p w14:paraId="7F4EC42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18792408171</w:t>
            </w:r>
          </w:p>
        </w:tc>
      </w:tr>
      <w:tr w14:paraId="01EFD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1779C91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14</w:t>
            </w:r>
          </w:p>
        </w:tc>
        <w:tc>
          <w:tcPr>
            <w:tcW w:w="2041" w:type="dxa"/>
            <w:noWrap w:val="0"/>
            <w:vAlign w:val="center"/>
          </w:tcPr>
          <w:p w14:paraId="0958AF3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吴起农合行</w:t>
            </w:r>
          </w:p>
        </w:tc>
        <w:tc>
          <w:tcPr>
            <w:tcW w:w="3640" w:type="dxa"/>
            <w:noWrap w:val="0"/>
            <w:vAlign w:val="center"/>
          </w:tcPr>
          <w:p w14:paraId="449E1E7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陕西省延安市吴起县北苑东路26号</w:t>
            </w:r>
          </w:p>
        </w:tc>
        <w:tc>
          <w:tcPr>
            <w:tcW w:w="946" w:type="dxa"/>
            <w:noWrap w:val="0"/>
            <w:vAlign w:val="center"/>
          </w:tcPr>
          <w:p w14:paraId="2CBBA77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李娜玲</w:t>
            </w:r>
          </w:p>
        </w:tc>
        <w:tc>
          <w:tcPr>
            <w:tcW w:w="1574" w:type="dxa"/>
            <w:noWrap w:val="0"/>
            <w:vAlign w:val="center"/>
          </w:tcPr>
          <w:p w14:paraId="233CC09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15591103321</w:t>
            </w:r>
          </w:p>
        </w:tc>
      </w:tr>
      <w:tr w14:paraId="1A5C8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02A039F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15</w:t>
            </w:r>
          </w:p>
        </w:tc>
        <w:tc>
          <w:tcPr>
            <w:tcW w:w="2041" w:type="dxa"/>
            <w:noWrap w:val="0"/>
            <w:vAlign w:val="center"/>
          </w:tcPr>
          <w:p w14:paraId="6BEB237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洛川农商行</w:t>
            </w:r>
          </w:p>
        </w:tc>
        <w:tc>
          <w:tcPr>
            <w:tcW w:w="3640" w:type="dxa"/>
            <w:noWrap w:val="0"/>
            <w:vAlign w:val="center"/>
          </w:tcPr>
          <w:p w14:paraId="5CB9000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陕西省延安市洛川县中心街</w:t>
            </w:r>
          </w:p>
        </w:tc>
        <w:tc>
          <w:tcPr>
            <w:tcW w:w="946" w:type="dxa"/>
            <w:noWrap w:val="0"/>
            <w:vAlign w:val="center"/>
          </w:tcPr>
          <w:p w14:paraId="6DA50C4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史云云</w:t>
            </w:r>
          </w:p>
        </w:tc>
        <w:tc>
          <w:tcPr>
            <w:tcW w:w="1574" w:type="dxa"/>
            <w:noWrap w:val="0"/>
            <w:vAlign w:val="center"/>
          </w:tcPr>
          <w:p w14:paraId="357915F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15291172848</w:t>
            </w:r>
          </w:p>
        </w:tc>
      </w:tr>
      <w:tr w14:paraId="3ED3A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613EFBA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16</w:t>
            </w:r>
          </w:p>
        </w:tc>
        <w:tc>
          <w:tcPr>
            <w:tcW w:w="2041" w:type="dxa"/>
            <w:noWrap w:val="0"/>
            <w:vAlign w:val="center"/>
          </w:tcPr>
          <w:p w14:paraId="6F8ACCA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富县农合行</w:t>
            </w:r>
          </w:p>
        </w:tc>
        <w:tc>
          <w:tcPr>
            <w:tcW w:w="3640" w:type="dxa"/>
            <w:noWrap w:val="0"/>
            <w:vAlign w:val="center"/>
          </w:tcPr>
          <w:p w14:paraId="1CA3382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富县富城镇正街8号</w:t>
            </w:r>
          </w:p>
        </w:tc>
        <w:tc>
          <w:tcPr>
            <w:tcW w:w="946" w:type="dxa"/>
            <w:noWrap w:val="0"/>
            <w:vAlign w:val="center"/>
          </w:tcPr>
          <w:p w14:paraId="6AAB812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逯其玲</w:t>
            </w:r>
          </w:p>
        </w:tc>
        <w:tc>
          <w:tcPr>
            <w:tcW w:w="1574" w:type="dxa"/>
            <w:noWrap w:val="0"/>
            <w:vAlign w:val="center"/>
          </w:tcPr>
          <w:p w14:paraId="7AA8CE9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18091126065</w:t>
            </w:r>
          </w:p>
        </w:tc>
      </w:tr>
      <w:tr w14:paraId="58E6B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2BC7297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17</w:t>
            </w:r>
          </w:p>
        </w:tc>
        <w:tc>
          <w:tcPr>
            <w:tcW w:w="2041" w:type="dxa"/>
            <w:noWrap w:val="0"/>
            <w:vAlign w:val="center"/>
          </w:tcPr>
          <w:p w14:paraId="60CEF0E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黄陵联社</w:t>
            </w:r>
          </w:p>
        </w:tc>
        <w:tc>
          <w:tcPr>
            <w:tcW w:w="3640" w:type="dxa"/>
            <w:noWrap w:val="0"/>
            <w:vAlign w:val="center"/>
          </w:tcPr>
          <w:p w14:paraId="1F4EB42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黄陵县桥山大厦</w:t>
            </w:r>
          </w:p>
        </w:tc>
        <w:tc>
          <w:tcPr>
            <w:tcW w:w="946" w:type="dxa"/>
            <w:noWrap w:val="0"/>
            <w:vAlign w:val="center"/>
          </w:tcPr>
          <w:p w14:paraId="03265AD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曹涛</w:t>
            </w:r>
          </w:p>
        </w:tc>
        <w:tc>
          <w:tcPr>
            <w:tcW w:w="1574" w:type="dxa"/>
            <w:noWrap w:val="0"/>
            <w:vAlign w:val="center"/>
          </w:tcPr>
          <w:p w14:paraId="1948891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13772255164</w:t>
            </w:r>
          </w:p>
        </w:tc>
      </w:tr>
      <w:tr w14:paraId="2BBA0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3AF19F1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18</w:t>
            </w:r>
          </w:p>
        </w:tc>
        <w:tc>
          <w:tcPr>
            <w:tcW w:w="2041" w:type="dxa"/>
            <w:noWrap w:val="0"/>
            <w:vAlign w:val="center"/>
          </w:tcPr>
          <w:p w14:paraId="03EF35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宜川联社</w:t>
            </w:r>
          </w:p>
        </w:tc>
        <w:tc>
          <w:tcPr>
            <w:tcW w:w="3640" w:type="dxa"/>
            <w:noWrap w:val="0"/>
            <w:vAlign w:val="center"/>
          </w:tcPr>
          <w:p w14:paraId="2E97A61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宜川县党湾街65号</w:t>
            </w:r>
          </w:p>
        </w:tc>
        <w:tc>
          <w:tcPr>
            <w:tcW w:w="946" w:type="dxa"/>
            <w:noWrap w:val="0"/>
            <w:vAlign w:val="center"/>
          </w:tcPr>
          <w:p w14:paraId="1EA4285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毛永良</w:t>
            </w:r>
          </w:p>
        </w:tc>
        <w:tc>
          <w:tcPr>
            <w:tcW w:w="1574" w:type="dxa"/>
            <w:noWrap w:val="0"/>
            <w:vAlign w:val="center"/>
          </w:tcPr>
          <w:p w14:paraId="7F78410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15009118628</w:t>
            </w:r>
          </w:p>
        </w:tc>
      </w:tr>
      <w:tr w14:paraId="49DE3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305F4AC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19</w:t>
            </w:r>
          </w:p>
        </w:tc>
        <w:tc>
          <w:tcPr>
            <w:tcW w:w="2041" w:type="dxa"/>
            <w:noWrap w:val="0"/>
            <w:vAlign w:val="center"/>
          </w:tcPr>
          <w:p w14:paraId="3D9283D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黄龙联社</w:t>
            </w:r>
          </w:p>
        </w:tc>
        <w:tc>
          <w:tcPr>
            <w:tcW w:w="3640" w:type="dxa"/>
            <w:noWrap w:val="0"/>
            <w:vAlign w:val="center"/>
          </w:tcPr>
          <w:p w14:paraId="5AF1E08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黄龙县石堡镇广场大街40号</w:t>
            </w:r>
          </w:p>
        </w:tc>
        <w:tc>
          <w:tcPr>
            <w:tcW w:w="946" w:type="dxa"/>
            <w:noWrap w:val="0"/>
            <w:vAlign w:val="center"/>
          </w:tcPr>
          <w:p w14:paraId="4D93753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郑国强</w:t>
            </w:r>
          </w:p>
        </w:tc>
        <w:tc>
          <w:tcPr>
            <w:tcW w:w="1574" w:type="dxa"/>
            <w:noWrap w:val="0"/>
            <w:vAlign w:val="center"/>
          </w:tcPr>
          <w:p w14:paraId="4203CCC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18"/>
                <w:szCs w:val="18"/>
                <w:highlight w:val="none"/>
                <w:shd w:val="clear" w:color="auto" w:fill="FFFFFF"/>
                <w:vertAlign w:val="baseline"/>
                <w:lang w:val="en-US" w:eastAsia="zh-CN" w:bidi="ar-SA"/>
              </w:rPr>
              <w:t>15991595662</w:t>
            </w:r>
          </w:p>
        </w:tc>
      </w:tr>
    </w:tbl>
    <w:p w14:paraId="73A6E4F9">
      <w:pPr>
        <w:tabs>
          <w:tab w:val="left" w:pos="588"/>
        </w:tabs>
        <w:spacing w:line="360" w:lineRule="auto"/>
        <w:rPr>
          <w:rFonts w:eastAsia="仿宋_GB2312"/>
          <w:color w:val="auto"/>
          <w:sz w:val="24"/>
          <w:highlight w:val="none"/>
        </w:rPr>
      </w:pPr>
      <w:r>
        <w:rPr>
          <w:rFonts w:eastAsia="仿宋_GB2312"/>
          <w:color w:val="auto"/>
          <w:sz w:val="24"/>
          <w:highlight w:val="none"/>
        </w:rPr>
        <w:br w:type="page"/>
      </w:r>
    </w:p>
    <w:bookmarkEnd w:id="388"/>
    <w:bookmarkEnd w:id="389"/>
    <w:bookmarkEnd w:id="390"/>
    <w:bookmarkEnd w:id="391"/>
    <w:p w14:paraId="795ED559">
      <w:pPr>
        <w:pStyle w:val="46"/>
        <w:spacing w:line="360" w:lineRule="auto"/>
        <w:rPr>
          <w:rStyle w:val="207"/>
          <w:rFonts w:ascii="Times New Roman" w:hAnsi="Times New Roman" w:eastAsia="宋体"/>
          <w:color w:val="auto"/>
          <w:sz w:val="36"/>
          <w:szCs w:val="36"/>
          <w:highlight w:val="none"/>
        </w:rPr>
      </w:pPr>
      <w:bookmarkStart w:id="392" w:name="_Toc8116"/>
      <w:bookmarkStart w:id="393" w:name="_Toc17469"/>
      <w:bookmarkStart w:id="394" w:name="_Toc58504447"/>
      <w:r>
        <w:rPr>
          <w:rStyle w:val="207"/>
          <w:rFonts w:ascii="Times New Roman" w:hAnsi="Times New Roman" w:eastAsia="宋体"/>
          <w:color w:val="auto"/>
          <w:sz w:val="36"/>
          <w:szCs w:val="36"/>
          <w:highlight w:val="none"/>
        </w:rPr>
        <w:t>第三章  评审办法和标准</w:t>
      </w:r>
      <w:bookmarkEnd w:id="392"/>
    </w:p>
    <w:p w14:paraId="451647B4">
      <w:pPr>
        <w:tabs>
          <w:tab w:val="left" w:pos="360"/>
          <w:tab w:val="left" w:pos="588"/>
        </w:tabs>
        <w:spacing w:line="360" w:lineRule="auto"/>
        <w:ind w:left="840"/>
        <w:rPr>
          <w:rFonts w:eastAsia="仿宋_GB2312"/>
          <w:color w:val="auto"/>
          <w:sz w:val="24"/>
          <w:highlight w:val="none"/>
        </w:rPr>
      </w:pPr>
    </w:p>
    <w:p w14:paraId="40BF1E9A">
      <w:pPr>
        <w:pStyle w:val="81"/>
        <w:keepNext w:val="0"/>
        <w:keepLines w:val="0"/>
        <w:pageBreakBefore w:val="0"/>
        <w:kinsoku/>
        <w:wordWrap/>
        <w:overflowPunct/>
        <w:topLinePunct w:val="0"/>
        <w:autoSpaceDE/>
        <w:autoSpaceDN/>
        <w:bidi w:val="0"/>
        <w:adjustRightInd/>
        <w:snapToGrid/>
        <w:spacing w:before="0" w:beforeLines="0" w:after="0" w:afterLines="0" w:line="360" w:lineRule="auto"/>
        <w:textAlignment w:val="auto"/>
        <w:rPr>
          <w:rFonts w:hint="eastAsia" w:ascii="仿宋_GB2312" w:hAnsi="仿宋_GB2312" w:eastAsia="仿宋_GB2312" w:cs="仿宋_GB2312"/>
          <w:color w:val="auto"/>
          <w:sz w:val="24"/>
          <w:szCs w:val="24"/>
          <w:highlight w:val="none"/>
        </w:rPr>
      </w:pPr>
      <w:bookmarkStart w:id="395" w:name="_Toc29700"/>
      <w:bookmarkStart w:id="396" w:name="_Toc7005040"/>
      <w:r>
        <w:rPr>
          <w:rFonts w:hint="eastAsia" w:ascii="仿宋_GB2312" w:hAnsi="仿宋_GB2312" w:eastAsia="仿宋_GB2312" w:cs="仿宋_GB2312"/>
          <w:color w:val="auto"/>
          <w:sz w:val="24"/>
          <w:szCs w:val="24"/>
          <w:highlight w:val="none"/>
        </w:rPr>
        <w:t>1.评审方法</w:t>
      </w:r>
      <w:bookmarkEnd w:id="395"/>
      <w:bookmarkEnd w:id="396"/>
    </w:p>
    <w:p w14:paraId="44C5C8CC">
      <w:pPr>
        <w:pStyle w:val="22"/>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本次评审采用综合评分法。磋商小组对满足磋商文件实质性要求的响应文件，按照本章第2条规定的评审标准进行打分，并按得分由高到低顺序推荐成交候选人，或根据采购人授权直接确定成交供应商。综合评分相等时，按照最后报价由低到高的顺序推荐；报价也相等的，按技术指标优劣顺序排列。</w:t>
      </w:r>
    </w:p>
    <w:p w14:paraId="538FB2BF">
      <w:pPr>
        <w:pStyle w:val="81"/>
        <w:keepNext w:val="0"/>
        <w:keepLines w:val="0"/>
        <w:pageBreakBefore w:val="0"/>
        <w:kinsoku/>
        <w:wordWrap/>
        <w:overflowPunct/>
        <w:topLinePunct w:val="0"/>
        <w:autoSpaceDE/>
        <w:autoSpaceDN/>
        <w:bidi w:val="0"/>
        <w:adjustRightInd/>
        <w:snapToGrid/>
        <w:spacing w:before="0" w:beforeLines="0" w:after="0" w:afterLines="0" w:line="360" w:lineRule="auto"/>
        <w:textAlignment w:val="auto"/>
        <w:rPr>
          <w:rFonts w:hint="eastAsia" w:ascii="仿宋_GB2312" w:hAnsi="仿宋_GB2312" w:eastAsia="仿宋_GB2312" w:cs="仿宋_GB2312"/>
          <w:color w:val="auto"/>
          <w:sz w:val="24"/>
          <w:szCs w:val="24"/>
          <w:highlight w:val="none"/>
        </w:rPr>
      </w:pPr>
      <w:bookmarkStart w:id="397" w:name="_Toc18133"/>
      <w:bookmarkStart w:id="398" w:name="_Toc7005041"/>
      <w:r>
        <w:rPr>
          <w:rFonts w:hint="eastAsia" w:ascii="仿宋_GB2312" w:hAnsi="仿宋_GB2312" w:eastAsia="仿宋_GB2312" w:cs="仿宋_GB2312"/>
          <w:color w:val="auto"/>
          <w:sz w:val="24"/>
          <w:szCs w:val="24"/>
          <w:highlight w:val="none"/>
        </w:rPr>
        <w:t>2.评审标准</w:t>
      </w:r>
      <w:bookmarkEnd w:id="397"/>
      <w:bookmarkEnd w:id="398"/>
    </w:p>
    <w:p w14:paraId="2C70CD81">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2.1 资格审查和符合性评审标准：见附表一和附表二。</w:t>
      </w:r>
    </w:p>
    <w:p w14:paraId="5BC9B338">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2.2 分值构成：总分100分</w:t>
      </w:r>
    </w:p>
    <w:p w14:paraId="6C9D0C97">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bookmarkStart w:id="399" w:name="_Ref426362114"/>
      <w:r>
        <w:rPr>
          <w:rFonts w:hint="eastAsia" w:ascii="仿宋_GB2312" w:hAnsi="仿宋_GB2312" w:eastAsia="仿宋_GB2312" w:cs="仿宋_GB2312"/>
          <w:color w:val="auto"/>
          <w:sz w:val="24"/>
          <w:szCs w:val="24"/>
          <w:highlight w:val="none"/>
        </w:rPr>
        <w:t>2.3 商务和技术评审标准</w:t>
      </w:r>
      <w:bookmarkEnd w:id="399"/>
    </w:p>
    <w:p w14:paraId="284F9CE2">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bookmarkStart w:id="400" w:name="_Ref426362140"/>
      <w:r>
        <w:rPr>
          <w:rFonts w:hint="eastAsia" w:ascii="仿宋_GB2312" w:hAnsi="仿宋_GB2312" w:eastAsia="仿宋_GB2312" w:cs="仿宋_GB2312"/>
          <w:color w:val="auto"/>
          <w:sz w:val="24"/>
          <w:szCs w:val="24"/>
          <w:highlight w:val="none"/>
        </w:rPr>
        <w:t>2.3.1商务部分评分标准：见附表</w:t>
      </w:r>
      <w:bookmarkEnd w:id="400"/>
    </w:p>
    <w:p w14:paraId="34987713">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bookmarkStart w:id="401" w:name="_Ref426362158"/>
      <w:r>
        <w:rPr>
          <w:rFonts w:hint="eastAsia" w:ascii="仿宋_GB2312" w:hAnsi="仿宋_GB2312" w:eastAsia="仿宋_GB2312" w:cs="仿宋_GB2312"/>
          <w:color w:val="auto"/>
          <w:sz w:val="24"/>
          <w:szCs w:val="24"/>
          <w:highlight w:val="none"/>
        </w:rPr>
        <w:t>2.3.2技术部分评分标准：见附表</w:t>
      </w:r>
      <w:bookmarkEnd w:id="401"/>
    </w:p>
    <w:p w14:paraId="1C752DF2">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bookmarkStart w:id="402" w:name="_Ref426362176"/>
      <w:r>
        <w:rPr>
          <w:rFonts w:hint="eastAsia" w:ascii="仿宋_GB2312" w:hAnsi="仿宋_GB2312" w:eastAsia="仿宋_GB2312" w:cs="仿宋_GB2312"/>
          <w:color w:val="auto"/>
          <w:sz w:val="24"/>
          <w:szCs w:val="24"/>
          <w:highlight w:val="none"/>
        </w:rPr>
        <w:t>2.3.3报价评分标准：</w:t>
      </w:r>
      <w:bookmarkEnd w:id="402"/>
      <w:r>
        <w:rPr>
          <w:rFonts w:hint="eastAsia" w:ascii="仿宋_GB2312" w:hAnsi="仿宋_GB2312" w:eastAsia="仿宋_GB2312" w:cs="仿宋_GB2312"/>
          <w:color w:val="auto"/>
          <w:sz w:val="24"/>
          <w:szCs w:val="24"/>
          <w:highlight w:val="none"/>
        </w:rPr>
        <w:t>见附表</w:t>
      </w:r>
    </w:p>
    <w:p w14:paraId="66309E97">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（1）若项目未专门面向中小企业采购，对小微型企业、监狱企业、残疾人福利性单位产品的价格给予</w:t>
      </w:r>
      <w:r>
        <w:rPr>
          <w:rFonts w:hint="eastAsia" w:ascii="仿宋_GB2312" w:hAnsi="仿宋_GB2312" w:eastAsia="仿宋_GB2312" w:cs="仿宋_GB2312"/>
          <w:color w:val="auto"/>
          <w:sz w:val="24"/>
          <w:szCs w:val="24"/>
          <w:highlight w:val="none"/>
          <w:u w:val="single"/>
          <w:lang w:val="en-US" w:eastAsia="zh-CN"/>
        </w:rPr>
        <w:t xml:space="preserve">  </w:t>
      </w:r>
      <w:r>
        <w:rPr>
          <w:rFonts w:hint="eastAsia" w:ascii="仿宋_GB2312" w:hAnsi="仿宋_GB2312" w:eastAsia="仿宋_GB2312" w:cs="仿宋_GB2312"/>
          <w:color w:val="auto"/>
          <w:sz w:val="24"/>
          <w:szCs w:val="24"/>
          <w:highlight w:val="none"/>
          <w:u w:val="single"/>
        </w:rPr>
        <w:t>10%</w:t>
      </w:r>
      <w:r>
        <w:rPr>
          <w:rFonts w:hint="eastAsia" w:ascii="仿宋_GB2312" w:hAnsi="仿宋_GB2312" w:eastAsia="仿宋_GB2312" w:cs="仿宋_GB2312"/>
          <w:color w:val="auto"/>
          <w:sz w:val="24"/>
          <w:szCs w:val="24"/>
          <w:highlight w:val="none"/>
          <w:u w:val="single"/>
          <w:lang w:val="en-US" w:eastAsia="zh-CN"/>
        </w:rPr>
        <w:t xml:space="preserve">  </w:t>
      </w:r>
      <w:r>
        <w:rPr>
          <w:rFonts w:hint="eastAsia" w:ascii="仿宋_GB2312" w:hAnsi="仿宋_GB2312" w:eastAsia="仿宋_GB2312" w:cs="仿宋_GB2312"/>
          <w:color w:val="auto"/>
          <w:sz w:val="24"/>
          <w:szCs w:val="24"/>
          <w:highlight w:val="none"/>
          <w:lang w:val="en-US" w:eastAsia="zh-CN"/>
        </w:rPr>
        <w:t xml:space="preserve"> </w:t>
      </w:r>
      <w:r>
        <w:rPr>
          <w:rFonts w:hint="eastAsia" w:ascii="仿宋_GB2312" w:hAnsi="仿宋_GB2312" w:eastAsia="仿宋_GB2312" w:cs="仿宋_GB2312"/>
          <w:color w:val="auto"/>
          <w:sz w:val="24"/>
          <w:szCs w:val="24"/>
          <w:highlight w:val="none"/>
        </w:rPr>
        <w:t>的扣除，用扣除后的价格参与评审。若项目专门面向中小企业采购，则不再进行价格扣除。</w:t>
      </w:r>
    </w:p>
    <w:p w14:paraId="3AD82871">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①根据《关于进一步加大政府采购支持中小企业力度的通知》（财库〔2022〕19号）、《政府采购促进中小企业发展管理办法》（财库〔2020〕46号），中小企业应出具《中小企业声明函》，符合工信部联企业〔2011〕300号文件规定；监狱和戒毒企业应符合《财政部 司法部关于政府采购支持监狱企业发展有关问题的通知》（财库〔2014〕68号），并提供由省级以上监狱管理局、戒毒管理局（含新疆生产建设兵团）出具的属于监狱企业的证明；残疾人福利性单位应符合《财政部</w:t>
      </w:r>
      <w:r>
        <w:rPr>
          <w:rFonts w:hint="eastAsia" w:ascii="仿宋_GB2312" w:hAnsi="仿宋_GB2312" w:eastAsia="仿宋_GB2312" w:cs="仿宋_GB2312"/>
          <w:color w:val="auto"/>
          <w:sz w:val="24"/>
          <w:szCs w:val="24"/>
          <w:highlight w:val="none"/>
          <w:lang w:val="en-US" w:eastAsia="zh-CN"/>
        </w:rPr>
        <w:t xml:space="preserve"> </w:t>
      </w:r>
      <w:r>
        <w:rPr>
          <w:rFonts w:hint="eastAsia" w:ascii="仿宋_GB2312" w:hAnsi="仿宋_GB2312" w:eastAsia="仿宋_GB2312" w:cs="仿宋_GB2312"/>
          <w:color w:val="auto"/>
          <w:sz w:val="24"/>
          <w:szCs w:val="24"/>
          <w:highlight w:val="none"/>
        </w:rPr>
        <w:t>民政部</w:t>
      </w:r>
      <w:r>
        <w:rPr>
          <w:rFonts w:hint="eastAsia" w:ascii="仿宋_GB2312" w:hAnsi="仿宋_GB2312" w:eastAsia="仿宋_GB2312" w:cs="仿宋_GB2312"/>
          <w:color w:val="auto"/>
          <w:sz w:val="24"/>
          <w:szCs w:val="24"/>
          <w:highlight w:val="none"/>
          <w:lang w:val="en-US" w:eastAsia="zh-CN"/>
        </w:rPr>
        <w:t xml:space="preserve"> </w:t>
      </w:r>
      <w:r>
        <w:rPr>
          <w:rFonts w:hint="eastAsia" w:ascii="仿宋_GB2312" w:hAnsi="仿宋_GB2312" w:eastAsia="仿宋_GB2312" w:cs="仿宋_GB2312"/>
          <w:color w:val="auto"/>
          <w:sz w:val="24"/>
          <w:szCs w:val="24"/>
          <w:highlight w:val="none"/>
        </w:rPr>
        <w:t>中国残疾人联合会关于促进残疾人就业政府采购政策的通知》（财库〔2017〕141号）文件规定，并提供《残疾人福利性单位声明函》。</w:t>
      </w:r>
    </w:p>
    <w:p w14:paraId="510BABD6">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②对于同时属于小微企业、监狱企业或残疾人福利性单位的，不重复进行价格扣除。</w:t>
      </w:r>
    </w:p>
    <w:p w14:paraId="1D8F4CCD">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③如允许与小微企业组成联合体或向其分包的，且合同额占总金额30%以上的，给予</w:t>
      </w:r>
      <w:r>
        <w:rPr>
          <w:rFonts w:hint="eastAsia" w:ascii="仿宋_GB2312" w:hAnsi="仿宋_GB2312" w:eastAsia="仿宋_GB2312" w:cs="仿宋_GB2312"/>
          <w:color w:val="auto"/>
          <w:sz w:val="24"/>
          <w:szCs w:val="24"/>
          <w:highlight w:val="none"/>
          <w:u w:val="single"/>
        </w:rPr>
        <w:t>4%（工程为1%）</w:t>
      </w:r>
      <w:r>
        <w:rPr>
          <w:rFonts w:hint="eastAsia" w:ascii="仿宋_GB2312" w:hAnsi="仿宋_GB2312" w:eastAsia="仿宋_GB2312" w:cs="仿宋_GB2312"/>
          <w:color w:val="auto"/>
          <w:sz w:val="24"/>
          <w:szCs w:val="24"/>
          <w:highlight w:val="none"/>
        </w:rPr>
        <w:t>的扣除。联合体各方均为小型、微型企业和监狱企业的，联合体视同为小型、微型企业和监狱企业。</w:t>
      </w:r>
    </w:p>
    <w:p w14:paraId="5DF47D85">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2</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供应商提供服务所伴随</w:t>
      </w:r>
      <w:r>
        <w:rPr>
          <w:rFonts w:hint="eastAsia" w:ascii="仿宋_GB2312" w:hAnsi="仿宋_GB2312" w:eastAsia="仿宋_GB2312" w:cs="仿宋_GB2312"/>
          <w:color w:val="auto"/>
          <w:sz w:val="24"/>
          <w:szCs w:val="24"/>
          <w:highlight w:val="none"/>
        </w:rPr>
        <w:t>产品为节能、环境标志产品，符合</w:t>
      </w:r>
      <w:r>
        <w:rPr>
          <w:rFonts w:hint="eastAsia" w:ascii="仿宋_GB2312" w:hAnsi="仿宋_GB2312" w:eastAsia="仿宋_GB2312" w:cs="仿宋_GB2312"/>
          <w:color w:val="auto"/>
          <w:sz w:val="24"/>
          <w:szCs w:val="24"/>
          <w:highlight w:val="none"/>
          <w:lang w:val="en-US" w:eastAsia="zh-CN"/>
        </w:rPr>
        <w:t>采购</w:t>
      </w:r>
      <w:r>
        <w:rPr>
          <w:rFonts w:hint="eastAsia" w:ascii="仿宋_GB2312" w:hAnsi="仿宋_GB2312" w:eastAsia="仿宋_GB2312" w:cs="仿宋_GB2312"/>
          <w:color w:val="auto"/>
          <w:sz w:val="24"/>
          <w:szCs w:val="24"/>
          <w:highlight w:val="none"/>
        </w:rPr>
        <w:t>文件要求的，可优先采购，价格扣除百分比计算公式为：节能、环境标志产品清单中的产品价格占响应总价的百分比×5%，用扣除后的价格参与评审。</w:t>
      </w:r>
    </w:p>
    <w:p w14:paraId="20584F66">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①根据《关于调整优化节能产品、环境标志产品政府采购执行机制的通知》（财库〔2019〕9号）、《国务院办公厅关于建立政府强制采购节能产品制度的通知》（国办发〔2007〕51号）、环境标志产品根据《环境标志产品政府采购实施的意见》（财库〔2006〕90号）的规定，节能、环境标志产品依据品目清单和认证证书实施政府采购优先采购和强制采购。</w:t>
      </w:r>
    </w:p>
    <w:p w14:paraId="4313B07C">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rPr>
        <w:t>②以在有效期之内的，国家确定的认证机构出具的节能产品、环境标志产品认证证书为依据，复印件须加盖供应商公章，否则不予扣除</w:t>
      </w:r>
      <w:r>
        <w:rPr>
          <w:rFonts w:hint="eastAsia" w:ascii="仿宋_GB2312" w:hAnsi="仿宋_GB2312" w:eastAsia="仿宋_GB2312" w:cs="仿宋_GB2312"/>
          <w:color w:val="auto"/>
          <w:sz w:val="24"/>
          <w:szCs w:val="24"/>
          <w:highlight w:val="none"/>
          <w:lang w:eastAsia="zh-CN"/>
        </w:rPr>
        <w:t>。</w:t>
      </w:r>
    </w:p>
    <w:p w14:paraId="05B2B89D">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③供应商在响应文件中对所响应产品为节能、环境标志品目清单中的产品，在谈判报价时必须对此类产品单独分项报价，未提供节能、环境标志产品计分明细表不予扣除。</w:t>
      </w:r>
    </w:p>
    <w:p w14:paraId="61178091">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④若节能、环境标志清单内的产品仅是构成响应产品的部件、组件或零件的，则该产品不享受鼓励优惠政策。</w:t>
      </w:r>
    </w:p>
    <w:p w14:paraId="3E6E6CAC">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⑤同一包内的节能、环境标志产品部分计分只对属于清单内的非强制类产品进行计分，强制类产品不给予扣除。</w:t>
      </w:r>
    </w:p>
    <w:p w14:paraId="32E39F01">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⑥节能、环境标志产品不重复扣除。</w:t>
      </w:r>
    </w:p>
    <w:p w14:paraId="2DAAF241">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3</w:t>
      </w:r>
      <w:r>
        <w:rPr>
          <w:rFonts w:hint="eastAsia" w:ascii="仿宋_GB2312" w:hAnsi="仿宋_GB2312" w:eastAsia="仿宋_GB2312" w:cs="仿宋_GB2312"/>
          <w:color w:val="auto"/>
          <w:sz w:val="24"/>
          <w:szCs w:val="24"/>
          <w:highlight w:val="none"/>
          <w:lang w:eastAsia="zh-CN"/>
        </w:rPr>
        <w:t>）政府采购货物项目和服务项目中涉及的货物，</w:t>
      </w:r>
      <w:r>
        <w:rPr>
          <w:rFonts w:hint="eastAsia" w:ascii="仿宋_GB2312" w:hAnsi="仿宋_GB2312" w:eastAsia="仿宋_GB2312" w:cs="仿宋_GB2312"/>
          <w:color w:val="auto"/>
          <w:sz w:val="24"/>
          <w:szCs w:val="24"/>
          <w:highlight w:val="none"/>
          <w:lang w:val="en-US" w:eastAsia="zh-CN"/>
        </w:rPr>
        <w:t>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达到80%，不享受价格评审优惠。本项目适用情形详见“投标人须知前附表”的规定。对供应商所出具的《声明函》完整性、准确性进行审查。符合澄清补正情形的，应以书面形式要求供应商澄清补正，澄清补正后仍不符合要求的，不享受价格评审优惠。当涉及政府采购政策叠加适用，统一在原投标报价的基础上进行价格扣除。</w:t>
      </w:r>
    </w:p>
    <w:p w14:paraId="6F086E92">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lang w:val="en-US" w:eastAsia="zh-CN"/>
        </w:rPr>
        <w:t>4</w:t>
      </w:r>
      <w:r>
        <w:rPr>
          <w:rFonts w:hint="eastAsia" w:ascii="仿宋_GB2312" w:hAnsi="仿宋_GB2312" w:eastAsia="仿宋_GB2312" w:cs="仿宋_GB2312"/>
          <w:color w:val="auto"/>
          <w:sz w:val="24"/>
          <w:szCs w:val="24"/>
          <w:highlight w:val="none"/>
        </w:rPr>
        <w:t>）评审基准价。有效响应文件中的最后报价并按本款（1）（2）</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3</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进行调整的最低报价为评审基准价。</w:t>
      </w:r>
    </w:p>
    <w:p w14:paraId="2CED2256">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lang w:val="en-US" w:eastAsia="zh-CN"/>
        </w:rPr>
        <w:t>5</w:t>
      </w:r>
      <w:r>
        <w:rPr>
          <w:rFonts w:hint="eastAsia" w:ascii="仿宋_GB2312" w:hAnsi="仿宋_GB2312" w:eastAsia="仿宋_GB2312" w:cs="仿宋_GB2312"/>
          <w:color w:val="auto"/>
          <w:sz w:val="24"/>
          <w:szCs w:val="24"/>
          <w:highlight w:val="none"/>
        </w:rPr>
        <w:t>）供应商报价（按本款（1）（2）</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3</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进行调整后价格）得分=（评审基准价／最后报价）×价格分分值</w:t>
      </w:r>
      <w:r>
        <w:rPr>
          <w:rFonts w:hint="eastAsia" w:ascii="仿宋_GB2312" w:hAnsi="仿宋_GB2312" w:eastAsia="仿宋_GB2312" w:cs="仿宋_GB2312"/>
          <w:color w:val="auto"/>
          <w:sz w:val="24"/>
          <w:szCs w:val="24"/>
          <w:highlight w:val="none"/>
          <w:lang w:eastAsia="zh-CN"/>
        </w:rPr>
        <w:t>。</w:t>
      </w:r>
    </w:p>
    <w:p w14:paraId="38EB3994">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6</w:t>
      </w:r>
      <w:r>
        <w:rPr>
          <w:rFonts w:hint="eastAsia" w:ascii="仿宋_GB2312" w:hAnsi="仿宋_GB2312" w:eastAsia="仿宋_GB2312" w:cs="仿宋_GB2312"/>
          <w:color w:val="auto"/>
          <w:sz w:val="24"/>
          <w:szCs w:val="24"/>
          <w:highlight w:val="none"/>
          <w:lang w:eastAsia="zh-CN"/>
        </w:rPr>
        <w:t xml:space="preserve">）异常低价审查 </w:t>
      </w:r>
    </w:p>
    <w:p w14:paraId="01697665">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 xml:space="preserve">评审中出现下列情形之一的，磋商小组应当启动异常低价响应审查程序： </w:t>
      </w:r>
    </w:p>
    <w:p w14:paraId="6E85429E">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val="en-US" w:eastAsia="zh-CN"/>
        </w:rPr>
        <w:t>1）</w:t>
      </w:r>
      <w:r>
        <w:rPr>
          <w:rFonts w:hint="eastAsia" w:ascii="仿宋_GB2312" w:hAnsi="仿宋_GB2312" w:eastAsia="仿宋_GB2312" w:cs="仿宋_GB2312"/>
          <w:color w:val="auto"/>
          <w:sz w:val="24"/>
          <w:szCs w:val="24"/>
          <w:highlight w:val="none"/>
          <w:lang w:eastAsia="zh-CN"/>
        </w:rPr>
        <w:t xml:space="preserve">响应报价低于全部通过符合性审查供应商响应报价平均值50%的，即响应报价&lt;全部通过符合性审查供应商响应报价平均值×50%； </w:t>
      </w:r>
    </w:p>
    <w:p w14:paraId="6EE90A2F">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val="en-US" w:eastAsia="zh-CN"/>
        </w:rPr>
        <w:t>2）</w:t>
      </w:r>
      <w:r>
        <w:rPr>
          <w:rFonts w:hint="eastAsia" w:ascii="仿宋_GB2312" w:hAnsi="仿宋_GB2312" w:eastAsia="仿宋_GB2312" w:cs="仿宋_GB2312"/>
          <w:color w:val="auto"/>
          <w:sz w:val="24"/>
          <w:szCs w:val="24"/>
          <w:highlight w:val="none"/>
          <w:lang w:eastAsia="zh-CN"/>
        </w:rPr>
        <w:t xml:space="preserve">响应报价低于通过符合性审查的次低报价供应商响应报价50%的，即响应报价&lt;通过符合性审查的次低报价供应商响应报价×50%； </w:t>
      </w:r>
    </w:p>
    <w:p w14:paraId="40E5B132">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val="en-US" w:eastAsia="zh-CN"/>
        </w:rPr>
        <w:t>3）</w:t>
      </w:r>
      <w:r>
        <w:rPr>
          <w:rFonts w:hint="eastAsia" w:ascii="仿宋_GB2312" w:hAnsi="仿宋_GB2312" w:eastAsia="仿宋_GB2312" w:cs="仿宋_GB2312"/>
          <w:color w:val="auto"/>
          <w:sz w:val="24"/>
          <w:szCs w:val="24"/>
          <w:highlight w:val="none"/>
          <w:lang w:eastAsia="zh-CN"/>
        </w:rPr>
        <w:t xml:space="preserve">响应报价低于采购项目最高限价45%的，即响应报价&lt;采购项目最高限价×45%； </w:t>
      </w:r>
    </w:p>
    <w:p w14:paraId="06BFBCB0">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val="en-US" w:eastAsia="zh-CN"/>
        </w:rPr>
        <w:t>4）</w:t>
      </w:r>
      <w:r>
        <w:rPr>
          <w:rFonts w:hint="eastAsia" w:ascii="仿宋_GB2312" w:hAnsi="仿宋_GB2312" w:eastAsia="仿宋_GB2312" w:cs="仿宋_GB2312"/>
          <w:color w:val="auto"/>
          <w:sz w:val="24"/>
          <w:szCs w:val="24"/>
          <w:highlight w:val="none"/>
          <w:lang w:eastAsia="zh-CN"/>
        </w:rPr>
        <w:t xml:space="preserve">磋商小组基于专业判断，认为供应商报价过低，有可能影响产品质量或者不能诚信履约的其他情形。 </w:t>
      </w:r>
    </w:p>
    <w:p w14:paraId="0036F8BA">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 xml:space="preserve">相关法律法规对供应商报价有规定的，从其规定。 </w:t>
      </w:r>
    </w:p>
    <w:p w14:paraId="7DF2797C">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 </w:t>
      </w:r>
    </w:p>
    <w:p w14:paraId="32D6CAC1">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 </w:t>
      </w:r>
    </w:p>
    <w:p w14:paraId="3F64FF41">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 异常低价响应审查的启动原因、审查意见和审查结果应当在评审报告中记录，并随供应商提供的相关书面说明及证明材料，以及磋商小组有关互联网浏览、查询历史一并归档。 </w:t>
      </w:r>
    </w:p>
    <w:p w14:paraId="4438B823">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2.3.4 提供相同品牌产品（单一产品或核心产品品牌相同。核心产品超过一种产品的，核心产品中只要有一种产品为相同品牌，即认定为核心产品为相同品牌）且通过资格审查、符合性审查的不同供应商参加同一合同项下磋商的，按一家供应商计算，评审后得分最高的同品牌供应商获得成交人推荐资格；评审得分相同的，由采购人或者采购人委托磋商小组按照采购文件规定的方式确定一个供应商获得成交人推荐资格，采购文件未规定的采取随机抽取方式确定，其他同品牌供应商不作为成交候选人。</w:t>
      </w:r>
    </w:p>
    <w:p w14:paraId="58CDCF01">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2.3.</w:t>
      </w:r>
      <w:r>
        <w:rPr>
          <w:rFonts w:hint="eastAsia" w:ascii="仿宋_GB2312" w:hAnsi="仿宋_GB2312" w:eastAsia="仿宋_GB2312" w:cs="仿宋_GB2312"/>
          <w:color w:val="auto"/>
          <w:sz w:val="24"/>
          <w:szCs w:val="24"/>
          <w:highlight w:val="none"/>
          <w:lang w:val="en-US" w:eastAsia="zh-CN"/>
        </w:rPr>
        <w:t>5</w:t>
      </w:r>
      <w:r>
        <w:rPr>
          <w:rFonts w:hint="eastAsia" w:ascii="仿宋_GB2312" w:hAnsi="仿宋_GB2312" w:eastAsia="仿宋_GB2312" w:cs="仿宋_GB2312"/>
          <w:color w:val="auto"/>
          <w:sz w:val="24"/>
          <w:szCs w:val="24"/>
          <w:highlight w:val="none"/>
        </w:rPr>
        <w:t xml:space="preserve"> 响应文件出现下列情况之一者，磋商小组在评审过程中按以下原则修正：</w:t>
      </w:r>
    </w:p>
    <w:p w14:paraId="2D6E2E48">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（1）大写金额与小写金额不一致的，以大写金额为准；</w:t>
      </w:r>
    </w:p>
    <w:p w14:paraId="1AB237D7">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（2）总价金额与按单价汇总金额不一致的，以单价金额计算结果为准；</w:t>
      </w:r>
    </w:p>
    <w:p w14:paraId="3230FD71">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（3）单价金额小数点有明显错位的，应以总价为准，并修改单价；</w:t>
      </w:r>
    </w:p>
    <w:p w14:paraId="3CDC7D9C">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（4）对不同文字文本响应文件的解释发生异议的，以中文文本为准；</w:t>
      </w:r>
    </w:p>
    <w:p w14:paraId="6B4A5A13">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（5）文字与图表不一致的，以文字为准；</w:t>
      </w:r>
    </w:p>
    <w:p w14:paraId="6C4617E9">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（6）正本与副本不一致的，以正本为准；</w:t>
      </w:r>
    </w:p>
    <w:p w14:paraId="16A6D328">
      <w:pPr>
        <w:keepNext w:val="0"/>
        <w:keepLines w:val="0"/>
        <w:pageBreakBefore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（7）响应文件的文字叙述与制造厂商的产品样本/检测报告不符时，以产品样本/检测报告为准。</w:t>
      </w:r>
    </w:p>
    <w:p w14:paraId="4ACFD8DD">
      <w:pPr>
        <w:pStyle w:val="81"/>
        <w:keepNext w:val="0"/>
        <w:keepLines w:val="0"/>
        <w:pageBreakBefore w:val="0"/>
        <w:kinsoku/>
        <w:wordWrap/>
        <w:overflowPunct/>
        <w:topLinePunct w:val="0"/>
        <w:autoSpaceDE/>
        <w:autoSpaceDN/>
        <w:bidi w:val="0"/>
        <w:adjustRightInd/>
        <w:snapToGrid/>
        <w:spacing w:before="0" w:beforeLines="0" w:after="0" w:afterLines="0" w:line="360" w:lineRule="auto"/>
        <w:textAlignment w:val="auto"/>
        <w:rPr>
          <w:rFonts w:hint="eastAsia" w:ascii="仿宋_GB2312" w:hAnsi="仿宋_GB2312" w:eastAsia="仿宋_GB2312" w:cs="仿宋_GB2312"/>
          <w:color w:val="auto"/>
          <w:sz w:val="24"/>
          <w:szCs w:val="24"/>
          <w:highlight w:val="none"/>
        </w:rPr>
      </w:pPr>
      <w:bookmarkStart w:id="403" w:name="_Toc3575"/>
      <w:bookmarkStart w:id="404" w:name="_Toc7005042"/>
      <w:r>
        <w:rPr>
          <w:rFonts w:hint="eastAsia" w:ascii="仿宋_GB2312" w:hAnsi="仿宋_GB2312" w:eastAsia="仿宋_GB2312" w:cs="仿宋_GB2312"/>
          <w:color w:val="auto"/>
          <w:sz w:val="24"/>
          <w:szCs w:val="24"/>
          <w:highlight w:val="none"/>
        </w:rPr>
        <w:t>3.评审程序</w:t>
      </w:r>
      <w:bookmarkEnd w:id="403"/>
      <w:bookmarkEnd w:id="404"/>
    </w:p>
    <w:p w14:paraId="49FCD572">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b/>
          <w:color w:val="auto"/>
          <w:sz w:val="24"/>
          <w:szCs w:val="24"/>
          <w:highlight w:val="none"/>
        </w:rPr>
      </w:pPr>
      <w:bookmarkStart w:id="405" w:name="_Toc7005043"/>
      <w:r>
        <w:rPr>
          <w:rFonts w:hint="eastAsia" w:ascii="仿宋_GB2312" w:hAnsi="仿宋_GB2312" w:eastAsia="仿宋_GB2312" w:cs="仿宋_GB2312"/>
          <w:b/>
          <w:color w:val="auto"/>
          <w:sz w:val="24"/>
          <w:szCs w:val="24"/>
          <w:highlight w:val="none"/>
        </w:rPr>
        <w:t>3.1资格审查及符合性审查</w:t>
      </w:r>
      <w:bookmarkEnd w:id="405"/>
    </w:p>
    <w:p w14:paraId="6B8257E4">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3.1.1 磋商小组按附表一所列审查标准对供应商资格进行审查，以确定供应商是否具备磋商资格。</w:t>
      </w:r>
    </w:p>
    <w:p w14:paraId="4FEB09EA">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3.1.2 磋商小组对符合资格要求的响应文件按附表二进行符合性审查，以确定其是否满足磋商文件的实质性要求（见本章内的符合性审查表）。</w:t>
      </w:r>
    </w:p>
    <w:p w14:paraId="4EBDF89C">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3.1.3 磋商小组在符合性审查时，可以要求供应商对响应文件中含义不明确、同类问题表述不一致或者有明显文字和计算错误的内容作出必要的澄清、说明或更正。供应商的澄清、说明或更正不得超出响应文件的范围或者改变响应文件的实质性内容。</w:t>
      </w:r>
    </w:p>
    <w:p w14:paraId="4EE5D05D">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磋商小组不接受供应商主动提出的澄清、说明或补正。</w:t>
      </w:r>
    </w:p>
    <w:p w14:paraId="07DDCABB">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供应商的书面澄清、说明和补正属于响应文件的组成部分。</w:t>
      </w:r>
    </w:p>
    <w:p w14:paraId="4C84B179">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磋商小组对供应商提交的澄清、说明或补正有疑问的，可以要求供应商进一步澄清、说明或补正，直至满足评审小组的要求。</w:t>
      </w:r>
    </w:p>
    <w:p w14:paraId="216AA1AA">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3.1.4 不具备磋商文件要求的资格或未通过符合性审查的供应商，不参与磋商，由磋商小组告知该供应商。</w:t>
      </w:r>
    </w:p>
    <w:p w14:paraId="4CCC1876">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3.1.5 通过资格审查和符合性审查的合格供应商不足3家的，不再进行评审和磋商。</w:t>
      </w:r>
    </w:p>
    <w:p w14:paraId="2C537140">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b/>
          <w:color w:val="auto"/>
          <w:sz w:val="24"/>
          <w:szCs w:val="24"/>
          <w:highlight w:val="none"/>
        </w:rPr>
      </w:pPr>
      <w:bookmarkStart w:id="406" w:name="_Toc7005044"/>
      <w:r>
        <w:rPr>
          <w:rFonts w:hint="eastAsia" w:ascii="仿宋_GB2312" w:hAnsi="仿宋_GB2312" w:eastAsia="仿宋_GB2312" w:cs="仿宋_GB2312"/>
          <w:b/>
          <w:color w:val="auto"/>
          <w:sz w:val="24"/>
          <w:szCs w:val="24"/>
          <w:highlight w:val="none"/>
        </w:rPr>
        <w:t>3.2 磋商</w:t>
      </w:r>
      <w:bookmarkEnd w:id="406"/>
    </w:p>
    <w:p w14:paraId="51D33B37">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3.2.1按“供应商须知”第五条规定，由磋商小组与供应商进行磋商。</w:t>
      </w:r>
    </w:p>
    <w:p w14:paraId="42E9A684">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3.2.2磋商过程中，磋商小组可以根据与供应商的磋商情况，在不违反相关法律法规、强制性标准、规范情况下，并经采购人代表同意后，对磋商文件的技术标准及服务要求、拟签订合同的部分条款进行变动。变动内容是磋商文件的有效组成部分，磋商小组以书面形式通知所有参加磋商的供应商。</w:t>
      </w:r>
    </w:p>
    <w:p w14:paraId="5BA4B944">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3.2.3 磋商结束后，磋商小组可以要求所有继续参加磋商的供应商在规定时间内提交最后报价函，提交最后报价函的供应商不得少于3家。</w:t>
      </w:r>
    </w:p>
    <w:p w14:paraId="7E4BFA1D">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b/>
          <w:color w:val="auto"/>
          <w:sz w:val="24"/>
          <w:szCs w:val="24"/>
          <w:highlight w:val="none"/>
        </w:rPr>
      </w:pPr>
      <w:bookmarkStart w:id="407" w:name="_Toc7005045"/>
      <w:r>
        <w:rPr>
          <w:rFonts w:hint="eastAsia" w:ascii="仿宋_GB2312" w:hAnsi="仿宋_GB2312" w:eastAsia="仿宋_GB2312" w:cs="仿宋_GB2312"/>
          <w:b/>
          <w:color w:val="auto"/>
          <w:sz w:val="24"/>
          <w:szCs w:val="24"/>
          <w:highlight w:val="none"/>
        </w:rPr>
        <w:t>3.3评审</w:t>
      </w:r>
      <w:bookmarkEnd w:id="407"/>
    </w:p>
    <w:p w14:paraId="1AFD91D0">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3.3.1 比较与评价</w:t>
      </w:r>
    </w:p>
    <w:p w14:paraId="5D9C3A32">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磋商小组按本章第2.3款[商务和技术评审标准]对供应商提交的响应文件（包括最后报价函）进行商务和技术评估，综合比较与评价。</w:t>
      </w:r>
    </w:p>
    <w:p w14:paraId="2DB78B16">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磋商小组认为供应商的报价明显低于其他参与最后报价的供应商的报价或明显低于采购预算时，有可能影响产品质量或者不能诚信履约的，应当要求其在合理的时间内提供书面说明，并提交相关证明材料；供应商不能证明其报价合理性的，磋商小组应当将其作为无效处理。</w:t>
      </w:r>
    </w:p>
    <w:p w14:paraId="197CE805">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3.3.2 磋商小组按本章第2.3款规定的量化因素和分值进行打分，并计算出综合评估得分。</w:t>
      </w:r>
    </w:p>
    <w:p w14:paraId="79738421">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（1）按本章第2.3.1项规定的评审因素和分值对商务部分计算出得分A；</w:t>
      </w:r>
    </w:p>
    <w:p w14:paraId="70F69676">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（2）按本章第2.3.2项规定的评审因素和分值对技术部分计算出得分B；</w:t>
      </w:r>
    </w:p>
    <w:p w14:paraId="2FB10281">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（3）按本章第2.3.3项规定的评审因素和分值对报价部分计算出得分C。</w:t>
      </w:r>
    </w:p>
    <w:p w14:paraId="146222C9">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3.3.3评分分值计算保留小数点后两位，小数点后第三位“四舍五入”。</w:t>
      </w:r>
    </w:p>
    <w:p w14:paraId="60106483">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3.3.4供应商得分=A＋B＋C</w:t>
      </w:r>
    </w:p>
    <w:p w14:paraId="20AEE7F2">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rPr>
        <w:t>3.4 评审结果</w:t>
      </w:r>
    </w:p>
    <w:p w14:paraId="2C2EDA47">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3.4.1 除第二章“供应商须知”前附表授权直接确定成交供应商外，磋商小组按照得分由高到低的顺序推荐3名成交候选人。</w:t>
      </w:r>
    </w:p>
    <w:p w14:paraId="5A509EA2">
      <w:pPr>
        <w:pStyle w:val="2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3.4.2 磋商小组完成评审后，应当向采购人提交书面评审报告。</w:t>
      </w:r>
    </w:p>
    <w:p w14:paraId="03C90FAB">
      <w:pPr>
        <w:pStyle w:val="22"/>
        <w:rPr>
          <w:rFonts w:ascii="Times New Roman" w:hAnsi="Times New Roman" w:eastAsia="仿宋_GB2312"/>
          <w:color w:val="auto"/>
          <w:sz w:val="24"/>
          <w:highlight w:val="none"/>
        </w:rPr>
      </w:pPr>
      <w:r>
        <w:rPr>
          <w:rFonts w:ascii="Times New Roman" w:hAnsi="Times New Roman" w:eastAsia="仿宋_GB2312"/>
          <w:color w:val="auto"/>
          <w:sz w:val="24"/>
          <w:highlight w:val="none"/>
        </w:rPr>
        <w:br w:type="page"/>
      </w:r>
    </w:p>
    <w:p w14:paraId="47413E24">
      <w:pPr>
        <w:spacing w:line="360" w:lineRule="auto"/>
        <w:jc w:val="center"/>
        <w:rPr>
          <w:rFonts w:hint="eastAsia" w:ascii="仿宋_GB2312" w:hAnsi="仿宋_GB2312" w:eastAsia="仿宋_GB2312" w:cs="仿宋_GB2312"/>
          <w:b/>
          <w:color w:val="auto"/>
          <w:sz w:val="30"/>
          <w:szCs w:val="30"/>
          <w:highlight w:val="none"/>
        </w:rPr>
      </w:pPr>
      <w:r>
        <w:rPr>
          <w:rFonts w:hint="eastAsia" w:ascii="仿宋_GB2312" w:hAnsi="仿宋_GB2312" w:eastAsia="仿宋_GB2312" w:cs="仿宋_GB2312"/>
          <w:b/>
          <w:color w:val="auto"/>
          <w:sz w:val="30"/>
          <w:szCs w:val="30"/>
          <w:highlight w:val="none"/>
        </w:rPr>
        <w:t>附表一 资格审查表</w:t>
      </w:r>
    </w:p>
    <w:tbl>
      <w:tblPr>
        <w:tblStyle w:val="50"/>
        <w:tblW w:w="902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2228"/>
        <w:gridCol w:w="4966"/>
        <w:gridCol w:w="1122"/>
      </w:tblGrid>
      <w:tr w14:paraId="768414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blHeader/>
        </w:trPr>
        <w:tc>
          <w:tcPr>
            <w:tcW w:w="708" w:type="dxa"/>
            <w:noWrap w:val="0"/>
            <w:vAlign w:val="center"/>
          </w:tcPr>
          <w:p w14:paraId="055FF20B">
            <w:pPr>
              <w:pStyle w:val="307"/>
              <w:ind w:left="117" w:right="111" w:firstLine="17"/>
              <w:jc w:val="center"/>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b/>
                <w:bCs/>
                <w:color w:val="auto"/>
                <w:spacing w:val="-17"/>
                <w:sz w:val="21"/>
                <w:szCs w:val="21"/>
                <w:highlight w:val="none"/>
                <w:lang w:eastAsia="zh-CN"/>
              </w:rPr>
              <w:t>序号</w:t>
            </w:r>
          </w:p>
        </w:tc>
        <w:tc>
          <w:tcPr>
            <w:tcW w:w="2228" w:type="dxa"/>
            <w:noWrap w:val="0"/>
            <w:vAlign w:val="center"/>
          </w:tcPr>
          <w:p w14:paraId="22789CFE">
            <w:pPr>
              <w:pStyle w:val="307"/>
              <w:jc w:val="center"/>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b/>
                <w:bCs/>
                <w:color w:val="auto"/>
                <w:spacing w:val="-5"/>
                <w:sz w:val="21"/>
                <w:szCs w:val="21"/>
                <w:highlight w:val="none"/>
                <w:lang w:eastAsia="zh-CN"/>
              </w:rPr>
              <w:t>审查要素</w:t>
            </w:r>
          </w:p>
        </w:tc>
        <w:tc>
          <w:tcPr>
            <w:tcW w:w="4966" w:type="dxa"/>
            <w:noWrap w:val="0"/>
            <w:vAlign w:val="center"/>
          </w:tcPr>
          <w:p w14:paraId="03F2F974">
            <w:pPr>
              <w:pStyle w:val="307"/>
              <w:jc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b/>
                <w:bCs/>
                <w:color w:val="auto"/>
                <w:spacing w:val="-4"/>
                <w:sz w:val="21"/>
                <w:szCs w:val="21"/>
                <w:highlight w:val="none"/>
                <w:lang w:eastAsia="zh-CN"/>
              </w:rPr>
              <w:t>审查</w:t>
            </w:r>
            <w:r>
              <w:rPr>
                <w:rFonts w:hint="eastAsia" w:ascii="仿宋_GB2312" w:hAnsi="仿宋_GB2312" w:eastAsia="仿宋_GB2312" w:cs="仿宋_GB2312"/>
                <w:b/>
                <w:bCs/>
                <w:color w:val="auto"/>
                <w:spacing w:val="-4"/>
                <w:sz w:val="21"/>
                <w:szCs w:val="21"/>
                <w:highlight w:val="none"/>
              </w:rPr>
              <w:t>标准</w:t>
            </w:r>
          </w:p>
        </w:tc>
        <w:tc>
          <w:tcPr>
            <w:tcW w:w="1122" w:type="dxa"/>
            <w:noWrap w:val="0"/>
            <w:vAlign w:val="center"/>
          </w:tcPr>
          <w:p w14:paraId="6FEC933B">
            <w:pPr>
              <w:pStyle w:val="307"/>
              <w:jc w:val="center"/>
              <w:rPr>
                <w:rFonts w:hint="eastAsia" w:ascii="仿宋_GB2312" w:hAnsi="仿宋_GB2312" w:eastAsia="仿宋_GB2312" w:cs="仿宋_GB2312"/>
                <w:b/>
                <w:bCs/>
                <w:color w:val="auto"/>
                <w:spacing w:val="-4"/>
                <w:sz w:val="21"/>
                <w:szCs w:val="21"/>
                <w:highlight w:val="none"/>
                <w:lang w:eastAsia="zh-CN"/>
              </w:rPr>
            </w:pPr>
            <w:r>
              <w:rPr>
                <w:rFonts w:hint="eastAsia" w:ascii="仿宋_GB2312" w:hAnsi="仿宋_GB2312" w:eastAsia="仿宋_GB2312" w:cs="仿宋_GB2312"/>
                <w:b/>
                <w:bCs/>
                <w:color w:val="auto"/>
                <w:spacing w:val="-4"/>
                <w:sz w:val="21"/>
                <w:szCs w:val="21"/>
                <w:highlight w:val="none"/>
                <w:lang w:eastAsia="zh-CN"/>
              </w:rPr>
              <w:t>审查结论</w:t>
            </w:r>
          </w:p>
        </w:tc>
      </w:tr>
      <w:tr w14:paraId="179A2B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7" w:hRule="atLeast"/>
        </w:trPr>
        <w:tc>
          <w:tcPr>
            <w:tcW w:w="708" w:type="dxa"/>
            <w:noWrap w:val="0"/>
            <w:vAlign w:val="center"/>
          </w:tcPr>
          <w:p w14:paraId="5CCCBD4F">
            <w:pPr>
              <w:pStyle w:val="307"/>
              <w:jc w:val="center"/>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sz w:val="21"/>
                <w:szCs w:val="21"/>
                <w:highlight w:val="none"/>
                <w:lang w:eastAsia="zh-CN"/>
              </w:rPr>
              <w:t>1</w:t>
            </w:r>
          </w:p>
        </w:tc>
        <w:tc>
          <w:tcPr>
            <w:tcW w:w="2228" w:type="dxa"/>
            <w:noWrap w:val="0"/>
            <w:vAlign w:val="center"/>
          </w:tcPr>
          <w:p w14:paraId="257D49FB">
            <w:pPr>
              <w:pStyle w:val="307"/>
              <w:ind w:right="279"/>
              <w:jc w:val="center"/>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spacing w:val="-2"/>
                <w:sz w:val="21"/>
                <w:szCs w:val="21"/>
                <w:highlight w:val="none"/>
                <w:lang w:eastAsia="zh-CN"/>
              </w:rPr>
              <w:t>主体证明文件</w:t>
            </w:r>
          </w:p>
        </w:tc>
        <w:tc>
          <w:tcPr>
            <w:tcW w:w="4966" w:type="dxa"/>
            <w:noWrap w:val="0"/>
            <w:vAlign w:val="top"/>
          </w:tcPr>
          <w:p w14:paraId="5059191E">
            <w:pPr>
              <w:pStyle w:val="307"/>
              <w:ind w:left="131" w:right="239" w:hanging="9"/>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sz w:val="21"/>
                <w:szCs w:val="21"/>
                <w:highlight w:val="none"/>
                <w:lang w:eastAsia="zh-CN"/>
              </w:rPr>
              <w:t>（1）供应商是企业（包括合伙企业）的，应提供其在市场监督管理部门注册的有效“营业执照”的复印件；</w:t>
            </w:r>
          </w:p>
          <w:p w14:paraId="1A422AC3">
            <w:pPr>
              <w:pStyle w:val="307"/>
              <w:ind w:left="131" w:right="239" w:hanging="9"/>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sz w:val="21"/>
                <w:szCs w:val="21"/>
                <w:highlight w:val="none"/>
                <w:lang w:eastAsia="zh-CN"/>
              </w:rPr>
              <w:t>（2）供应商是事业单位的，应提供其有效的“事业单位法人证书”复印件；</w:t>
            </w:r>
          </w:p>
          <w:p w14:paraId="2258FC01">
            <w:pPr>
              <w:pStyle w:val="307"/>
              <w:ind w:left="131" w:right="239" w:hanging="9"/>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sz w:val="21"/>
                <w:szCs w:val="21"/>
                <w:highlight w:val="none"/>
                <w:lang w:eastAsia="zh-CN"/>
              </w:rPr>
              <w:t>（3）供应商是非企业专业服务机构的，应提供其有效的“执业许可证”复印件；</w:t>
            </w:r>
          </w:p>
          <w:p w14:paraId="17247428">
            <w:pPr>
              <w:pStyle w:val="307"/>
              <w:ind w:left="131" w:right="239" w:hanging="9"/>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sz w:val="21"/>
                <w:szCs w:val="21"/>
                <w:highlight w:val="none"/>
                <w:lang w:eastAsia="zh-CN"/>
              </w:rPr>
              <w:t>（4）供应商是民办非企业单位的，应提供其有效的登记证书复印件；</w:t>
            </w:r>
          </w:p>
          <w:p w14:paraId="6109D864">
            <w:pPr>
              <w:pStyle w:val="307"/>
              <w:ind w:left="131" w:right="239" w:hanging="9"/>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sz w:val="21"/>
                <w:szCs w:val="21"/>
                <w:highlight w:val="none"/>
                <w:lang w:eastAsia="zh-CN"/>
              </w:rPr>
              <w:t>（5）供应商是个体工商户的，应提供其有效的“营 业执照”复印件；</w:t>
            </w:r>
          </w:p>
          <w:p w14:paraId="727B2A0C">
            <w:pPr>
              <w:pStyle w:val="307"/>
              <w:ind w:left="131" w:right="239" w:hanging="9"/>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sz w:val="21"/>
                <w:szCs w:val="21"/>
                <w:highlight w:val="none"/>
                <w:lang w:eastAsia="zh-CN"/>
              </w:rPr>
              <w:t>（6）供应商是自然人的，应提供其有效的自然人身份证明复印件。</w:t>
            </w:r>
          </w:p>
        </w:tc>
        <w:tc>
          <w:tcPr>
            <w:tcW w:w="1122" w:type="dxa"/>
            <w:noWrap w:val="0"/>
            <w:vAlign w:val="top"/>
          </w:tcPr>
          <w:p w14:paraId="2AEB8C09">
            <w:pPr>
              <w:pStyle w:val="307"/>
              <w:ind w:left="531" w:right="239" w:hanging="409"/>
              <w:rPr>
                <w:rFonts w:hint="eastAsia" w:ascii="仿宋_GB2312" w:hAnsi="仿宋_GB2312" w:eastAsia="仿宋_GB2312" w:cs="仿宋_GB2312"/>
                <w:color w:val="auto"/>
                <w:position w:val="-5"/>
                <w:sz w:val="21"/>
                <w:szCs w:val="21"/>
                <w:highlight w:val="none"/>
                <w:lang w:eastAsia="zh-CN"/>
              </w:rPr>
            </w:pPr>
          </w:p>
        </w:tc>
      </w:tr>
      <w:tr w14:paraId="63AD30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3" w:hRule="atLeast"/>
        </w:trPr>
        <w:tc>
          <w:tcPr>
            <w:tcW w:w="708" w:type="dxa"/>
            <w:noWrap w:val="0"/>
            <w:vAlign w:val="center"/>
          </w:tcPr>
          <w:p w14:paraId="3A515717">
            <w:pPr>
              <w:pStyle w:val="307"/>
              <w:jc w:val="center"/>
              <w:rPr>
                <w:rFonts w:hint="default" w:ascii="仿宋_GB2312" w:hAnsi="仿宋_GB2312" w:eastAsia="仿宋_GB2312" w:cs="仿宋_GB2312"/>
                <w:color w:val="auto"/>
                <w:sz w:val="21"/>
                <w:szCs w:val="21"/>
                <w:highlight w:val="none"/>
                <w:lang w:val="en-US" w:eastAsia="zh-CN"/>
              </w:rPr>
            </w:pPr>
            <w:r>
              <w:rPr>
                <w:rFonts w:hint="eastAsia" w:ascii="仿宋_GB2312" w:hAnsi="仿宋_GB2312" w:eastAsia="仿宋_GB2312" w:cs="仿宋_GB2312"/>
                <w:color w:val="auto"/>
                <w:sz w:val="21"/>
                <w:szCs w:val="21"/>
                <w:highlight w:val="none"/>
                <w:lang w:val="en-US" w:eastAsia="zh-CN"/>
              </w:rPr>
              <w:t>2</w:t>
            </w:r>
          </w:p>
        </w:tc>
        <w:tc>
          <w:tcPr>
            <w:tcW w:w="2228" w:type="dxa"/>
            <w:shd w:val="clear" w:color="auto" w:fill="auto"/>
            <w:noWrap w:val="0"/>
            <w:vAlign w:val="center"/>
          </w:tcPr>
          <w:p w14:paraId="007A49C0">
            <w:pPr>
              <w:snapToGrid w:val="0"/>
              <w:jc w:val="center"/>
              <w:rPr>
                <w:rFonts w:hint="eastAsia" w:ascii="仿宋_GB2312" w:hAnsi="仿宋_GB2312" w:eastAsia="仿宋_GB2312" w:cs="仿宋_GB2312"/>
                <w:color w:val="auto"/>
                <w:kern w:val="2"/>
                <w:sz w:val="21"/>
                <w:szCs w:val="21"/>
                <w:highlight w:val="none"/>
                <w:lang w:val="en-US" w:eastAsia="zh-CN" w:bidi="ar-SA"/>
              </w:rPr>
            </w:pPr>
            <w:r>
              <w:rPr>
                <w:rFonts w:hint="eastAsia" w:ascii="仿宋_GB2312" w:hAnsi="仿宋_GB2312" w:eastAsia="仿宋_GB2312" w:cs="仿宋_GB2312"/>
                <w:color w:val="auto"/>
                <w:szCs w:val="21"/>
                <w:highlight w:val="none"/>
                <w:lang w:val="en-US" w:eastAsia="zh-CN"/>
              </w:rPr>
              <w:t>基本资格条件承诺函</w:t>
            </w:r>
          </w:p>
        </w:tc>
        <w:tc>
          <w:tcPr>
            <w:tcW w:w="4966" w:type="dxa"/>
            <w:shd w:val="clear" w:color="auto" w:fill="auto"/>
            <w:noWrap w:val="0"/>
            <w:vAlign w:val="center"/>
          </w:tcPr>
          <w:p w14:paraId="35112AEF">
            <w:pPr>
              <w:snapToGrid w:val="0"/>
              <w:rPr>
                <w:rFonts w:hint="eastAsia" w:ascii="仿宋_GB2312" w:hAnsi="仿宋_GB2312" w:eastAsia="仿宋_GB2312" w:cs="仿宋_GB2312"/>
                <w:color w:val="auto"/>
                <w:kern w:val="2"/>
                <w:sz w:val="21"/>
                <w:szCs w:val="21"/>
                <w:highlight w:val="none"/>
                <w:lang w:val="en-US" w:eastAsia="zh-CN" w:bidi="ar-SA"/>
              </w:rPr>
            </w:pPr>
            <w:r>
              <w:rPr>
                <w:rFonts w:hint="eastAsia" w:ascii="仿宋_GB2312" w:hAnsi="仿宋_GB2312" w:eastAsia="仿宋_GB2312" w:cs="仿宋_GB2312"/>
                <w:color w:val="auto"/>
                <w:szCs w:val="21"/>
                <w:highlight w:val="none"/>
                <w:lang w:val="en-US" w:eastAsia="zh-CN"/>
              </w:rPr>
              <w:t>根据《陕西省西咸新区财政金融局</w:t>
            </w:r>
            <w:r>
              <w:rPr>
                <w:rFonts w:hint="eastAsia" w:ascii="仿宋_GB2312" w:hAnsi="仿宋_GB2312" w:eastAsia="仿宋_GB2312" w:cs="仿宋_GB2312"/>
                <w:color w:val="auto"/>
                <w:szCs w:val="21"/>
                <w:highlight w:val="none"/>
              </w:rPr>
              <w:t>关于全面推行政府采购供应商基本资格条件承诺制的通知</w:t>
            </w:r>
            <w:r>
              <w:rPr>
                <w:rFonts w:hint="eastAsia" w:ascii="仿宋_GB2312" w:hAnsi="仿宋_GB2312" w:eastAsia="仿宋_GB2312" w:cs="仿宋_GB2312"/>
                <w:color w:val="auto"/>
                <w:szCs w:val="21"/>
                <w:highlight w:val="none"/>
                <w:lang w:val="en-US" w:eastAsia="zh-CN"/>
              </w:rPr>
              <w:t>》（陕西咸财金发〔2023〕119号），供应商须提供基本资格条件承诺函。</w:t>
            </w:r>
          </w:p>
        </w:tc>
        <w:tc>
          <w:tcPr>
            <w:tcW w:w="1122" w:type="dxa"/>
            <w:noWrap w:val="0"/>
            <w:vAlign w:val="top"/>
          </w:tcPr>
          <w:p w14:paraId="46640F7C">
            <w:pPr>
              <w:pStyle w:val="307"/>
              <w:ind w:left="111" w:right="237"/>
              <w:rPr>
                <w:rFonts w:hint="eastAsia" w:ascii="仿宋_GB2312" w:hAnsi="仿宋_GB2312" w:eastAsia="仿宋_GB2312" w:cs="仿宋_GB2312"/>
                <w:color w:val="auto"/>
                <w:sz w:val="21"/>
                <w:szCs w:val="21"/>
                <w:highlight w:val="none"/>
              </w:rPr>
            </w:pPr>
          </w:p>
        </w:tc>
      </w:tr>
      <w:tr w14:paraId="66C53F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08" w:type="dxa"/>
            <w:noWrap w:val="0"/>
            <w:vAlign w:val="center"/>
          </w:tcPr>
          <w:p w14:paraId="7BCC63C4">
            <w:pPr>
              <w:pStyle w:val="307"/>
              <w:jc w:val="center"/>
              <w:rPr>
                <w:rFonts w:hint="eastAsia" w:ascii="仿宋_GB2312" w:hAnsi="仿宋_GB2312" w:eastAsia="仿宋_GB2312" w:cs="仿宋_GB2312"/>
                <w:color w:val="auto"/>
                <w:spacing w:val="-4"/>
                <w:sz w:val="21"/>
                <w:szCs w:val="21"/>
                <w:highlight w:val="none"/>
                <w:lang w:val="en-US" w:eastAsia="zh-CN"/>
              </w:rPr>
            </w:pPr>
            <w:r>
              <w:rPr>
                <w:rFonts w:hint="eastAsia" w:ascii="仿宋_GB2312" w:hAnsi="仿宋_GB2312" w:eastAsia="仿宋_GB2312" w:cs="仿宋_GB2312"/>
                <w:color w:val="auto"/>
                <w:spacing w:val="-4"/>
                <w:sz w:val="21"/>
                <w:szCs w:val="21"/>
                <w:highlight w:val="none"/>
                <w:lang w:val="en-US" w:eastAsia="zh-CN"/>
              </w:rPr>
              <w:t>3</w:t>
            </w:r>
          </w:p>
        </w:tc>
        <w:tc>
          <w:tcPr>
            <w:tcW w:w="2228" w:type="dxa"/>
            <w:noWrap w:val="0"/>
            <w:vAlign w:val="center"/>
          </w:tcPr>
          <w:p w14:paraId="32E74D3A">
            <w:pPr>
              <w:pStyle w:val="307"/>
              <w:ind w:right="237"/>
              <w:jc w:val="center"/>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sz w:val="21"/>
                <w:szCs w:val="21"/>
                <w:highlight w:val="none"/>
                <w:lang w:eastAsia="zh-CN"/>
              </w:rPr>
              <w:t>供应商不得存在的情形</w:t>
            </w:r>
          </w:p>
        </w:tc>
        <w:tc>
          <w:tcPr>
            <w:tcW w:w="4966" w:type="dxa"/>
            <w:noWrap w:val="0"/>
            <w:vAlign w:val="top"/>
          </w:tcPr>
          <w:p w14:paraId="17AEA056">
            <w:pPr>
              <w:pStyle w:val="307"/>
              <w:ind w:left="111" w:right="237"/>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sz w:val="21"/>
                <w:szCs w:val="21"/>
                <w:highlight w:val="none"/>
                <w:lang w:eastAsia="zh-CN"/>
              </w:rPr>
              <w:t>（1）单位负责人为同一人或者存在直接控股、管理关系的不同供应商，不得参加同一合同项下的政府采购活动；</w:t>
            </w:r>
          </w:p>
          <w:p w14:paraId="786957C9">
            <w:pPr>
              <w:pStyle w:val="307"/>
              <w:ind w:left="111" w:right="237"/>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sz w:val="21"/>
                <w:szCs w:val="21"/>
                <w:highlight w:val="none"/>
                <w:lang w:eastAsia="zh-CN"/>
              </w:rPr>
              <w:t>（2）为本项目提供整体设计、规范编制或者项目管理、监理、检测等服务的供应商，不得再参加该采购项目的其他采购活动。</w:t>
            </w:r>
          </w:p>
          <w:p w14:paraId="7A6CCBA1">
            <w:pPr>
              <w:pStyle w:val="307"/>
              <w:ind w:left="111" w:right="237"/>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sz w:val="21"/>
                <w:szCs w:val="21"/>
                <w:highlight w:val="none"/>
                <w:lang w:eastAsia="zh-CN"/>
              </w:rPr>
              <w:t>（3）本项目不接受联合体投标。</w:t>
            </w:r>
          </w:p>
        </w:tc>
        <w:tc>
          <w:tcPr>
            <w:tcW w:w="1122" w:type="dxa"/>
            <w:noWrap w:val="0"/>
            <w:vAlign w:val="top"/>
          </w:tcPr>
          <w:p w14:paraId="60422E84">
            <w:pPr>
              <w:pStyle w:val="307"/>
              <w:ind w:left="111" w:right="237"/>
              <w:rPr>
                <w:rFonts w:hint="eastAsia" w:ascii="仿宋_GB2312" w:hAnsi="仿宋_GB2312" w:eastAsia="仿宋_GB2312" w:cs="仿宋_GB2312"/>
                <w:color w:val="auto"/>
                <w:sz w:val="21"/>
                <w:szCs w:val="21"/>
                <w:highlight w:val="none"/>
                <w:lang w:eastAsia="zh-CN"/>
              </w:rPr>
            </w:pPr>
          </w:p>
        </w:tc>
      </w:tr>
      <w:tr w14:paraId="69FA67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91" w:hRule="atLeast"/>
        </w:trPr>
        <w:tc>
          <w:tcPr>
            <w:tcW w:w="708" w:type="dxa"/>
            <w:noWrap w:val="0"/>
            <w:vAlign w:val="center"/>
          </w:tcPr>
          <w:p w14:paraId="60FD4645">
            <w:pPr>
              <w:pStyle w:val="307"/>
              <w:jc w:val="center"/>
              <w:rPr>
                <w:rFonts w:hint="eastAsia" w:ascii="仿宋_GB2312" w:hAnsi="仿宋_GB2312" w:eastAsia="仿宋_GB2312" w:cs="仿宋_GB2312"/>
                <w:color w:val="auto"/>
                <w:spacing w:val="-4"/>
                <w:sz w:val="21"/>
                <w:szCs w:val="21"/>
                <w:highlight w:val="none"/>
                <w:lang w:val="en-US" w:eastAsia="zh-CN"/>
              </w:rPr>
            </w:pPr>
            <w:r>
              <w:rPr>
                <w:rFonts w:hint="eastAsia" w:ascii="仿宋_GB2312" w:hAnsi="仿宋_GB2312" w:eastAsia="仿宋_GB2312" w:cs="仿宋_GB2312"/>
                <w:color w:val="auto"/>
                <w:spacing w:val="-4"/>
                <w:sz w:val="21"/>
                <w:szCs w:val="21"/>
                <w:highlight w:val="none"/>
                <w:lang w:val="en-US" w:eastAsia="zh-CN"/>
              </w:rPr>
              <w:t>4</w:t>
            </w:r>
          </w:p>
        </w:tc>
        <w:tc>
          <w:tcPr>
            <w:tcW w:w="2228" w:type="dxa"/>
            <w:noWrap w:val="0"/>
            <w:vAlign w:val="center"/>
          </w:tcPr>
          <w:p w14:paraId="430F50B4">
            <w:pPr>
              <w:pStyle w:val="307"/>
              <w:ind w:left="111" w:right="237"/>
              <w:jc w:val="center"/>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sz w:val="21"/>
                <w:szCs w:val="21"/>
                <w:highlight w:val="none"/>
                <w:lang w:eastAsia="zh-CN"/>
              </w:rPr>
              <w:t>法定代表人/单位负责人身份证明书、授权委托书及委托代理人在本单位缴纳养老保险证明</w:t>
            </w:r>
          </w:p>
        </w:tc>
        <w:tc>
          <w:tcPr>
            <w:tcW w:w="4966" w:type="dxa"/>
            <w:noWrap w:val="0"/>
            <w:vAlign w:val="center"/>
          </w:tcPr>
          <w:p w14:paraId="397052DB">
            <w:pPr>
              <w:pStyle w:val="307"/>
              <w:ind w:left="111" w:right="237"/>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sz w:val="21"/>
                <w:szCs w:val="21"/>
                <w:highlight w:val="none"/>
                <w:lang w:eastAsia="zh-CN"/>
              </w:rPr>
              <w:t>（1）法定代表人或单位负责人参加磋商的，应提供法定代表人或单位负责人身份证明；</w:t>
            </w:r>
          </w:p>
          <w:p w14:paraId="3885F8E3">
            <w:pPr>
              <w:pStyle w:val="307"/>
              <w:ind w:left="111" w:right="237"/>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sz w:val="21"/>
                <w:szCs w:val="21"/>
                <w:highlight w:val="none"/>
                <w:lang w:eastAsia="zh-CN"/>
              </w:rPr>
              <w:t>（2）委托代理人参加磋商的，应提供法定代表人或单位负责人身份证明、授权委托书及委托代理人在本单位缴纳养老保险证明。</w:t>
            </w:r>
          </w:p>
        </w:tc>
        <w:tc>
          <w:tcPr>
            <w:tcW w:w="1122" w:type="dxa"/>
            <w:noWrap w:val="0"/>
            <w:vAlign w:val="top"/>
          </w:tcPr>
          <w:p w14:paraId="28FC9595">
            <w:pPr>
              <w:pStyle w:val="307"/>
              <w:ind w:left="111" w:right="237"/>
              <w:rPr>
                <w:rFonts w:hint="eastAsia" w:ascii="仿宋_GB2312" w:hAnsi="仿宋_GB2312" w:eastAsia="仿宋_GB2312" w:cs="仿宋_GB2312"/>
                <w:color w:val="auto"/>
                <w:sz w:val="21"/>
                <w:szCs w:val="21"/>
                <w:highlight w:val="none"/>
                <w:lang w:eastAsia="zh-CN"/>
              </w:rPr>
            </w:pPr>
          </w:p>
        </w:tc>
      </w:tr>
      <w:tr w14:paraId="4B3DD1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1" w:hRule="atLeast"/>
        </w:trPr>
        <w:tc>
          <w:tcPr>
            <w:tcW w:w="708" w:type="dxa"/>
            <w:noWrap w:val="0"/>
            <w:vAlign w:val="center"/>
          </w:tcPr>
          <w:p w14:paraId="0B4AF828">
            <w:pPr>
              <w:pStyle w:val="307"/>
              <w:jc w:val="center"/>
              <w:rPr>
                <w:rFonts w:hint="eastAsia" w:ascii="仿宋_GB2312" w:hAnsi="仿宋_GB2312" w:eastAsia="仿宋_GB2312" w:cs="仿宋_GB2312"/>
                <w:color w:val="auto"/>
                <w:spacing w:val="-4"/>
                <w:sz w:val="21"/>
                <w:szCs w:val="21"/>
                <w:highlight w:val="none"/>
                <w:lang w:val="en-US" w:eastAsia="zh-CN"/>
              </w:rPr>
            </w:pPr>
            <w:r>
              <w:rPr>
                <w:rFonts w:hint="eastAsia" w:ascii="仿宋_GB2312" w:hAnsi="仿宋_GB2312" w:eastAsia="仿宋_GB2312" w:cs="仿宋_GB2312"/>
                <w:color w:val="auto"/>
                <w:spacing w:val="-4"/>
                <w:sz w:val="21"/>
                <w:szCs w:val="21"/>
                <w:highlight w:val="none"/>
                <w:lang w:val="en-US" w:eastAsia="zh-CN"/>
              </w:rPr>
              <w:t>5</w:t>
            </w:r>
          </w:p>
        </w:tc>
        <w:tc>
          <w:tcPr>
            <w:tcW w:w="2228" w:type="dxa"/>
            <w:shd w:val="clear" w:color="auto" w:fill="auto"/>
            <w:noWrap w:val="0"/>
            <w:vAlign w:val="center"/>
          </w:tcPr>
          <w:p w14:paraId="2592789F">
            <w:pPr>
              <w:snapToGrid w:val="0"/>
              <w:jc w:val="center"/>
              <w:rPr>
                <w:rFonts w:hint="eastAsia" w:ascii="仿宋_GB2312" w:hAnsi="仿宋_GB2312" w:eastAsia="仿宋_GB2312" w:cs="仿宋_GB2312"/>
                <w:color w:val="auto"/>
                <w:kern w:val="2"/>
                <w:sz w:val="21"/>
                <w:szCs w:val="21"/>
                <w:highlight w:val="none"/>
                <w:lang w:val="en-US" w:eastAsia="zh-CN" w:bidi="ar-SA"/>
              </w:rPr>
            </w:pPr>
            <w:r>
              <w:rPr>
                <w:rFonts w:hint="eastAsia" w:ascii="仿宋_GB2312" w:hAnsi="仿宋_GB2312" w:eastAsia="仿宋_GB2312" w:cs="仿宋_GB2312"/>
                <w:color w:val="auto"/>
                <w:szCs w:val="21"/>
                <w:highlight w:val="none"/>
                <w:lang w:val="en-US" w:eastAsia="zh-CN"/>
              </w:rPr>
              <w:t>小微企业</w:t>
            </w:r>
          </w:p>
        </w:tc>
        <w:tc>
          <w:tcPr>
            <w:tcW w:w="4966" w:type="dxa"/>
            <w:shd w:val="clear" w:color="auto" w:fill="auto"/>
            <w:noWrap w:val="0"/>
            <w:vAlign w:val="center"/>
          </w:tcPr>
          <w:p w14:paraId="340F249A">
            <w:pPr>
              <w:snapToGrid w:val="0"/>
              <w:rPr>
                <w:rFonts w:hint="eastAsia" w:ascii="仿宋_GB2312" w:hAnsi="仿宋_GB2312" w:eastAsia="仿宋_GB2312" w:cs="仿宋_GB2312"/>
                <w:color w:val="auto"/>
                <w:kern w:val="2"/>
                <w:sz w:val="21"/>
                <w:szCs w:val="21"/>
                <w:highlight w:val="none"/>
                <w:lang w:val="en-US" w:eastAsia="zh-CN" w:bidi="ar-SA"/>
              </w:rPr>
            </w:pPr>
            <w:r>
              <w:rPr>
                <w:rFonts w:hint="eastAsia" w:ascii="仿宋_GB2312" w:hAnsi="仿宋_GB2312" w:eastAsia="仿宋_GB2312" w:cs="仿宋_GB2312"/>
                <w:color w:val="auto"/>
                <w:kern w:val="2"/>
                <w:sz w:val="21"/>
                <w:szCs w:val="21"/>
                <w:highlight w:val="none"/>
                <w:lang w:val="en-US" w:eastAsia="zh-CN" w:bidi="ar-SA"/>
              </w:rPr>
              <w:t>本项目为专门面向小微企业的项目，供应商应为小微企业、监狱企业或残疾人福利性单位。</w:t>
            </w:r>
          </w:p>
        </w:tc>
        <w:tc>
          <w:tcPr>
            <w:tcW w:w="1122" w:type="dxa"/>
            <w:noWrap w:val="0"/>
            <w:vAlign w:val="center"/>
          </w:tcPr>
          <w:p w14:paraId="1BDCBA7D">
            <w:pPr>
              <w:pStyle w:val="307"/>
              <w:ind w:left="111" w:right="237"/>
              <w:rPr>
                <w:rFonts w:hint="eastAsia" w:ascii="仿宋_GB2312" w:hAnsi="仿宋_GB2312" w:eastAsia="仿宋_GB2312" w:cs="仿宋_GB2312"/>
                <w:color w:val="auto"/>
                <w:sz w:val="21"/>
                <w:szCs w:val="21"/>
                <w:highlight w:val="none"/>
                <w:lang w:eastAsia="zh-CN"/>
              </w:rPr>
            </w:pPr>
          </w:p>
        </w:tc>
      </w:tr>
      <w:tr w14:paraId="3FF234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1" w:hRule="atLeast"/>
        </w:trPr>
        <w:tc>
          <w:tcPr>
            <w:tcW w:w="708" w:type="dxa"/>
            <w:noWrap w:val="0"/>
            <w:vAlign w:val="center"/>
          </w:tcPr>
          <w:p w14:paraId="21770EB9">
            <w:pPr>
              <w:pStyle w:val="307"/>
              <w:jc w:val="center"/>
              <w:rPr>
                <w:rFonts w:hint="default" w:ascii="仿宋_GB2312" w:hAnsi="仿宋_GB2312" w:eastAsia="仿宋_GB2312" w:cs="仿宋_GB2312"/>
                <w:color w:val="auto"/>
                <w:spacing w:val="-4"/>
                <w:sz w:val="21"/>
                <w:szCs w:val="21"/>
                <w:highlight w:val="none"/>
                <w:lang w:val="en-US" w:eastAsia="zh-CN"/>
              </w:rPr>
            </w:pPr>
            <w:r>
              <w:rPr>
                <w:rFonts w:hint="eastAsia" w:ascii="仿宋_GB2312" w:hAnsi="仿宋_GB2312" w:eastAsia="仿宋_GB2312" w:cs="仿宋_GB2312"/>
                <w:color w:val="auto"/>
                <w:spacing w:val="-4"/>
                <w:sz w:val="21"/>
                <w:szCs w:val="21"/>
                <w:highlight w:val="none"/>
                <w:lang w:val="en-US" w:eastAsia="zh-CN"/>
              </w:rPr>
              <w:t>6</w:t>
            </w:r>
          </w:p>
        </w:tc>
        <w:tc>
          <w:tcPr>
            <w:tcW w:w="2228" w:type="dxa"/>
            <w:shd w:val="clear" w:color="auto" w:fill="auto"/>
            <w:noWrap w:val="0"/>
            <w:vAlign w:val="center"/>
          </w:tcPr>
          <w:p w14:paraId="726400C7">
            <w:pPr>
              <w:snapToGrid w:val="0"/>
              <w:jc w:val="center"/>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kern w:val="2"/>
                <w:sz w:val="21"/>
                <w:szCs w:val="21"/>
                <w:highlight w:val="none"/>
                <w:lang w:val="en-US" w:eastAsia="zh-CN" w:bidi="ar-SA"/>
              </w:rPr>
              <w:t>保安服务许可证或承诺书</w:t>
            </w:r>
          </w:p>
        </w:tc>
        <w:tc>
          <w:tcPr>
            <w:tcW w:w="4966" w:type="dxa"/>
            <w:shd w:val="clear" w:color="auto" w:fill="auto"/>
            <w:noWrap w:val="0"/>
            <w:vAlign w:val="center"/>
          </w:tcPr>
          <w:p w14:paraId="0A53A373">
            <w:pPr>
              <w:snapToGrid w:val="0"/>
              <w:rPr>
                <w:rFonts w:hint="eastAsia" w:ascii="仿宋_GB2312" w:hAnsi="仿宋_GB2312" w:eastAsia="仿宋_GB2312" w:cs="仿宋_GB2312"/>
                <w:color w:val="auto"/>
                <w:kern w:val="2"/>
                <w:sz w:val="21"/>
                <w:szCs w:val="21"/>
                <w:highlight w:val="none"/>
                <w:lang w:val="en-US" w:eastAsia="zh-CN" w:bidi="ar-SA"/>
              </w:rPr>
            </w:pPr>
            <w:r>
              <w:rPr>
                <w:rFonts w:hint="eastAsia" w:ascii="仿宋_GB2312" w:hAnsi="仿宋_GB2312" w:eastAsia="仿宋_GB2312" w:cs="仿宋_GB2312"/>
                <w:color w:val="auto"/>
                <w:kern w:val="2"/>
                <w:sz w:val="21"/>
                <w:szCs w:val="21"/>
                <w:highlight w:val="none"/>
                <w:lang w:val="en-US" w:eastAsia="zh-CN" w:bidi="ar-SA"/>
              </w:rPr>
              <w:t>供应商应提供公安机关颁发的保安服务许可证；陕西省外供应商还须出具承诺书（承诺书形式不限），承诺自承接本项目之日起30日内向采购人所在地设区的市级人民政府公安机关备案。</w:t>
            </w:r>
          </w:p>
        </w:tc>
        <w:tc>
          <w:tcPr>
            <w:tcW w:w="1122" w:type="dxa"/>
            <w:noWrap w:val="0"/>
            <w:vAlign w:val="center"/>
          </w:tcPr>
          <w:p w14:paraId="18BA60B9">
            <w:pPr>
              <w:pStyle w:val="307"/>
              <w:ind w:left="111" w:right="237"/>
              <w:rPr>
                <w:rFonts w:hint="eastAsia" w:ascii="仿宋_GB2312" w:hAnsi="仿宋_GB2312" w:eastAsia="仿宋_GB2312" w:cs="仿宋_GB2312"/>
                <w:color w:val="auto"/>
                <w:sz w:val="21"/>
                <w:szCs w:val="21"/>
                <w:highlight w:val="none"/>
                <w:lang w:eastAsia="zh-CN"/>
              </w:rPr>
            </w:pPr>
          </w:p>
        </w:tc>
      </w:tr>
      <w:tr w14:paraId="3C31EF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8" w:hRule="atLeast"/>
        </w:trPr>
        <w:tc>
          <w:tcPr>
            <w:tcW w:w="708" w:type="dxa"/>
            <w:noWrap w:val="0"/>
            <w:vAlign w:val="center"/>
          </w:tcPr>
          <w:p w14:paraId="0A61D064">
            <w:pPr>
              <w:pStyle w:val="307"/>
              <w:jc w:val="center"/>
              <w:rPr>
                <w:rFonts w:hint="default" w:ascii="仿宋_GB2312" w:hAnsi="仿宋_GB2312" w:eastAsia="仿宋_GB2312" w:cs="仿宋_GB2312"/>
                <w:color w:val="auto"/>
                <w:spacing w:val="-4"/>
                <w:sz w:val="21"/>
                <w:szCs w:val="21"/>
                <w:highlight w:val="none"/>
                <w:lang w:val="en-US" w:eastAsia="zh-CN"/>
              </w:rPr>
            </w:pPr>
            <w:r>
              <w:rPr>
                <w:rFonts w:hint="eastAsia" w:ascii="仿宋_GB2312" w:hAnsi="仿宋_GB2312" w:eastAsia="仿宋_GB2312" w:cs="仿宋_GB2312"/>
                <w:color w:val="auto"/>
                <w:spacing w:val="-4"/>
                <w:sz w:val="21"/>
                <w:szCs w:val="21"/>
                <w:highlight w:val="none"/>
                <w:lang w:val="en-US" w:eastAsia="zh-CN"/>
              </w:rPr>
              <w:t>7</w:t>
            </w:r>
          </w:p>
        </w:tc>
        <w:tc>
          <w:tcPr>
            <w:tcW w:w="2228" w:type="dxa"/>
            <w:noWrap w:val="0"/>
            <w:vAlign w:val="center"/>
          </w:tcPr>
          <w:p w14:paraId="0776B394">
            <w:pPr>
              <w:pStyle w:val="307"/>
              <w:ind w:left="111" w:right="237"/>
              <w:jc w:val="center"/>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sz w:val="21"/>
                <w:szCs w:val="21"/>
                <w:highlight w:val="none"/>
                <w:lang w:eastAsia="zh-CN"/>
              </w:rPr>
              <w:t>法律、行政法规规定的其他条件</w:t>
            </w:r>
          </w:p>
        </w:tc>
        <w:tc>
          <w:tcPr>
            <w:tcW w:w="4966" w:type="dxa"/>
            <w:noWrap w:val="0"/>
            <w:vAlign w:val="center"/>
          </w:tcPr>
          <w:p w14:paraId="32139202">
            <w:pPr>
              <w:pStyle w:val="307"/>
              <w:ind w:left="111" w:right="237"/>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sz w:val="21"/>
                <w:szCs w:val="21"/>
                <w:highlight w:val="none"/>
                <w:lang w:eastAsia="zh-CN"/>
              </w:rPr>
              <w:t>不存在违反法律法规的情况</w:t>
            </w:r>
          </w:p>
        </w:tc>
        <w:tc>
          <w:tcPr>
            <w:tcW w:w="1122" w:type="dxa"/>
            <w:noWrap w:val="0"/>
            <w:vAlign w:val="center"/>
          </w:tcPr>
          <w:p w14:paraId="73E7FA24">
            <w:pPr>
              <w:pStyle w:val="307"/>
              <w:ind w:left="111" w:right="237"/>
              <w:rPr>
                <w:rFonts w:hint="eastAsia" w:ascii="仿宋_GB2312" w:hAnsi="仿宋_GB2312" w:eastAsia="仿宋_GB2312" w:cs="仿宋_GB2312"/>
                <w:color w:val="auto"/>
                <w:sz w:val="21"/>
                <w:szCs w:val="21"/>
                <w:highlight w:val="none"/>
                <w:lang w:eastAsia="zh-CN"/>
              </w:rPr>
            </w:pPr>
          </w:p>
        </w:tc>
      </w:tr>
    </w:tbl>
    <w:p w14:paraId="69D8337F">
      <w:pPr>
        <w:spacing w:line="360" w:lineRule="auto"/>
        <w:jc w:val="center"/>
        <w:rPr>
          <w:rFonts w:hint="eastAsia" w:ascii="仿宋_GB2312" w:hAnsi="仿宋_GB2312" w:eastAsia="仿宋_GB2312" w:cs="仿宋_GB2312"/>
          <w:b/>
          <w:color w:val="auto"/>
          <w:sz w:val="28"/>
          <w:szCs w:val="28"/>
          <w:highlight w:val="none"/>
        </w:rPr>
      </w:pPr>
      <w:r>
        <w:rPr>
          <w:rFonts w:hint="eastAsia" w:ascii="仿宋_GB2312" w:hAnsi="仿宋_GB2312" w:eastAsia="仿宋_GB2312" w:cs="仿宋_GB2312"/>
          <w:color w:val="auto"/>
          <w:szCs w:val="21"/>
          <w:highlight w:val="none"/>
        </w:rPr>
        <w:br w:type="page"/>
      </w:r>
      <w:r>
        <w:rPr>
          <w:rFonts w:hint="eastAsia" w:ascii="仿宋_GB2312" w:hAnsi="仿宋_GB2312" w:eastAsia="仿宋_GB2312" w:cs="仿宋_GB2312"/>
          <w:b/>
          <w:color w:val="auto"/>
          <w:sz w:val="30"/>
          <w:szCs w:val="30"/>
          <w:highlight w:val="none"/>
        </w:rPr>
        <w:t>附表二 符合性审查表</w:t>
      </w:r>
    </w:p>
    <w:tbl>
      <w:tblPr>
        <w:tblStyle w:val="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0"/>
        <w:gridCol w:w="1512"/>
        <w:gridCol w:w="5370"/>
        <w:gridCol w:w="1623"/>
      </w:tblGrid>
      <w:tr w14:paraId="41E11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409D96B3">
            <w:pPr>
              <w:pStyle w:val="22"/>
              <w:tabs>
                <w:tab w:val="left" w:pos="567"/>
              </w:tabs>
              <w:spacing w:line="240" w:lineRule="auto"/>
              <w:jc w:val="center"/>
              <w:rPr>
                <w:rFonts w:hint="eastAsia" w:ascii="仿宋_GB2312" w:hAnsi="仿宋_GB2312" w:eastAsia="仿宋_GB2312" w:cs="仿宋_GB2312"/>
                <w:b/>
                <w:bCs/>
                <w:color w:val="auto"/>
                <w:sz w:val="21"/>
                <w:szCs w:val="21"/>
                <w:highlight w:val="none"/>
              </w:rPr>
            </w:pPr>
            <w:bookmarkStart w:id="408" w:name="_Toc414446034"/>
            <w:bookmarkStart w:id="409" w:name="_Toc410631198"/>
            <w:bookmarkStart w:id="410" w:name="_Toc7005048"/>
            <w:r>
              <w:rPr>
                <w:rFonts w:hint="eastAsia" w:ascii="仿宋_GB2312" w:hAnsi="仿宋_GB2312" w:eastAsia="仿宋_GB2312" w:cs="仿宋_GB2312"/>
                <w:b/>
                <w:bCs/>
                <w:color w:val="auto"/>
                <w:sz w:val="21"/>
                <w:szCs w:val="21"/>
                <w:highlight w:val="none"/>
              </w:rPr>
              <w:t>序号</w:t>
            </w:r>
          </w:p>
        </w:tc>
        <w:tc>
          <w:tcPr>
            <w:tcW w:w="1512" w:type="dxa"/>
            <w:noWrap w:val="0"/>
            <w:vAlign w:val="center"/>
          </w:tcPr>
          <w:p w14:paraId="4E0FD076">
            <w:pPr>
              <w:pStyle w:val="22"/>
              <w:tabs>
                <w:tab w:val="left" w:pos="567"/>
              </w:tabs>
              <w:spacing w:line="240" w:lineRule="auto"/>
              <w:jc w:val="center"/>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sz w:val="21"/>
                <w:szCs w:val="21"/>
                <w:highlight w:val="none"/>
              </w:rPr>
              <w:t>审查要素</w:t>
            </w:r>
          </w:p>
        </w:tc>
        <w:tc>
          <w:tcPr>
            <w:tcW w:w="5370" w:type="dxa"/>
            <w:noWrap w:val="0"/>
            <w:vAlign w:val="center"/>
          </w:tcPr>
          <w:p w14:paraId="1012C672">
            <w:pPr>
              <w:pStyle w:val="22"/>
              <w:tabs>
                <w:tab w:val="left" w:pos="567"/>
              </w:tabs>
              <w:spacing w:line="240" w:lineRule="auto"/>
              <w:jc w:val="center"/>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sz w:val="21"/>
                <w:szCs w:val="21"/>
                <w:highlight w:val="none"/>
              </w:rPr>
              <w:t>审查标准</w:t>
            </w:r>
          </w:p>
        </w:tc>
        <w:tc>
          <w:tcPr>
            <w:tcW w:w="1623" w:type="dxa"/>
            <w:noWrap w:val="0"/>
            <w:vAlign w:val="center"/>
          </w:tcPr>
          <w:p w14:paraId="16D79B76">
            <w:pPr>
              <w:pStyle w:val="22"/>
              <w:tabs>
                <w:tab w:val="left" w:pos="567"/>
              </w:tabs>
              <w:spacing w:line="240" w:lineRule="auto"/>
              <w:jc w:val="center"/>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sz w:val="21"/>
                <w:szCs w:val="21"/>
                <w:highlight w:val="none"/>
              </w:rPr>
              <w:t>审查结果</w:t>
            </w:r>
          </w:p>
        </w:tc>
      </w:tr>
      <w:tr w14:paraId="5EB53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58D07E60">
            <w:pPr>
              <w:pStyle w:val="22"/>
              <w:tabs>
                <w:tab w:val="left" w:pos="567"/>
              </w:tabs>
              <w:spacing w:line="240" w:lineRule="auto"/>
              <w:jc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1</w:t>
            </w:r>
          </w:p>
        </w:tc>
        <w:tc>
          <w:tcPr>
            <w:tcW w:w="1512" w:type="dxa"/>
            <w:noWrap w:val="0"/>
            <w:vAlign w:val="center"/>
          </w:tcPr>
          <w:p w14:paraId="0CD4E6C7">
            <w:pPr>
              <w:pStyle w:val="22"/>
              <w:tabs>
                <w:tab w:val="left" w:pos="567"/>
              </w:tabs>
              <w:spacing w:line="240" w:lineRule="auto"/>
              <w:jc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响应文件签署、盖章</w:t>
            </w:r>
          </w:p>
        </w:tc>
        <w:tc>
          <w:tcPr>
            <w:tcW w:w="5370" w:type="dxa"/>
            <w:noWrap w:val="0"/>
            <w:vAlign w:val="center"/>
          </w:tcPr>
          <w:p w14:paraId="312A2F9B">
            <w:pPr>
              <w:pStyle w:val="22"/>
              <w:tabs>
                <w:tab w:val="left" w:pos="567"/>
              </w:tabs>
              <w:spacing w:line="240" w:lineRule="auto"/>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响应文件按采购文件要求签署、盖章</w:t>
            </w:r>
          </w:p>
        </w:tc>
        <w:tc>
          <w:tcPr>
            <w:tcW w:w="1623" w:type="dxa"/>
            <w:noWrap w:val="0"/>
            <w:vAlign w:val="center"/>
          </w:tcPr>
          <w:p w14:paraId="47EF31CD">
            <w:pPr>
              <w:pStyle w:val="22"/>
              <w:tabs>
                <w:tab w:val="left" w:pos="567"/>
              </w:tabs>
              <w:spacing w:line="240" w:lineRule="auto"/>
              <w:rPr>
                <w:rFonts w:hint="eastAsia" w:ascii="仿宋_GB2312" w:hAnsi="仿宋_GB2312" w:eastAsia="仿宋_GB2312" w:cs="仿宋_GB2312"/>
                <w:color w:val="auto"/>
                <w:sz w:val="21"/>
                <w:szCs w:val="21"/>
                <w:highlight w:val="none"/>
              </w:rPr>
            </w:pPr>
          </w:p>
        </w:tc>
      </w:tr>
      <w:tr w14:paraId="17CFF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7C8D1903">
            <w:pPr>
              <w:pStyle w:val="22"/>
              <w:tabs>
                <w:tab w:val="left" w:pos="567"/>
              </w:tabs>
              <w:spacing w:line="240" w:lineRule="auto"/>
              <w:jc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2</w:t>
            </w:r>
          </w:p>
        </w:tc>
        <w:tc>
          <w:tcPr>
            <w:tcW w:w="1512" w:type="dxa"/>
            <w:noWrap w:val="0"/>
            <w:vAlign w:val="center"/>
          </w:tcPr>
          <w:p w14:paraId="4E6D132C">
            <w:pPr>
              <w:pStyle w:val="22"/>
              <w:tabs>
                <w:tab w:val="left" w:pos="567"/>
              </w:tabs>
              <w:spacing w:line="240" w:lineRule="auto"/>
              <w:jc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响应文件有效期</w:t>
            </w:r>
          </w:p>
        </w:tc>
        <w:tc>
          <w:tcPr>
            <w:tcW w:w="5370" w:type="dxa"/>
            <w:noWrap w:val="0"/>
            <w:vAlign w:val="center"/>
          </w:tcPr>
          <w:p w14:paraId="284E54E2">
            <w:pPr>
              <w:pStyle w:val="22"/>
              <w:tabs>
                <w:tab w:val="left" w:pos="567"/>
              </w:tabs>
              <w:spacing w:line="240" w:lineRule="auto"/>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响应文件有效期有效期满足采购文件要求</w:t>
            </w:r>
          </w:p>
        </w:tc>
        <w:tc>
          <w:tcPr>
            <w:tcW w:w="1623" w:type="dxa"/>
            <w:noWrap w:val="0"/>
            <w:vAlign w:val="center"/>
          </w:tcPr>
          <w:p w14:paraId="25A39290">
            <w:pPr>
              <w:pStyle w:val="22"/>
              <w:tabs>
                <w:tab w:val="left" w:pos="567"/>
              </w:tabs>
              <w:spacing w:line="240" w:lineRule="auto"/>
              <w:rPr>
                <w:rFonts w:hint="eastAsia" w:ascii="仿宋_GB2312" w:hAnsi="仿宋_GB2312" w:eastAsia="仿宋_GB2312" w:cs="仿宋_GB2312"/>
                <w:color w:val="auto"/>
                <w:sz w:val="21"/>
                <w:szCs w:val="21"/>
                <w:highlight w:val="none"/>
              </w:rPr>
            </w:pPr>
          </w:p>
        </w:tc>
      </w:tr>
      <w:tr w14:paraId="580CE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6BEC48B0">
            <w:pPr>
              <w:pStyle w:val="22"/>
              <w:tabs>
                <w:tab w:val="left" w:pos="567"/>
              </w:tabs>
              <w:spacing w:line="240" w:lineRule="auto"/>
              <w:jc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3</w:t>
            </w:r>
          </w:p>
        </w:tc>
        <w:tc>
          <w:tcPr>
            <w:tcW w:w="1512" w:type="dxa"/>
            <w:noWrap w:val="0"/>
            <w:vAlign w:val="center"/>
          </w:tcPr>
          <w:p w14:paraId="287596EF">
            <w:pPr>
              <w:pStyle w:val="22"/>
              <w:tabs>
                <w:tab w:val="left" w:pos="567"/>
              </w:tabs>
              <w:spacing w:line="240" w:lineRule="auto"/>
              <w:jc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首次磋商报价</w:t>
            </w:r>
          </w:p>
        </w:tc>
        <w:tc>
          <w:tcPr>
            <w:tcW w:w="5370" w:type="dxa"/>
            <w:noWrap w:val="0"/>
            <w:vAlign w:val="center"/>
          </w:tcPr>
          <w:p w14:paraId="1AF7A30A">
            <w:pPr>
              <w:pStyle w:val="22"/>
              <w:tabs>
                <w:tab w:val="left" w:pos="567"/>
              </w:tabs>
              <w:spacing w:line="240" w:lineRule="auto"/>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供应商首次磋商报价没有超出采购预算或最高限价</w:t>
            </w:r>
          </w:p>
        </w:tc>
        <w:tc>
          <w:tcPr>
            <w:tcW w:w="1623" w:type="dxa"/>
            <w:noWrap w:val="0"/>
            <w:vAlign w:val="center"/>
          </w:tcPr>
          <w:p w14:paraId="77EB8C19">
            <w:pPr>
              <w:pStyle w:val="22"/>
              <w:tabs>
                <w:tab w:val="left" w:pos="567"/>
              </w:tabs>
              <w:spacing w:line="240" w:lineRule="auto"/>
              <w:rPr>
                <w:rFonts w:hint="eastAsia" w:ascii="仿宋_GB2312" w:hAnsi="仿宋_GB2312" w:eastAsia="仿宋_GB2312" w:cs="仿宋_GB2312"/>
                <w:color w:val="auto"/>
                <w:sz w:val="21"/>
                <w:szCs w:val="21"/>
                <w:highlight w:val="none"/>
              </w:rPr>
            </w:pPr>
          </w:p>
        </w:tc>
      </w:tr>
      <w:tr w14:paraId="30A66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25" w:hRule="atLeast"/>
        </w:trPr>
        <w:tc>
          <w:tcPr>
            <w:tcW w:w="780" w:type="dxa"/>
            <w:noWrap w:val="0"/>
            <w:vAlign w:val="center"/>
          </w:tcPr>
          <w:p w14:paraId="30279EFA">
            <w:pPr>
              <w:pStyle w:val="22"/>
              <w:tabs>
                <w:tab w:val="left" w:pos="567"/>
              </w:tabs>
              <w:spacing w:line="240" w:lineRule="auto"/>
              <w:jc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4</w:t>
            </w:r>
          </w:p>
        </w:tc>
        <w:tc>
          <w:tcPr>
            <w:tcW w:w="1512" w:type="dxa"/>
            <w:noWrap w:val="0"/>
            <w:vAlign w:val="center"/>
          </w:tcPr>
          <w:p w14:paraId="6770A40A">
            <w:pPr>
              <w:pStyle w:val="22"/>
              <w:tabs>
                <w:tab w:val="left" w:pos="567"/>
              </w:tabs>
              <w:spacing w:line="240" w:lineRule="auto"/>
              <w:jc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预防不正当竞争</w:t>
            </w:r>
          </w:p>
        </w:tc>
        <w:tc>
          <w:tcPr>
            <w:tcW w:w="5370" w:type="dxa"/>
            <w:noWrap w:val="0"/>
            <w:vAlign w:val="center"/>
          </w:tcPr>
          <w:p w14:paraId="02752316">
            <w:pPr>
              <w:pStyle w:val="22"/>
              <w:tabs>
                <w:tab w:val="left" w:pos="567"/>
              </w:tabs>
              <w:spacing w:line="240" w:lineRule="auto"/>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供应商的报价不存在明显低于其他</w:t>
            </w:r>
            <w:r>
              <w:rPr>
                <w:rFonts w:hint="eastAsia" w:ascii="仿宋_GB2312" w:hAnsi="仿宋_GB2312" w:eastAsia="仿宋_GB2312" w:cs="仿宋_GB2312"/>
                <w:color w:val="auto"/>
                <w:sz w:val="21"/>
                <w:szCs w:val="21"/>
                <w:highlight w:val="none"/>
                <w:lang w:eastAsia="zh-CN"/>
              </w:rPr>
              <w:t>合格</w:t>
            </w:r>
            <w:r>
              <w:rPr>
                <w:rFonts w:hint="eastAsia" w:ascii="仿宋_GB2312" w:hAnsi="仿宋_GB2312" w:eastAsia="仿宋_GB2312" w:cs="仿宋_GB2312"/>
                <w:color w:val="auto"/>
                <w:sz w:val="21"/>
                <w:szCs w:val="21"/>
                <w:highlight w:val="none"/>
              </w:rPr>
              <w:t>符合性审查供应商的报价，有可能影响产品质量或者不能诚信履约的，且供应商不能证明其报价合理性的情况</w:t>
            </w:r>
          </w:p>
        </w:tc>
        <w:tc>
          <w:tcPr>
            <w:tcW w:w="1623" w:type="dxa"/>
            <w:noWrap w:val="0"/>
            <w:vAlign w:val="center"/>
          </w:tcPr>
          <w:p w14:paraId="576FBCFE">
            <w:pPr>
              <w:pStyle w:val="22"/>
              <w:tabs>
                <w:tab w:val="left" w:pos="567"/>
              </w:tabs>
              <w:spacing w:line="240" w:lineRule="auto"/>
              <w:rPr>
                <w:rFonts w:hint="eastAsia" w:ascii="仿宋_GB2312" w:hAnsi="仿宋_GB2312" w:eastAsia="仿宋_GB2312" w:cs="仿宋_GB2312"/>
                <w:color w:val="auto"/>
                <w:sz w:val="21"/>
                <w:szCs w:val="21"/>
                <w:highlight w:val="none"/>
              </w:rPr>
            </w:pPr>
          </w:p>
        </w:tc>
      </w:tr>
      <w:tr w14:paraId="3EDA0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1" w:hRule="atLeast"/>
        </w:trPr>
        <w:tc>
          <w:tcPr>
            <w:tcW w:w="780" w:type="dxa"/>
            <w:noWrap w:val="0"/>
            <w:vAlign w:val="center"/>
          </w:tcPr>
          <w:p w14:paraId="16A51590">
            <w:pPr>
              <w:pStyle w:val="22"/>
              <w:tabs>
                <w:tab w:val="left" w:pos="567"/>
              </w:tabs>
              <w:spacing w:line="240" w:lineRule="auto"/>
              <w:jc w:val="center"/>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sz w:val="21"/>
                <w:szCs w:val="21"/>
                <w:highlight w:val="none"/>
                <w:lang w:val="en-US" w:eastAsia="zh-CN"/>
              </w:rPr>
              <w:t>5</w:t>
            </w:r>
          </w:p>
        </w:tc>
        <w:tc>
          <w:tcPr>
            <w:tcW w:w="1512" w:type="dxa"/>
            <w:noWrap w:val="0"/>
            <w:vAlign w:val="center"/>
          </w:tcPr>
          <w:p w14:paraId="76D986BE">
            <w:pPr>
              <w:pStyle w:val="22"/>
              <w:tabs>
                <w:tab w:val="left" w:pos="567"/>
              </w:tabs>
              <w:spacing w:line="240" w:lineRule="auto"/>
              <w:jc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响应内容</w:t>
            </w:r>
          </w:p>
        </w:tc>
        <w:tc>
          <w:tcPr>
            <w:tcW w:w="5370" w:type="dxa"/>
            <w:noWrap w:val="0"/>
            <w:vAlign w:val="center"/>
          </w:tcPr>
          <w:p w14:paraId="68B9FFBA">
            <w:pPr>
              <w:pStyle w:val="22"/>
              <w:tabs>
                <w:tab w:val="left" w:pos="567"/>
              </w:tabs>
              <w:spacing w:line="240" w:lineRule="auto"/>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sz w:val="21"/>
                <w:szCs w:val="21"/>
                <w:highlight w:val="none"/>
              </w:rPr>
              <w:t>响应内容不存在漏项或数量与要求不符合采购文件规定情形，响应内容满足采购文件的商务、技术等实质性要求</w:t>
            </w:r>
            <w:r>
              <w:rPr>
                <w:rFonts w:hint="eastAsia" w:ascii="仿宋_GB2312" w:hAnsi="仿宋_GB2312" w:eastAsia="仿宋_GB2312" w:cs="仿宋_GB2312"/>
                <w:color w:val="auto"/>
                <w:sz w:val="21"/>
                <w:szCs w:val="21"/>
                <w:highlight w:val="none"/>
                <w:lang w:eastAsia="zh-CN"/>
              </w:rPr>
              <w:t>。</w:t>
            </w:r>
          </w:p>
        </w:tc>
        <w:tc>
          <w:tcPr>
            <w:tcW w:w="1623" w:type="dxa"/>
            <w:noWrap w:val="0"/>
            <w:vAlign w:val="center"/>
          </w:tcPr>
          <w:p w14:paraId="2F88E500">
            <w:pPr>
              <w:pStyle w:val="22"/>
              <w:tabs>
                <w:tab w:val="left" w:pos="567"/>
              </w:tabs>
              <w:spacing w:line="240" w:lineRule="auto"/>
              <w:rPr>
                <w:rFonts w:hint="eastAsia" w:ascii="仿宋_GB2312" w:hAnsi="仿宋_GB2312" w:eastAsia="仿宋_GB2312" w:cs="仿宋_GB2312"/>
                <w:color w:val="auto"/>
                <w:sz w:val="21"/>
                <w:szCs w:val="21"/>
                <w:highlight w:val="none"/>
              </w:rPr>
            </w:pPr>
          </w:p>
        </w:tc>
      </w:tr>
      <w:tr w14:paraId="0A8C4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1D055C23">
            <w:pPr>
              <w:pStyle w:val="22"/>
              <w:tabs>
                <w:tab w:val="left" w:pos="567"/>
              </w:tabs>
              <w:spacing w:line="240" w:lineRule="auto"/>
              <w:jc w:val="center"/>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sz w:val="21"/>
                <w:szCs w:val="21"/>
                <w:highlight w:val="none"/>
                <w:lang w:val="en-US" w:eastAsia="zh-CN"/>
              </w:rPr>
              <w:t>6</w:t>
            </w:r>
          </w:p>
        </w:tc>
        <w:tc>
          <w:tcPr>
            <w:tcW w:w="1512" w:type="dxa"/>
            <w:noWrap w:val="0"/>
            <w:vAlign w:val="center"/>
          </w:tcPr>
          <w:p w14:paraId="120529F8">
            <w:pPr>
              <w:pStyle w:val="22"/>
              <w:tabs>
                <w:tab w:val="left" w:pos="567"/>
              </w:tabs>
              <w:spacing w:line="240" w:lineRule="auto"/>
              <w:jc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附加条件</w:t>
            </w:r>
          </w:p>
        </w:tc>
        <w:tc>
          <w:tcPr>
            <w:tcW w:w="5370" w:type="dxa"/>
            <w:noWrap w:val="0"/>
            <w:vAlign w:val="center"/>
          </w:tcPr>
          <w:p w14:paraId="2A4405B2">
            <w:pPr>
              <w:pStyle w:val="22"/>
              <w:tabs>
                <w:tab w:val="left" w:pos="567"/>
              </w:tabs>
              <w:spacing w:line="240" w:lineRule="auto"/>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响应文件不含有采购人不能接受的附加条件。</w:t>
            </w:r>
          </w:p>
        </w:tc>
        <w:tc>
          <w:tcPr>
            <w:tcW w:w="1623" w:type="dxa"/>
            <w:noWrap w:val="0"/>
            <w:vAlign w:val="center"/>
          </w:tcPr>
          <w:p w14:paraId="4CC4DAD2">
            <w:pPr>
              <w:pStyle w:val="22"/>
              <w:tabs>
                <w:tab w:val="left" w:pos="567"/>
              </w:tabs>
              <w:spacing w:line="240" w:lineRule="auto"/>
              <w:rPr>
                <w:rFonts w:hint="eastAsia" w:ascii="仿宋_GB2312" w:hAnsi="仿宋_GB2312" w:eastAsia="仿宋_GB2312" w:cs="仿宋_GB2312"/>
                <w:color w:val="auto"/>
                <w:sz w:val="21"/>
                <w:szCs w:val="21"/>
                <w:highlight w:val="none"/>
              </w:rPr>
            </w:pPr>
          </w:p>
        </w:tc>
      </w:tr>
      <w:tr w14:paraId="787D5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780" w:type="dxa"/>
            <w:noWrap w:val="0"/>
            <w:vAlign w:val="center"/>
          </w:tcPr>
          <w:p w14:paraId="32485C61">
            <w:pPr>
              <w:pStyle w:val="22"/>
              <w:tabs>
                <w:tab w:val="left" w:pos="567"/>
              </w:tabs>
              <w:spacing w:line="240" w:lineRule="auto"/>
              <w:jc w:val="center"/>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sz w:val="21"/>
                <w:szCs w:val="21"/>
                <w:highlight w:val="none"/>
                <w:lang w:val="en-US" w:eastAsia="zh-CN"/>
              </w:rPr>
              <w:t>7</w:t>
            </w:r>
          </w:p>
        </w:tc>
        <w:tc>
          <w:tcPr>
            <w:tcW w:w="1512" w:type="dxa"/>
            <w:noWrap w:val="0"/>
            <w:vAlign w:val="center"/>
          </w:tcPr>
          <w:p w14:paraId="744D9638">
            <w:pPr>
              <w:pStyle w:val="22"/>
              <w:tabs>
                <w:tab w:val="left" w:pos="567"/>
              </w:tabs>
              <w:spacing w:line="240" w:lineRule="auto"/>
              <w:jc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公平竞争</w:t>
            </w:r>
          </w:p>
        </w:tc>
        <w:tc>
          <w:tcPr>
            <w:tcW w:w="5370" w:type="dxa"/>
            <w:noWrap w:val="0"/>
            <w:vAlign w:val="center"/>
          </w:tcPr>
          <w:p w14:paraId="0DD087FA">
            <w:pPr>
              <w:pStyle w:val="22"/>
              <w:tabs>
                <w:tab w:val="left" w:pos="567"/>
              </w:tabs>
              <w:spacing w:line="240" w:lineRule="auto"/>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遵循公平竞争的原则，没有弄虚作假、恶意串通或妨碍其他供应商的竞争行为，损害采购人或者其他供应商的合法权益。</w:t>
            </w:r>
          </w:p>
          <w:p w14:paraId="2CA86620">
            <w:pPr>
              <w:pStyle w:val="22"/>
              <w:tabs>
                <w:tab w:val="left" w:pos="567"/>
              </w:tabs>
              <w:spacing w:line="240" w:lineRule="auto"/>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（弄虚作假、串通投标的情形见附注）</w:t>
            </w:r>
          </w:p>
        </w:tc>
        <w:tc>
          <w:tcPr>
            <w:tcW w:w="1623" w:type="dxa"/>
            <w:noWrap w:val="0"/>
            <w:vAlign w:val="center"/>
          </w:tcPr>
          <w:p w14:paraId="13513265">
            <w:pPr>
              <w:pStyle w:val="22"/>
              <w:tabs>
                <w:tab w:val="left" w:pos="567"/>
              </w:tabs>
              <w:spacing w:line="240" w:lineRule="auto"/>
              <w:rPr>
                <w:rFonts w:hint="eastAsia" w:ascii="仿宋_GB2312" w:hAnsi="仿宋_GB2312" w:eastAsia="仿宋_GB2312" w:cs="仿宋_GB2312"/>
                <w:color w:val="auto"/>
                <w:sz w:val="21"/>
                <w:szCs w:val="21"/>
                <w:highlight w:val="none"/>
              </w:rPr>
            </w:pPr>
          </w:p>
        </w:tc>
      </w:tr>
      <w:tr w14:paraId="2A007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4A34A3AC">
            <w:pPr>
              <w:pStyle w:val="22"/>
              <w:tabs>
                <w:tab w:val="left" w:pos="567"/>
              </w:tabs>
              <w:spacing w:line="240" w:lineRule="auto"/>
              <w:jc w:val="center"/>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sz w:val="21"/>
                <w:szCs w:val="21"/>
                <w:highlight w:val="none"/>
                <w:lang w:val="en-US" w:eastAsia="zh-CN"/>
              </w:rPr>
              <w:t>8</w:t>
            </w:r>
          </w:p>
        </w:tc>
        <w:tc>
          <w:tcPr>
            <w:tcW w:w="1512" w:type="dxa"/>
            <w:noWrap w:val="0"/>
            <w:vAlign w:val="center"/>
          </w:tcPr>
          <w:p w14:paraId="1B3AA3CD">
            <w:pPr>
              <w:pStyle w:val="22"/>
              <w:tabs>
                <w:tab w:val="left" w:pos="567"/>
              </w:tabs>
              <w:spacing w:line="240" w:lineRule="auto"/>
              <w:jc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其它</w:t>
            </w:r>
          </w:p>
        </w:tc>
        <w:tc>
          <w:tcPr>
            <w:tcW w:w="5370" w:type="dxa"/>
            <w:noWrap w:val="0"/>
            <w:vAlign w:val="center"/>
          </w:tcPr>
          <w:p w14:paraId="5987345A">
            <w:pPr>
              <w:pStyle w:val="22"/>
              <w:tabs>
                <w:tab w:val="left" w:pos="567"/>
              </w:tabs>
              <w:spacing w:line="240" w:lineRule="auto"/>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不存在其它不符合法律法规或采购文件规定的响应无效条款的情形</w:t>
            </w:r>
          </w:p>
        </w:tc>
        <w:tc>
          <w:tcPr>
            <w:tcW w:w="1623" w:type="dxa"/>
            <w:noWrap w:val="0"/>
            <w:vAlign w:val="center"/>
          </w:tcPr>
          <w:p w14:paraId="6E374292">
            <w:pPr>
              <w:pStyle w:val="22"/>
              <w:tabs>
                <w:tab w:val="left" w:pos="567"/>
              </w:tabs>
              <w:spacing w:line="240" w:lineRule="auto"/>
              <w:rPr>
                <w:rFonts w:hint="eastAsia" w:ascii="仿宋_GB2312" w:hAnsi="仿宋_GB2312" w:eastAsia="仿宋_GB2312" w:cs="仿宋_GB2312"/>
                <w:color w:val="auto"/>
                <w:sz w:val="21"/>
                <w:szCs w:val="21"/>
                <w:highlight w:val="none"/>
              </w:rPr>
            </w:pPr>
          </w:p>
        </w:tc>
      </w:tr>
    </w:tbl>
    <w:p w14:paraId="109BE98E">
      <w:pPr>
        <w:pStyle w:val="22"/>
        <w:keepNext w:val="0"/>
        <w:keepLines w:val="0"/>
        <w:pageBreakBefore w:val="0"/>
        <w:widowControl w:val="0"/>
        <w:tabs>
          <w:tab w:val="left" w:pos="567"/>
        </w:tabs>
        <w:kinsoku/>
        <w:wordWrap/>
        <w:overflowPunct/>
        <w:topLinePunct w:val="0"/>
        <w:autoSpaceDE/>
        <w:autoSpaceDN/>
        <w:bidi w:val="0"/>
        <w:snapToGrid/>
        <w:spacing w:line="360" w:lineRule="auto"/>
        <w:rPr>
          <w:rFonts w:hint="eastAsia" w:ascii="仿宋_GB2312" w:hAnsi="仿宋_GB2312" w:eastAsia="仿宋_GB2312" w:cs="仿宋_GB2312"/>
          <w:bCs/>
          <w:color w:val="auto"/>
          <w:sz w:val="21"/>
          <w:szCs w:val="21"/>
          <w:highlight w:val="none"/>
        </w:rPr>
      </w:pPr>
      <w:r>
        <w:rPr>
          <w:rFonts w:hint="eastAsia" w:ascii="仿宋_GB2312" w:hAnsi="仿宋_GB2312" w:eastAsia="仿宋_GB2312" w:cs="仿宋_GB2312"/>
          <w:bCs/>
          <w:color w:val="auto"/>
          <w:sz w:val="21"/>
          <w:szCs w:val="21"/>
          <w:highlight w:val="none"/>
        </w:rPr>
        <w:t>注：</w:t>
      </w:r>
    </w:p>
    <w:p w14:paraId="1F232631">
      <w:pPr>
        <w:keepNext w:val="0"/>
        <w:keepLines w:val="0"/>
        <w:pageBreakBefore w:val="0"/>
        <w:widowControl w:val="0"/>
        <w:tabs>
          <w:tab w:val="left" w:pos="1260"/>
          <w:tab w:val="left" w:pos="1620"/>
        </w:tabs>
        <w:kinsoku/>
        <w:wordWrap/>
        <w:overflowPunct/>
        <w:topLinePunct w:val="0"/>
        <w:autoSpaceDE/>
        <w:autoSpaceDN/>
        <w:bidi w:val="0"/>
        <w:adjustRightInd w:val="0"/>
        <w:snapToGrid/>
        <w:spacing w:line="360" w:lineRule="auto"/>
        <w:jc w:val="left"/>
        <w:textAlignment w:val="baseline"/>
        <w:rPr>
          <w:rFonts w:hint="eastAsia" w:ascii="仿宋_GB2312" w:hAnsi="仿宋_GB2312" w:eastAsia="仿宋_GB2312" w:cs="仿宋_GB2312"/>
          <w:bCs/>
          <w:color w:val="auto"/>
          <w:sz w:val="21"/>
          <w:szCs w:val="21"/>
          <w:highlight w:val="none"/>
        </w:rPr>
      </w:pPr>
      <w:r>
        <w:rPr>
          <w:rFonts w:hint="eastAsia" w:ascii="仿宋_GB2312" w:hAnsi="仿宋_GB2312" w:eastAsia="仿宋_GB2312" w:cs="仿宋_GB2312"/>
          <w:bCs/>
          <w:color w:val="auto"/>
          <w:sz w:val="21"/>
          <w:szCs w:val="21"/>
          <w:highlight w:val="none"/>
          <w:lang w:val="en-US" w:eastAsia="zh-CN"/>
        </w:rPr>
        <w:t>1</w:t>
      </w:r>
      <w:r>
        <w:rPr>
          <w:rFonts w:hint="eastAsia" w:ascii="仿宋_GB2312" w:hAnsi="仿宋_GB2312" w:eastAsia="仿宋_GB2312" w:cs="仿宋_GB2312"/>
          <w:bCs/>
          <w:color w:val="auto"/>
          <w:sz w:val="21"/>
          <w:szCs w:val="21"/>
          <w:highlight w:val="none"/>
        </w:rPr>
        <w:t>、有下列情形之一的，视为供应商相互串通：</w:t>
      </w:r>
    </w:p>
    <w:p w14:paraId="0722518E">
      <w:pPr>
        <w:keepNext w:val="0"/>
        <w:keepLines w:val="0"/>
        <w:pageBreakBefore w:val="0"/>
        <w:widowControl w:val="0"/>
        <w:tabs>
          <w:tab w:val="left" w:pos="1260"/>
          <w:tab w:val="left" w:pos="1620"/>
        </w:tabs>
        <w:kinsoku/>
        <w:wordWrap/>
        <w:overflowPunct/>
        <w:topLinePunct w:val="0"/>
        <w:autoSpaceDE/>
        <w:autoSpaceDN/>
        <w:bidi w:val="0"/>
        <w:adjustRightInd w:val="0"/>
        <w:snapToGrid/>
        <w:spacing w:line="360" w:lineRule="auto"/>
        <w:jc w:val="left"/>
        <w:textAlignment w:val="baseline"/>
        <w:rPr>
          <w:rFonts w:hint="eastAsia" w:ascii="仿宋_GB2312" w:hAnsi="仿宋_GB2312" w:eastAsia="仿宋_GB2312" w:cs="仿宋_GB2312"/>
          <w:bCs/>
          <w:color w:val="auto"/>
          <w:sz w:val="21"/>
          <w:szCs w:val="21"/>
          <w:highlight w:val="none"/>
        </w:rPr>
      </w:pPr>
      <w:r>
        <w:rPr>
          <w:rFonts w:hint="eastAsia" w:ascii="仿宋_GB2312" w:hAnsi="仿宋_GB2312" w:eastAsia="仿宋_GB2312" w:cs="仿宋_GB2312"/>
          <w:bCs/>
          <w:color w:val="auto"/>
          <w:sz w:val="21"/>
          <w:szCs w:val="21"/>
          <w:highlight w:val="none"/>
        </w:rPr>
        <w:t>（1）不同供应商的响应文件由同一单位或者个人编制；</w:t>
      </w:r>
    </w:p>
    <w:p w14:paraId="4CAAC226">
      <w:pPr>
        <w:keepNext w:val="0"/>
        <w:keepLines w:val="0"/>
        <w:pageBreakBefore w:val="0"/>
        <w:widowControl w:val="0"/>
        <w:tabs>
          <w:tab w:val="left" w:pos="1260"/>
          <w:tab w:val="left" w:pos="1620"/>
        </w:tabs>
        <w:kinsoku/>
        <w:wordWrap/>
        <w:overflowPunct/>
        <w:topLinePunct w:val="0"/>
        <w:autoSpaceDE/>
        <w:autoSpaceDN/>
        <w:bidi w:val="0"/>
        <w:adjustRightInd w:val="0"/>
        <w:snapToGrid/>
        <w:spacing w:line="360" w:lineRule="auto"/>
        <w:jc w:val="left"/>
        <w:textAlignment w:val="baseline"/>
        <w:rPr>
          <w:rFonts w:hint="eastAsia" w:ascii="仿宋_GB2312" w:hAnsi="仿宋_GB2312" w:eastAsia="仿宋_GB2312" w:cs="仿宋_GB2312"/>
          <w:bCs/>
          <w:color w:val="auto"/>
          <w:sz w:val="21"/>
          <w:szCs w:val="21"/>
          <w:highlight w:val="none"/>
        </w:rPr>
      </w:pPr>
      <w:r>
        <w:rPr>
          <w:rFonts w:hint="eastAsia" w:ascii="仿宋_GB2312" w:hAnsi="仿宋_GB2312" w:eastAsia="仿宋_GB2312" w:cs="仿宋_GB2312"/>
          <w:bCs/>
          <w:color w:val="auto"/>
          <w:sz w:val="21"/>
          <w:szCs w:val="21"/>
          <w:highlight w:val="none"/>
        </w:rPr>
        <w:t>（2）不同供应商委托同一单位或者个人办理参与磋商事宜；</w:t>
      </w:r>
    </w:p>
    <w:p w14:paraId="33FCDD7D">
      <w:pPr>
        <w:keepNext w:val="0"/>
        <w:keepLines w:val="0"/>
        <w:pageBreakBefore w:val="0"/>
        <w:widowControl w:val="0"/>
        <w:tabs>
          <w:tab w:val="left" w:pos="1260"/>
          <w:tab w:val="left" w:pos="1620"/>
        </w:tabs>
        <w:kinsoku/>
        <w:wordWrap/>
        <w:overflowPunct/>
        <w:topLinePunct w:val="0"/>
        <w:autoSpaceDE/>
        <w:autoSpaceDN/>
        <w:bidi w:val="0"/>
        <w:adjustRightInd w:val="0"/>
        <w:snapToGrid/>
        <w:spacing w:line="360" w:lineRule="auto"/>
        <w:jc w:val="left"/>
        <w:textAlignment w:val="baseline"/>
        <w:rPr>
          <w:rFonts w:hint="eastAsia" w:ascii="仿宋_GB2312" w:hAnsi="仿宋_GB2312" w:eastAsia="仿宋_GB2312" w:cs="仿宋_GB2312"/>
          <w:bCs/>
          <w:color w:val="auto"/>
          <w:sz w:val="21"/>
          <w:szCs w:val="21"/>
          <w:highlight w:val="none"/>
        </w:rPr>
      </w:pPr>
      <w:r>
        <w:rPr>
          <w:rFonts w:hint="eastAsia" w:ascii="仿宋_GB2312" w:hAnsi="仿宋_GB2312" w:eastAsia="仿宋_GB2312" w:cs="仿宋_GB2312"/>
          <w:bCs/>
          <w:color w:val="auto"/>
          <w:sz w:val="21"/>
          <w:szCs w:val="21"/>
          <w:highlight w:val="none"/>
        </w:rPr>
        <w:t>（3）不同供应商的响应文件载明的项目管理成员或者联系人员为同一人；</w:t>
      </w:r>
    </w:p>
    <w:p w14:paraId="760BEAA7">
      <w:pPr>
        <w:keepNext w:val="0"/>
        <w:keepLines w:val="0"/>
        <w:pageBreakBefore w:val="0"/>
        <w:widowControl w:val="0"/>
        <w:tabs>
          <w:tab w:val="left" w:pos="1260"/>
          <w:tab w:val="left" w:pos="1620"/>
        </w:tabs>
        <w:kinsoku/>
        <w:wordWrap/>
        <w:overflowPunct/>
        <w:topLinePunct w:val="0"/>
        <w:autoSpaceDE/>
        <w:autoSpaceDN/>
        <w:bidi w:val="0"/>
        <w:adjustRightInd w:val="0"/>
        <w:snapToGrid/>
        <w:spacing w:line="360" w:lineRule="auto"/>
        <w:jc w:val="left"/>
        <w:textAlignment w:val="baseline"/>
        <w:rPr>
          <w:rFonts w:hint="eastAsia" w:ascii="仿宋_GB2312" w:hAnsi="仿宋_GB2312" w:eastAsia="仿宋_GB2312" w:cs="仿宋_GB2312"/>
          <w:bCs/>
          <w:color w:val="auto"/>
          <w:sz w:val="21"/>
          <w:szCs w:val="21"/>
          <w:highlight w:val="none"/>
        </w:rPr>
      </w:pPr>
      <w:r>
        <w:rPr>
          <w:rFonts w:hint="eastAsia" w:ascii="仿宋_GB2312" w:hAnsi="仿宋_GB2312" w:eastAsia="仿宋_GB2312" w:cs="仿宋_GB2312"/>
          <w:bCs/>
          <w:color w:val="auto"/>
          <w:sz w:val="21"/>
          <w:szCs w:val="21"/>
          <w:highlight w:val="none"/>
        </w:rPr>
        <w:t>（4）不同供应商的响应文件异常一致或者报价呈规律性差异；</w:t>
      </w:r>
    </w:p>
    <w:p w14:paraId="275D86CD">
      <w:pPr>
        <w:keepNext w:val="0"/>
        <w:keepLines w:val="0"/>
        <w:pageBreakBefore w:val="0"/>
        <w:widowControl w:val="0"/>
        <w:tabs>
          <w:tab w:val="left" w:pos="1260"/>
          <w:tab w:val="left" w:pos="1620"/>
        </w:tabs>
        <w:kinsoku/>
        <w:wordWrap/>
        <w:overflowPunct/>
        <w:topLinePunct w:val="0"/>
        <w:autoSpaceDE/>
        <w:autoSpaceDN/>
        <w:bidi w:val="0"/>
        <w:adjustRightInd w:val="0"/>
        <w:snapToGrid/>
        <w:spacing w:line="360" w:lineRule="auto"/>
        <w:jc w:val="left"/>
        <w:textAlignment w:val="baseline"/>
        <w:rPr>
          <w:rFonts w:hint="eastAsia" w:ascii="仿宋_GB2312" w:hAnsi="仿宋_GB2312" w:eastAsia="仿宋_GB2312" w:cs="仿宋_GB2312"/>
          <w:bCs/>
          <w:color w:val="auto"/>
          <w:sz w:val="21"/>
          <w:szCs w:val="21"/>
          <w:highlight w:val="none"/>
        </w:rPr>
      </w:pPr>
      <w:r>
        <w:rPr>
          <w:rFonts w:hint="eastAsia" w:ascii="仿宋_GB2312" w:hAnsi="仿宋_GB2312" w:eastAsia="仿宋_GB2312" w:cs="仿宋_GB2312"/>
          <w:bCs/>
          <w:color w:val="auto"/>
          <w:sz w:val="21"/>
          <w:szCs w:val="21"/>
          <w:highlight w:val="none"/>
        </w:rPr>
        <w:t>（5）不同供应商的响应文件相互混装；</w:t>
      </w:r>
    </w:p>
    <w:p w14:paraId="570AEB99">
      <w:pPr>
        <w:keepNext w:val="0"/>
        <w:keepLines w:val="0"/>
        <w:pageBreakBefore w:val="0"/>
        <w:widowControl w:val="0"/>
        <w:tabs>
          <w:tab w:val="left" w:pos="1260"/>
          <w:tab w:val="left" w:pos="1620"/>
        </w:tabs>
        <w:kinsoku/>
        <w:wordWrap/>
        <w:overflowPunct/>
        <w:topLinePunct w:val="0"/>
        <w:autoSpaceDE/>
        <w:autoSpaceDN/>
        <w:bidi w:val="0"/>
        <w:adjustRightInd w:val="0"/>
        <w:snapToGrid/>
        <w:spacing w:line="360" w:lineRule="auto"/>
        <w:jc w:val="left"/>
        <w:textAlignment w:val="baseline"/>
        <w:rPr>
          <w:rFonts w:hint="eastAsia" w:ascii="仿宋_GB2312" w:hAnsi="仿宋_GB2312" w:eastAsia="仿宋_GB2312" w:cs="仿宋_GB2312"/>
          <w:bCs/>
          <w:color w:val="auto"/>
          <w:sz w:val="21"/>
          <w:szCs w:val="21"/>
          <w:highlight w:val="none"/>
        </w:rPr>
      </w:pPr>
      <w:r>
        <w:rPr>
          <w:rFonts w:hint="eastAsia" w:ascii="仿宋_GB2312" w:hAnsi="仿宋_GB2312" w:eastAsia="仿宋_GB2312" w:cs="仿宋_GB2312"/>
          <w:bCs/>
          <w:color w:val="auto"/>
          <w:sz w:val="21"/>
          <w:szCs w:val="21"/>
          <w:highlight w:val="none"/>
        </w:rPr>
        <w:t>（6）不同供应商的磋商保证金从同一单位或者个人的账户转出。</w:t>
      </w:r>
    </w:p>
    <w:p w14:paraId="1CF1771F">
      <w:pPr>
        <w:keepNext w:val="0"/>
        <w:keepLines w:val="0"/>
        <w:pageBreakBefore w:val="0"/>
        <w:widowControl w:val="0"/>
        <w:tabs>
          <w:tab w:val="left" w:pos="1260"/>
          <w:tab w:val="left" w:pos="1620"/>
        </w:tabs>
        <w:kinsoku/>
        <w:wordWrap/>
        <w:overflowPunct/>
        <w:topLinePunct w:val="0"/>
        <w:autoSpaceDE/>
        <w:autoSpaceDN/>
        <w:bidi w:val="0"/>
        <w:adjustRightInd w:val="0"/>
        <w:snapToGrid/>
        <w:spacing w:line="360" w:lineRule="auto"/>
        <w:jc w:val="left"/>
        <w:textAlignment w:val="baseline"/>
        <w:rPr>
          <w:rFonts w:hint="eastAsia" w:ascii="仿宋_GB2312" w:hAnsi="仿宋_GB2312" w:eastAsia="仿宋_GB2312" w:cs="仿宋_GB2312"/>
          <w:bCs/>
          <w:color w:val="auto"/>
          <w:sz w:val="21"/>
          <w:szCs w:val="21"/>
          <w:highlight w:val="none"/>
        </w:rPr>
      </w:pPr>
      <w:r>
        <w:rPr>
          <w:rFonts w:hint="eastAsia" w:ascii="仿宋_GB2312" w:hAnsi="仿宋_GB2312" w:eastAsia="仿宋_GB2312" w:cs="仿宋_GB2312"/>
          <w:bCs/>
          <w:color w:val="auto"/>
          <w:sz w:val="21"/>
          <w:szCs w:val="21"/>
          <w:highlight w:val="none"/>
          <w:lang w:val="en-US" w:eastAsia="zh-CN"/>
        </w:rPr>
        <w:t>2</w:t>
      </w:r>
      <w:r>
        <w:rPr>
          <w:rFonts w:hint="eastAsia" w:ascii="仿宋_GB2312" w:hAnsi="仿宋_GB2312" w:eastAsia="仿宋_GB2312" w:cs="仿宋_GB2312"/>
          <w:bCs/>
          <w:color w:val="auto"/>
          <w:sz w:val="21"/>
          <w:szCs w:val="21"/>
          <w:highlight w:val="none"/>
        </w:rPr>
        <w:t>、有下列情形之一的，属于提供虚假材料谋取成交的行为：</w:t>
      </w:r>
    </w:p>
    <w:p w14:paraId="50AB8B7E">
      <w:pPr>
        <w:keepNext w:val="0"/>
        <w:keepLines w:val="0"/>
        <w:pageBreakBefore w:val="0"/>
        <w:widowControl w:val="0"/>
        <w:tabs>
          <w:tab w:val="left" w:pos="1260"/>
          <w:tab w:val="left" w:pos="1620"/>
        </w:tabs>
        <w:kinsoku/>
        <w:wordWrap/>
        <w:overflowPunct/>
        <w:topLinePunct w:val="0"/>
        <w:autoSpaceDE/>
        <w:autoSpaceDN/>
        <w:bidi w:val="0"/>
        <w:adjustRightInd w:val="0"/>
        <w:snapToGrid/>
        <w:spacing w:line="360" w:lineRule="auto"/>
        <w:jc w:val="left"/>
        <w:textAlignment w:val="baseline"/>
        <w:rPr>
          <w:rFonts w:hint="eastAsia" w:ascii="仿宋_GB2312" w:hAnsi="仿宋_GB2312" w:eastAsia="仿宋_GB2312" w:cs="仿宋_GB2312"/>
          <w:bCs/>
          <w:color w:val="auto"/>
          <w:sz w:val="21"/>
          <w:szCs w:val="21"/>
          <w:highlight w:val="none"/>
        </w:rPr>
      </w:pPr>
      <w:r>
        <w:rPr>
          <w:rFonts w:hint="eastAsia" w:ascii="仿宋_GB2312" w:hAnsi="仿宋_GB2312" w:eastAsia="仿宋_GB2312" w:cs="仿宋_GB2312"/>
          <w:bCs/>
          <w:color w:val="auto"/>
          <w:sz w:val="21"/>
          <w:szCs w:val="21"/>
          <w:highlight w:val="none"/>
        </w:rPr>
        <w:t>（1）使用伪造、变造的许可证件；</w:t>
      </w:r>
    </w:p>
    <w:p w14:paraId="4671D18E">
      <w:pPr>
        <w:keepNext w:val="0"/>
        <w:keepLines w:val="0"/>
        <w:pageBreakBefore w:val="0"/>
        <w:widowControl w:val="0"/>
        <w:tabs>
          <w:tab w:val="left" w:pos="1260"/>
          <w:tab w:val="left" w:pos="1620"/>
        </w:tabs>
        <w:kinsoku/>
        <w:wordWrap/>
        <w:overflowPunct/>
        <w:topLinePunct w:val="0"/>
        <w:autoSpaceDE/>
        <w:autoSpaceDN/>
        <w:bidi w:val="0"/>
        <w:adjustRightInd w:val="0"/>
        <w:snapToGrid/>
        <w:spacing w:line="360" w:lineRule="auto"/>
        <w:jc w:val="left"/>
        <w:textAlignment w:val="baseline"/>
        <w:rPr>
          <w:rFonts w:hint="eastAsia" w:ascii="仿宋_GB2312" w:hAnsi="仿宋_GB2312" w:eastAsia="仿宋_GB2312" w:cs="仿宋_GB2312"/>
          <w:bCs/>
          <w:color w:val="auto"/>
          <w:sz w:val="21"/>
          <w:szCs w:val="21"/>
          <w:highlight w:val="none"/>
        </w:rPr>
      </w:pPr>
      <w:r>
        <w:rPr>
          <w:rFonts w:hint="eastAsia" w:ascii="仿宋_GB2312" w:hAnsi="仿宋_GB2312" w:eastAsia="仿宋_GB2312" w:cs="仿宋_GB2312"/>
          <w:bCs/>
          <w:color w:val="auto"/>
          <w:sz w:val="21"/>
          <w:szCs w:val="21"/>
          <w:highlight w:val="none"/>
        </w:rPr>
        <w:t>（2）提供虚假的财务状况或者业绩；</w:t>
      </w:r>
    </w:p>
    <w:p w14:paraId="0C84D144">
      <w:pPr>
        <w:keepNext w:val="0"/>
        <w:keepLines w:val="0"/>
        <w:pageBreakBefore w:val="0"/>
        <w:widowControl w:val="0"/>
        <w:tabs>
          <w:tab w:val="left" w:pos="1260"/>
          <w:tab w:val="left" w:pos="1620"/>
        </w:tabs>
        <w:kinsoku/>
        <w:wordWrap/>
        <w:overflowPunct/>
        <w:topLinePunct w:val="0"/>
        <w:autoSpaceDE/>
        <w:autoSpaceDN/>
        <w:bidi w:val="0"/>
        <w:adjustRightInd w:val="0"/>
        <w:snapToGrid/>
        <w:spacing w:line="360" w:lineRule="auto"/>
        <w:jc w:val="left"/>
        <w:textAlignment w:val="baseline"/>
        <w:rPr>
          <w:rFonts w:hint="eastAsia" w:ascii="仿宋_GB2312" w:hAnsi="仿宋_GB2312" w:eastAsia="仿宋_GB2312" w:cs="仿宋_GB2312"/>
          <w:bCs/>
          <w:color w:val="auto"/>
          <w:sz w:val="21"/>
          <w:szCs w:val="21"/>
          <w:highlight w:val="none"/>
        </w:rPr>
      </w:pPr>
      <w:r>
        <w:rPr>
          <w:rFonts w:hint="eastAsia" w:ascii="仿宋_GB2312" w:hAnsi="仿宋_GB2312" w:eastAsia="仿宋_GB2312" w:cs="仿宋_GB2312"/>
          <w:bCs/>
          <w:color w:val="auto"/>
          <w:sz w:val="21"/>
          <w:szCs w:val="21"/>
          <w:highlight w:val="none"/>
        </w:rPr>
        <w:t>（3）提供虚假的项目负责人或者主要技术人员简历、劳动关系证明；</w:t>
      </w:r>
    </w:p>
    <w:p w14:paraId="08AC05D0">
      <w:pPr>
        <w:keepNext w:val="0"/>
        <w:keepLines w:val="0"/>
        <w:pageBreakBefore w:val="0"/>
        <w:widowControl w:val="0"/>
        <w:tabs>
          <w:tab w:val="left" w:pos="1260"/>
          <w:tab w:val="left" w:pos="1620"/>
        </w:tabs>
        <w:kinsoku/>
        <w:wordWrap/>
        <w:overflowPunct/>
        <w:topLinePunct w:val="0"/>
        <w:autoSpaceDE/>
        <w:autoSpaceDN/>
        <w:bidi w:val="0"/>
        <w:adjustRightInd w:val="0"/>
        <w:snapToGrid/>
        <w:spacing w:line="360" w:lineRule="auto"/>
        <w:jc w:val="left"/>
        <w:textAlignment w:val="baseline"/>
        <w:rPr>
          <w:rFonts w:hint="eastAsia" w:ascii="仿宋_GB2312" w:hAnsi="仿宋_GB2312" w:eastAsia="仿宋_GB2312" w:cs="仿宋_GB2312"/>
          <w:bCs/>
          <w:color w:val="auto"/>
          <w:sz w:val="21"/>
          <w:szCs w:val="21"/>
          <w:highlight w:val="none"/>
        </w:rPr>
      </w:pPr>
      <w:r>
        <w:rPr>
          <w:rFonts w:hint="eastAsia" w:ascii="仿宋_GB2312" w:hAnsi="仿宋_GB2312" w:eastAsia="仿宋_GB2312" w:cs="仿宋_GB2312"/>
          <w:bCs/>
          <w:color w:val="auto"/>
          <w:sz w:val="21"/>
          <w:szCs w:val="21"/>
          <w:highlight w:val="none"/>
        </w:rPr>
        <w:t>（4）提供虚假的信用状况；</w:t>
      </w:r>
    </w:p>
    <w:p w14:paraId="577495CD">
      <w:pPr>
        <w:keepNext w:val="0"/>
        <w:keepLines w:val="0"/>
        <w:pageBreakBefore w:val="0"/>
        <w:widowControl w:val="0"/>
        <w:tabs>
          <w:tab w:val="left" w:pos="1260"/>
          <w:tab w:val="left" w:pos="1620"/>
        </w:tabs>
        <w:kinsoku/>
        <w:wordWrap/>
        <w:overflowPunct/>
        <w:topLinePunct w:val="0"/>
        <w:autoSpaceDE/>
        <w:autoSpaceDN/>
        <w:bidi w:val="0"/>
        <w:adjustRightInd w:val="0"/>
        <w:snapToGrid/>
        <w:spacing w:line="360" w:lineRule="auto"/>
        <w:jc w:val="left"/>
        <w:textAlignment w:val="baseline"/>
        <w:rPr>
          <w:rFonts w:hint="eastAsia" w:ascii="仿宋_GB2312" w:hAnsi="仿宋_GB2312" w:eastAsia="仿宋_GB2312" w:cs="仿宋_GB2312"/>
          <w:bCs/>
          <w:color w:val="auto"/>
          <w:sz w:val="21"/>
          <w:szCs w:val="21"/>
          <w:highlight w:val="none"/>
        </w:rPr>
      </w:pPr>
      <w:r>
        <w:rPr>
          <w:rFonts w:hint="eastAsia" w:ascii="仿宋_GB2312" w:hAnsi="仿宋_GB2312" w:eastAsia="仿宋_GB2312" w:cs="仿宋_GB2312"/>
          <w:bCs/>
          <w:color w:val="auto"/>
          <w:sz w:val="21"/>
          <w:szCs w:val="21"/>
          <w:highlight w:val="none"/>
        </w:rPr>
        <w:t>（5）其他弄虚作假的行为。</w:t>
      </w:r>
    </w:p>
    <w:p w14:paraId="10AC5A36">
      <w:pPr>
        <w:rPr>
          <w:rFonts w:eastAsia="仿宋_GB2312"/>
          <w:b/>
          <w:color w:val="auto"/>
          <w:sz w:val="30"/>
          <w:szCs w:val="30"/>
          <w:highlight w:val="none"/>
        </w:rPr>
      </w:pPr>
      <w:r>
        <w:rPr>
          <w:rFonts w:eastAsia="仿宋_GB2312"/>
          <w:b/>
          <w:color w:val="auto"/>
          <w:sz w:val="30"/>
          <w:szCs w:val="30"/>
          <w:highlight w:val="none"/>
        </w:rPr>
        <w:br w:type="page"/>
      </w:r>
    </w:p>
    <w:p w14:paraId="22300EE0">
      <w:pPr>
        <w:jc w:val="center"/>
        <w:rPr>
          <w:rFonts w:eastAsia="仿宋_GB2312"/>
          <w:b/>
          <w:color w:val="auto"/>
          <w:sz w:val="30"/>
          <w:szCs w:val="30"/>
          <w:highlight w:val="none"/>
        </w:rPr>
      </w:pPr>
      <w:r>
        <w:rPr>
          <w:rFonts w:eastAsia="仿宋_GB2312"/>
          <w:b/>
          <w:color w:val="auto"/>
          <w:sz w:val="30"/>
          <w:szCs w:val="30"/>
          <w:highlight w:val="none"/>
        </w:rPr>
        <w:t>附表三 评审因素及分值分配表</w:t>
      </w:r>
      <w:bookmarkEnd w:id="408"/>
      <w:bookmarkEnd w:id="409"/>
      <w:bookmarkEnd w:id="410"/>
    </w:p>
    <w:tbl>
      <w:tblPr>
        <w:tblStyle w:val="50"/>
        <w:tblW w:w="9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3"/>
        <w:gridCol w:w="1196"/>
        <w:gridCol w:w="766"/>
        <w:gridCol w:w="6445"/>
      </w:tblGrid>
      <w:tr w14:paraId="57043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1989" w:type="dxa"/>
            <w:gridSpan w:val="2"/>
            <w:tcBorders>
              <w:top w:val="single" w:color="auto" w:sz="4" w:space="0"/>
              <w:left w:val="single" w:color="auto" w:sz="4" w:space="0"/>
              <w:bottom w:val="single" w:color="auto" w:sz="4" w:space="0"/>
              <w:right w:val="single" w:color="auto" w:sz="4" w:space="0"/>
            </w:tcBorders>
            <w:noWrap w:val="0"/>
            <w:vAlign w:val="center"/>
          </w:tcPr>
          <w:p w14:paraId="10E3BB7D">
            <w:pPr>
              <w:adjustRightInd w:val="0"/>
              <w:snapToGrid w:val="0"/>
              <w:jc w:val="center"/>
              <w:rPr>
                <w:rFonts w:hint="eastAsia" w:ascii="仿宋_GB2312" w:hAnsi="仿宋_GB2312" w:eastAsia="仿宋_GB2312" w:cs="仿宋_GB2312"/>
                <w:i w:val="0"/>
                <w:iCs w:val="0"/>
                <w:sz w:val="21"/>
                <w:szCs w:val="21"/>
                <w:highlight w:val="none"/>
              </w:rPr>
            </w:pPr>
            <w:r>
              <w:rPr>
                <w:rFonts w:hint="eastAsia" w:ascii="仿宋_GB2312" w:hAnsi="仿宋_GB2312" w:eastAsia="仿宋_GB2312" w:cs="仿宋_GB2312"/>
                <w:i w:val="0"/>
                <w:iCs w:val="0"/>
                <w:sz w:val="21"/>
                <w:szCs w:val="21"/>
                <w:highlight w:val="none"/>
              </w:rPr>
              <w:t>评标要素</w:t>
            </w:r>
          </w:p>
        </w:tc>
        <w:tc>
          <w:tcPr>
            <w:tcW w:w="766" w:type="dxa"/>
            <w:tcBorders>
              <w:top w:val="single" w:color="auto" w:sz="4" w:space="0"/>
              <w:left w:val="single" w:color="auto" w:sz="4" w:space="0"/>
              <w:right w:val="single" w:color="auto" w:sz="4" w:space="0"/>
            </w:tcBorders>
            <w:noWrap w:val="0"/>
            <w:vAlign w:val="center"/>
          </w:tcPr>
          <w:p w14:paraId="621348E9">
            <w:pPr>
              <w:adjustRightInd w:val="0"/>
              <w:snapToGrid w:val="0"/>
              <w:jc w:val="center"/>
              <w:rPr>
                <w:rFonts w:hint="eastAsia" w:ascii="仿宋_GB2312" w:hAnsi="仿宋_GB2312" w:eastAsia="仿宋_GB2312" w:cs="仿宋_GB2312"/>
                <w:i w:val="0"/>
                <w:iCs w:val="0"/>
                <w:sz w:val="21"/>
                <w:szCs w:val="21"/>
                <w:highlight w:val="none"/>
                <w:lang w:eastAsia="zh-CN"/>
              </w:rPr>
            </w:pPr>
            <w:r>
              <w:rPr>
                <w:rFonts w:hint="eastAsia" w:ascii="仿宋_GB2312" w:hAnsi="仿宋_GB2312" w:eastAsia="仿宋_GB2312" w:cs="仿宋_GB2312"/>
                <w:i w:val="0"/>
                <w:iCs w:val="0"/>
                <w:sz w:val="21"/>
                <w:szCs w:val="21"/>
                <w:highlight w:val="none"/>
                <w:lang w:val="en-US" w:eastAsia="zh-CN"/>
              </w:rPr>
              <w:t>分值</w:t>
            </w:r>
          </w:p>
        </w:tc>
        <w:tc>
          <w:tcPr>
            <w:tcW w:w="6445" w:type="dxa"/>
            <w:tcBorders>
              <w:top w:val="single" w:color="auto" w:sz="4" w:space="0"/>
              <w:left w:val="single" w:color="auto" w:sz="4" w:space="0"/>
              <w:bottom w:val="single" w:color="auto" w:sz="4" w:space="0"/>
              <w:right w:val="single" w:color="auto" w:sz="4" w:space="0"/>
            </w:tcBorders>
            <w:noWrap w:val="0"/>
            <w:vAlign w:val="center"/>
          </w:tcPr>
          <w:p w14:paraId="4F321C30">
            <w:pPr>
              <w:adjustRightInd w:val="0"/>
              <w:snapToGrid w:val="0"/>
              <w:jc w:val="center"/>
              <w:rPr>
                <w:rFonts w:hint="eastAsia" w:ascii="仿宋_GB2312" w:hAnsi="仿宋_GB2312" w:eastAsia="仿宋_GB2312" w:cs="仿宋_GB2312"/>
                <w:i w:val="0"/>
                <w:iCs w:val="0"/>
                <w:sz w:val="21"/>
                <w:szCs w:val="21"/>
                <w:highlight w:val="none"/>
              </w:rPr>
            </w:pPr>
            <w:r>
              <w:rPr>
                <w:rFonts w:hint="eastAsia" w:ascii="仿宋_GB2312" w:hAnsi="仿宋_GB2312" w:eastAsia="仿宋_GB2312" w:cs="仿宋_GB2312"/>
                <w:i w:val="0"/>
                <w:iCs w:val="0"/>
                <w:sz w:val="21"/>
                <w:szCs w:val="21"/>
                <w:highlight w:val="none"/>
              </w:rPr>
              <w:t>评标标准</w:t>
            </w:r>
          </w:p>
        </w:tc>
      </w:tr>
      <w:tr w14:paraId="464A8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989" w:type="dxa"/>
            <w:gridSpan w:val="2"/>
            <w:tcBorders>
              <w:top w:val="single" w:color="auto" w:sz="4" w:space="0"/>
              <w:left w:val="single" w:color="auto" w:sz="4" w:space="0"/>
              <w:bottom w:val="single" w:color="auto" w:sz="4" w:space="0"/>
              <w:right w:val="single" w:color="auto" w:sz="4" w:space="0"/>
            </w:tcBorders>
            <w:noWrap w:val="0"/>
            <w:vAlign w:val="center"/>
          </w:tcPr>
          <w:p w14:paraId="1403436C">
            <w:pPr>
              <w:adjustRightInd w:val="0"/>
              <w:snapToGrid w:val="0"/>
              <w:spacing w:line="360" w:lineRule="auto"/>
              <w:jc w:val="center"/>
              <w:rPr>
                <w:rFonts w:hint="eastAsia" w:ascii="仿宋_GB2312" w:hAnsi="仿宋_GB2312" w:eastAsia="仿宋_GB2312" w:cs="仿宋_GB2312"/>
                <w:i w:val="0"/>
                <w:iCs w:val="0"/>
                <w:sz w:val="21"/>
                <w:szCs w:val="21"/>
                <w:highlight w:val="none"/>
              </w:rPr>
            </w:pPr>
            <w:r>
              <w:rPr>
                <w:rFonts w:hint="eastAsia" w:ascii="仿宋_GB2312" w:hAnsi="仿宋_GB2312" w:eastAsia="仿宋_GB2312" w:cs="仿宋_GB2312"/>
                <w:i w:val="0"/>
                <w:iCs w:val="0"/>
                <w:sz w:val="21"/>
                <w:szCs w:val="21"/>
                <w:highlight w:val="none"/>
              </w:rPr>
              <w:t>价格</w:t>
            </w:r>
          </w:p>
        </w:tc>
        <w:tc>
          <w:tcPr>
            <w:tcW w:w="766" w:type="dxa"/>
            <w:tcBorders>
              <w:top w:val="single" w:color="auto" w:sz="4" w:space="0"/>
              <w:left w:val="single" w:color="auto" w:sz="4" w:space="0"/>
              <w:bottom w:val="single" w:color="auto" w:sz="4" w:space="0"/>
              <w:right w:val="single" w:color="auto" w:sz="4" w:space="0"/>
            </w:tcBorders>
            <w:noWrap w:val="0"/>
            <w:vAlign w:val="center"/>
          </w:tcPr>
          <w:p w14:paraId="0906786A">
            <w:pPr>
              <w:adjustRightInd w:val="0"/>
              <w:snapToGrid w:val="0"/>
              <w:spacing w:line="360" w:lineRule="auto"/>
              <w:jc w:val="center"/>
              <w:rPr>
                <w:rFonts w:hint="default" w:ascii="仿宋_GB2312" w:hAnsi="仿宋_GB2312" w:eastAsia="仿宋_GB2312" w:cs="仿宋_GB2312"/>
                <w:i w:val="0"/>
                <w:iCs w:val="0"/>
                <w:sz w:val="21"/>
                <w:szCs w:val="21"/>
                <w:highlight w:val="none"/>
                <w:lang w:val="en-US" w:eastAsia="zh-CN"/>
              </w:rPr>
            </w:pPr>
            <w:r>
              <w:rPr>
                <w:rFonts w:hint="eastAsia" w:ascii="仿宋_GB2312" w:hAnsi="仿宋_GB2312" w:eastAsia="仿宋_GB2312" w:cs="仿宋_GB2312"/>
                <w:i w:val="0"/>
                <w:iCs w:val="0"/>
                <w:sz w:val="21"/>
                <w:szCs w:val="21"/>
                <w:highlight w:val="none"/>
                <w:lang w:val="en-US" w:eastAsia="zh-CN"/>
              </w:rPr>
              <w:t>30</w:t>
            </w:r>
          </w:p>
        </w:tc>
        <w:tc>
          <w:tcPr>
            <w:tcW w:w="6445" w:type="dxa"/>
            <w:tcBorders>
              <w:top w:val="single" w:color="auto" w:sz="4" w:space="0"/>
              <w:left w:val="single" w:color="auto" w:sz="4" w:space="0"/>
              <w:bottom w:val="single" w:color="auto" w:sz="4" w:space="0"/>
              <w:right w:val="single" w:color="auto" w:sz="4" w:space="0"/>
            </w:tcBorders>
            <w:noWrap w:val="0"/>
            <w:vAlign w:val="center"/>
          </w:tcPr>
          <w:p w14:paraId="7B0F07D4">
            <w:pPr>
              <w:adjustRightInd w:val="0"/>
              <w:snapToGrid w:val="0"/>
              <w:spacing w:line="276" w:lineRule="auto"/>
              <w:jc w:val="left"/>
              <w:rPr>
                <w:rFonts w:hint="eastAsia" w:ascii="仿宋_GB2312" w:hAnsi="仿宋_GB2312" w:eastAsia="仿宋_GB2312" w:cs="仿宋_GB2312"/>
                <w:i w:val="0"/>
                <w:iCs w:val="0"/>
                <w:sz w:val="21"/>
                <w:szCs w:val="21"/>
                <w:highlight w:val="none"/>
                <w:u w:val="single"/>
                <w:lang w:val="en-US" w:eastAsia="zh-CN"/>
              </w:rPr>
            </w:pPr>
            <w:r>
              <w:rPr>
                <w:rFonts w:hint="eastAsia" w:ascii="仿宋_GB2312" w:eastAsia="仿宋_GB2312" w:cs="Times New Roman"/>
                <w:sz w:val="24"/>
                <w:highlight w:val="none"/>
                <w:lang w:val="en-US" w:eastAsia="zh-CN"/>
              </w:rPr>
              <w:t>满足采购文件要求且有效响应文件的最后报价并按本章2.3.3（1）（2）（3）进行调整的最低报价为评审基准价，其价格分为满分。其他供应商的价格分统一按照下列公式计算：投标报价得分=（评标基准价/最后报价）×价格分值</w:t>
            </w:r>
          </w:p>
        </w:tc>
      </w:tr>
      <w:tr w14:paraId="46173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93" w:type="dxa"/>
            <w:vMerge w:val="restart"/>
            <w:tcBorders>
              <w:left w:val="single" w:color="auto" w:sz="4" w:space="0"/>
              <w:right w:val="single" w:color="auto" w:sz="4" w:space="0"/>
            </w:tcBorders>
            <w:noWrap w:val="0"/>
            <w:vAlign w:val="center"/>
          </w:tcPr>
          <w:p w14:paraId="1928AED5">
            <w:pPr>
              <w:adjustRightInd w:val="0"/>
              <w:snapToGrid w:val="0"/>
              <w:spacing w:line="360" w:lineRule="auto"/>
              <w:jc w:val="center"/>
              <w:rPr>
                <w:rFonts w:hint="eastAsia" w:ascii="仿宋_GB2312" w:hAnsi="仿宋_GB2312" w:eastAsia="仿宋_GB2312" w:cs="仿宋_GB2312"/>
                <w:i w:val="0"/>
                <w:iCs w:val="0"/>
                <w:sz w:val="21"/>
                <w:szCs w:val="21"/>
                <w:highlight w:val="none"/>
                <w:lang w:val="en-US" w:eastAsia="zh-CN"/>
              </w:rPr>
            </w:pPr>
            <w:r>
              <w:rPr>
                <w:rFonts w:hint="eastAsia" w:ascii="仿宋_GB2312" w:hAnsi="仿宋_GB2312" w:eastAsia="仿宋_GB2312" w:cs="仿宋_GB2312"/>
                <w:i w:val="0"/>
                <w:iCs w:val="0"/>
                <w:sz w:val="21"/>
                <w:szCs w:val="21"/>
                <w:highlight w:val="none"/>
                <w:lang w:val="en-US" w:eastAsia="zh-CN"/>
              </w:rPr>
              <w:t>技术评审</w:t>
            </w:r>
          </w:p>
        </w:tc>
        <w:tc>
          <w:tcPr>
            <w:tcW w:w="119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D94EA2F">
            <w:pPr>
              <w:adjustRightInd w:val="0"/>
              <w:snapToGrid w:val="0"/>
              <w:spacing w:line="360" w:lineRule="auto"/>
              <w:jc w:val="center"/>
              <w:rPr>
                <w:rFonts w:hint="eastAsia" w:ascii="仿宋_GB2312" w:hAnsi="仿宋_GB2312" w:eastAsia="仿宋_GB2312" w:cs="仿宋_GB2312"/>
                <w:i w:val="0"/>
                <w:iCs w:val="0"/>
                <w:sz w:val="21"/>
                <w:szCs w:val="21"/>
                <w:highlight w:val="none"/>
                <w:lang w:val="en-US" w:eastAsia="zh-CN"/>
              </w:rPr>
            </w:pPr>
            <w:r>
              <w:rPr>
                <w:rFonts w:hint="eastAsia" w:ascii="仿宋_GB2312" w:hAnsi="仿宋_GB2312" w:eastAsia="仿宋_GB2312" w:cs="仿宋_GB2312"/>
                <w:i w:val="0"/>
                <w:iCs w:val="0"/>
                <w:sz w:val="21"/>
                <w:szCs w:val="21"/>
                <w:highlight w:val="none"/>
              </w:rPr>
              <w:t>预警信息落地防控</w:t>
            </w:r>
            <w:r>
              <w:rPr>
                <w:rFonts w:hint="eastAsia" w:ascii="仿宋_GB2312" w:hAnsi="仿宋_GB2312" w:eastAsia="仿宋_GB2312" w:cs="仿宋_GB2312"/>
                <w:i w:val="0"/>
                <w:iCs w:val="0"/>
                <w:sz w:val="21"/>
                <w:szCs w:val="21"/>
                <w:highlight w:val="none"/>
                <w:lang w:val="en-US" w:eastAsia="zh-CN"/>
              </w:rPr>
              <w:t>措施</w:t>
            </w:r>
          </w:p>
        </w:tc>
        <w:tc>
          <w:tcPr>
            <w:tcW w:w="766" w:type="dxa"/>
            <w:tcBorders>
              <w:top w:val="single" w:color="auto" w:sz="4" w:space="0"/>
              <w:left w:val="single" w:color="auto" w:sz="4" w:space="0"/>
              <w:bottom w:val="single" w:color="auto" w:sz="4" w:space="0"/>
              <w:right w:val="single" w:color="auto" w:sz="4" w:space="0"/>
            </w:tcBorders>
            <w:noWrap w:val="0"/>
            <w:vAlign w:val="center"/>
          </w:tcPr>
          <w:p w14:paraId="72BB31C3">
            <w:pPr>
              <w:adjustRightInd w:val="0"/>
              <w:snapToGrid w:val="0"/>
              <w:spacing w:line="360" w:lineRule="auto"/>
              <w:jc w:val="center"/>
              <w:rPr>
                <w:rFonts w:hint="default" w:ascii="仿宋_GB2312" w:hAnsi="仿宋_GB2312" w:eastAsia="仿宋_GB2312" w:cs="仿宋_GB2312"/>
                <w:i w:val="0"/>
                <w:iCs w:val="0"/>
                <w:sz w:val="21"/>
                <w:szCs w:val="21"/>
                <w:highlight w:val="none"/>
                <w:lang w:val="en-US" w:eastAsia="zh-CN"/>
              </w:rPr>
            </w:pPr>
            <w:r>
              <w:rPr>
                <w:rFonts w:hint="eastAsia" w:ascii="仿宋_GB2312" w:hAnsi="仿宋_GB2312" w:eastAsia="仿宋_GB2312" w:cs="仿宋_GB2312"/>
                <w:i w:val="0"/>
                <w:iCs w:val="0"/>
                <w:sz w:val="21"/>
                <w:szCs w:val="21"/>
                <w:highlight w:val="none"/>
                <w:lang w:val="en-US" w:eastAsia="zh-CN"/>
              </w:rPr>
              <w:t>5</w:t>
            </w:r>
          </w:p>
        </w:tc>
        <w:tc>
          <w:tcPr>
            <w:tcW w:w="6445" w:type="dxa"/>
            <w:tcBorders>
              <w:top w:val="single" w:color="auto" w:sz="4" w:space="0"/>
              <w:left w:val="single" w:color="auto" w:sz="4" w:space="0"/>
              <w:bottom w:val="single" w:color="auto" w:sz="4" w:space="0"/>
              <w:right w:val="single" w:color="auto" w:sz="4" w:space="0"/>
            </w:tcBorders>
            <w:noWrap w:val="0"/>
            <w:vAlign w:val="center"/>
          </w:tcPr>
          <w:p w14:paraId="7611E8FD">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hAnsi="仿宋_GB2312" w:eastAsia="仿宋_GB2312" w:cs="仿宋_GB2312"/>
                <w:bCs/>
                <w:color w:val="auto"/>
                <w:sz w:val="24"/>
                <w:szCs w:val="24"/>
                <w:highlight w:val="none"/>
                <w:lang w:val="en-US" w:eastAsia="zh-CN"/>
              </w:rPr>
              <w:t>提供</w:t>
            </w:r>
            <w:r>
              <w:rPr>
                <w:rFonts w:hint="eastAsia" w:ascii="仿宋_GB2312" w:hAnsi="仿宋_GB2312" w:eastAsia="仿宋_GB2312" w:cs="仿宋_GB2312"/>
                <w:bCs/>
                <w:color w:val="auto"/>
                <w:sz w:val="24"/>
                <w:szCs w:val="24"/>
                <w:highlight w:val="none"/>
              </w:rPr>
              <w:t>预警信息落地防控</w:t>
            </w:r>
            <w:r>
              <w:rPr>
                <w:rFonts w:hint="eastAsia" w:ascii="仿宋_GB2312" w:hAnsi="仿宋_GB2312" w:eastAsia="仿宋_GB2312" w:cs="仿宋_GB2312"/>
                <w:bCs/>
                <w:color w:val="auto"/>
                <w:sz w:val="24"/>
                <w:szCs w:val="24"/>
                <w:highlight w:val="none"/>
                <w:lang w:val="en-US" w:eastAsia="zh-CN"/>
              </w:rPr>
              <w:t>措施，针对采购人发布的相关预警情况，提供具体的落地防控措施，</w:t>
            </w:r>
            <w:r>
              <w:rPr>
                <w:rFonts w:hint="eastAsia" w:ascii="仿宋_GB2312" w:hAnsi="Times New Roman" w:eastAsia="仿宋_GB2312" w:cs="Times New Roman"/>
                <w:sz w:val="24"/>
                <w:highlight w:val="none"/>
                <w:lang w:val="zh-CN"/>
              </w:rPr>
              <w:t>措施详细具体、切实可行</w:t>
            </w:r>
            <w:r>
              <w:rPr>
                <w:rFonts w:hint="eastAsia" w:ascii="仿宋_GB2312" w:eastAsia="仿宋_GB2312" w:cs="Times New Roman"/>
                <w:sz w:val="24"/>
                <w:highlight w:val="none"/>
                <w:lang w:val="zh-CN"/>
              </w:rPr>
              <w:t>、</w:t>
            </w:r>
            <w:r>
              <w:rPr>
                <w:rFonts w:hint="eastAsia" w:ascii="仿宋_GB2312" w:eastAsia="仿宋_GB2312" w:cs="Times New Roman"/>
                <w:sz w:val="24"/>
                <w:highlight w:val="none"/>
                <w:lang w:val="en-US" w:eastAsia="zh-CN"/>
              </w:rPr>
              <w:t>无缺陷得5分，方案内容每存在1处缺陷扣1分，扣完为止。</w:t>
            </w:r>
          </w:p>
          <w:p w14:paraId="286657F9">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注：内容存在缺陷是指：</w:t>
            </w:r>
          </w:p>
          <w:p w14:paraId="2D83FEAD">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①方案生搬硬套，与实际情况明显不符；</w:t>
            </w:r>
          </w:p>
          <w:p w14:paraId="25D63E9F">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②存在与项目明显无关的文字内容；</w:t>
            </w:r>
          </w:p>
          <w:p w14:paraId="52EF0A2B">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③内容不适用项目的实际情况；</w:t>
            </w:r>
          </w:p>
          <w:p w14:paraId="2ADD3DF3">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④对采购需求理解缺位混乱；</w:t>
            </w:r>
          </w:p>
          <w:p w14:paraId="07415D88">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⑤描述的内容混乱，重点不突出；</w:t>
            </w:r>
          </w:p>
          <w:p w14:paraId="51C52D45">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⑥内容缺失不完善，可操作性较差；</w:t>
            </w:r>
          </w:p>
          <w:p w14:paraId="4F9571D6">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⑦凭空编造，内容矛盾，前后逻辑错误；</w:t>
            </w:r>
          </w:p>
          <w:p w14:paraId="573596BE">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⑧适用（引用）的规范及标准错误或已废止；</w:t>
            </w:r>
          </w:p>
          <w:p w14:paraId="2B951C95">
            <w:pPr>
              <w:adjustRightInd w:val="0"/>
              <w:snapToGrid w:val="0"/>
              <w:spacing w:line="276" w:lineRule="auto"/>
              <w:jc w:val="left"/>
              <w:rPr>
                <w:rFonts w:hint="default" w:ascii="仿宋_GB2312" w:hAnsi="仿宋_GB2312" w:eastAsia="仿宋_GB2312" w:cs="仿宋_GB2312"/>
                <w:i w:val="0"/>
                <w:iCs w:val="0"/>
                <w:sz w:val="21"/>
                <w:szCs w:val="21"/>
                <w:highlight w:val="none"/>
                <w:lang w:val="en-US" w:eastAsia="zh-CN"/>
              </w:rPr>
            </w:pPr>
            <w:r>
              <w:rPr>
                <w:rFonts w:hint="eastAsia" w:ascii="仿宋_GB2312" w:eastAsia="仿宋_GB2312" w:cs="Times New Roman"/>
                <w:sz w:val="24"/>
                <w:highlight w:val="none"/>
                <w:lang w:val="en-US" w:eastAsia="zh-CN"/>
              </w:rPr>
              <w:t>⑨地点区域错误，或项名称错误等。</w:t>
            </w:r>
          </w:p>
        </w:tc>
      </w:tr>
      <w:tr w14:paraId="290D0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93" w:type="dxa"/>
            <w:vMerge w:val="continue"/>
            <w:tcBorders>
              <w:left w:val="single" w:color="auto" w:sz="4" w:space="0"/>
              <w:right w:val="single" w:color="auto" w:sz="4" w:space="0"/>
            </w:tcBorders>
            <w:noWrap w:val="0"/>
            <w:vAlign w:val="center"/>
          </w:tcPr>
          <w:p w14:paraId="0D107D4A">
            <w:pPr>
              <w:adjustRightInd w:val="0"/>
              <w:snapToGrid w:val="0"/>
              <w:spacing w:line="360" w:lineRule="auto"/>
              <w:jc w:val="center"/>
              <w:rPr>
                <w:rFonts w:hint="eastAsia" w:ascii="仿宋_GB2312" w:hAnsi="仿宋_GB2312" w:eastAsia="仿宋_GB2312" w:cs="仿宋_GB2312"/>
                <w:i w:val="0"/>
                <w:iCs w:val="0"/>
                <w:sz w:val="21"/>
                <w:szCs w:val="21"/>
                <w:highlight w:val="none"/>
                <w:lang w:val="en-US" w:eastAsia="zh-CN"/>
              </w:rPr>
            </w:pPr>
          </w:p>
        </w:tc>
        <w:tc>
          <w:tcPr>
            <w:tcW w:w="119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D9D4F8E">
            <w:pPr>
              <w:adjustRightInd w:val="0"/>
              <w:snapToGrid w:val="0"/>
              <w:spacing w:line="360" w:lineRule="auto"/>
              <w:jc w:val="center"/>
              <w:rPr>
                <w:rFonts w:hint="eastAsia" w:ascii="仿宋_GB2312" w:hAnsi="仿宋_GB2312" w:eastAsia="仿宋_GB2312" w:cs="仿宋_GB2312"/>
                <w:i w:val="0"/>
                <w:iCs w:val="0"/>
                <w:sz w:val="21"/>
                <w:szCs w:val="21"/>
                <w:highlight w:val="none"/>
                <w:lang w:val="en-US" w:eastAsia="zh-CN"/>
              </w:rPr>
            </w:pPr>
            <w:r>
              <w:rPr>
                <w:rFonts w:hint="eastAsia" w:ascii="仿宋_GB2312" w:hAnsi="仿宋_GB2312" w:eastAsia="仿宋_GB2312" w:cs="仿宋_GB2312"/>
                <w:i w:val="0"/>
                <w:iCs w:val="0"/>
                <w:sz w:val="21"/>
                <w:szCs w:val="21"/>
                <w:highlight w:val="none"/>
                <w:lang w:val="en-US" w:eastAsia="zh-CN"/>
              </w:rPr>
              <w:t>装备</w:t>
            </w:r>
            <w:r>
              <w:rPr>
                <w:rFonts w:hint="eastAsia" w:ascii="仿宋_GB2312" w:hAnsi="仿宋_GB2312" w:eastAsia="仿宋_GB2312" w:cs="仿宋_GB2312"/>
                <w:i w:val="0"/>
                <w:iCs w:val="0"/>
                <w:sz w:val="21"/>
                <w:szCs w:val="21"/>
                <w:highlight w:val="none"/>
              </w:rPr>
              <w:t>配备</w:t>
            </w:r>
            <w:r>
              <w:rPr>
                <w:rFonts w:hint="eastAsia" w:ascii="仿宋_GB2312" w:hAnsi="仿宋_GB2312" w:eastAsia="仿宋_GB2312" w:cs="仿宋_GB2312"/>
                <w:i w:val="0"/>
                <w:iCs w:val="0"/>
                <w:sz w:val="21"/>
                <w:szCs w:val="21"/>
                <w:highlight w:val="none"/>
                <w:lang w:val="en-US" w:eastAsia="zh-CN"/>
              </w:rPr>
              <w:t>方案</w:t>
            </w:r>
          </w:p>
        </w:tc>
        <w:tc>
          <w:tcPr>
            <w:tcW w:w="766" w:type="dxa"/>
            <w:tcBorders>
              <w:top w:val="single" w:color="auto" w:sz="4" w:space="0"/>
              <w:left w:val="single" w:color="auto" w:sz="4" w:space="0"/>
              <w:bottom w:val="single" w:color="auto" w:sz="4" w:space="0"/>
              <w:right w:val="single" w:color="auto" w:sz="4" w:space="0"/>
            </w:tcBorders>
            <w:noWrap w:val="0"/>
            <w:vAlign w:val="center"/>
          </w:tcPr>
          <w:p w14:paraId="31111AA2">
            <w:pPr>
              <w:adjustRightInd w:val="0"/>
              <w:snapToGrid w:val="0"/>
              <w:spacing w:line="360" w:lineRule="auto"/>
              <w:jc w:val="center"/>
              <w:rPr>
                <w:rFonts w:hint="default" w:ascii="仿宋_GB2312" w:hAnsi="仿宋_GB2312" w:eastAsia="仿宋_GB2312" w:cs="仿宋_GB2312"/>
                <w:i w:val="0"/>
                <w:iCs w:val="0"/>
                <w:sz w:val="21"/>
                <w:szCs w:val="21"/>
                <w:highlight w:val="none"/>
                <w:lang w:val="en-US" w:eastAsia="zh-CN"/>
              </w:rPr>
            </w:pPr>
            <w:r>
              <w:rPr>
                <w:rFonts w:hint="eastAsia" w:ascii="仿宋_GB2312" w:hAnsi="仿宋_GB2312" w:eastAsia="仿宋_GB2312" w:cs="仿宋_GB2312"/>
                <w:i w:val="0"/>
                <w:iCs w:val="0"/>
                <w:sz w:val="21"/>
                <w:szCs w:val="21"/>
                <w:highlight w:val="none"/>
                <w:lang w:val="en-US" w:eastAsia="zh-CN"/>
              </w:rPr>
              <w:t>5</w:t>
            </w:r>
          </w:p>
        </w:tc>
        <w:tc>
          <w:tcPr>
            <w:tcW w:w="6445" w:type="dxa"/>
            <w:tcBorders>
              <w:top w:val="single" w:color="auto" w:sz="4" w:space="0"/>
              <w:left w:val="single" w:color="auto" w:sz="4" w:space="0"/>
              <w:bottom w:val="single" w:color="auto" w:sz="4" w:space="0"/>
              <w:right w:val="single" w:color="auto" w:sz="4" w:space="0"/>
            </w:tcBorders>
            <w:noWrap w:val="0"/>
            <w:vAlign w:val="center"/>
          </w:tcPr>
          <w:p w14:paraId="7954C41C">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hAnsi="仿宋_GB2312" w:eastAsia="仿宋_GB2312" w:cs="仿宋_GB2312"/>
                <w:bCs/>
                <w:color w:val="auto"/>
                <w:sz w:val="24"/>
                <w:szCs w:val="24"/>
                <w:highlight w:val="none"/>
                <w:lang w:val="en-US" w:eastAsia="zh-CN"/>
              </w:rPr>
              <w:t>提供安保人员的装备配备方案，装备配备齐全、合理、</w:t>
            </w:r>
            <w:r>
              <w:rPr>
                <w:rFonts w:hint="eastAsia" w:ascii="仿宋_GB2312" w:hAnsi="Times New Roman" w:eastAsia="仿宋_GB2312" w:cs="Times New Roman"/>
                <w:sz w:val="24"/>
                <w:highlight w:val="none"/>
                <w:lang w:val="en-US" w:eastAsia="zh-CN"/>
              </w:rPr>
              <w:t>方案</w:t>
            </w:r>
            <w:r>
              <w:rPr>
                <w:rFonts w:hint="eastAsia" w:ascii="仿宋_GB2312" w:hAnsi="Times New Roman" w:eastAsia="仿宋_GB2312" w:cs="Times New Roman"/>
                <w:sz w:val="24"/>
                <w:highlight w:val="none"/>
                <w:lang w:val="zh-CN"/>
              </w:rPr>
              <w:t>详细具体、切实可行</w:t>
            </w:r>
            <w:r>
              <w:rPr>
                <w:rFonts w:hint="eastAsia" w:ascii="仿宋_GB2312" w:eastAsia="仿宋_GB2312" w:cs="Times New Roman"/>
                <w:sz w:val="24"/>
                <w:highlight w:val="none"/>
                <w:lang w:val="zh-CN"/>
              </w:rPr>
              <w:t>、</w:t>
            </w:r>
            <w:r>
              <w:rPr>
                <w:rFonts w:hint="eastAsia" w:ascii="仿宋_GB2312" w:eastAsia="仿宋_GB2312" w:cs="Times New Roman"/>
                <w:sz w:val="24"/>
                <w:highlight w:val="none"/>
                <w:lang w:val="en-US" w:eastAsia="zh-CN"/>
              </w:rPr>
              <w:t>无缺陷得5分，方案内容每存在1处缺陷扣1分，扣完为止。</w:t>
            </w:r>
          </w:p>
          <w:p w14:paraId="756C92DC">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注：内容存在缺陷是指：</w:t>
            </w:r>
          </w:p>
          <w:p w14:paraId="0DB63E73">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①方案生搬硬套，与实际情况明显不符；</w:t>
            </w:r>
          </w:p>
          <w:p w14:paraId="4F37013A">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②存在与项目明显无关的文字内容；</w:t>
            </w:r>
          </w:p>
          <w:p w14:paraId="17F79BBC">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③内容不适用项目的实际情况；</w:t>
            </w:r>
          </w:p>
          <w:p w14:paraId="5EAE8F1E">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④对采购需求理解缺位混乱；</w:t>
            </w:r>
          </w:p>
          <w:p w14:paraId="22884E2A">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⑤描述的内容混乱，重点不突出；</w:t>
            </w:r>
          </w:p>
          <w:p w14:paraId="038BA0DF">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⑥内容缺失不完善，可操作性较差；</w:t>
            </w:r>
          </w:p>
          <w:p w14:paraId="7EB954AC">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⑦凭空编造，内容矛盾，前后逻辑错误；</w:t>
            </w:r>
          </w:p>
          <w:p w14:paraId="7E46087E">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⑧适用（引用）的规范及标准错误或已废止；</w:t>
            </w:r>
          </w:p>
          <w:p w14:paraId="3795582C">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⑨地点区域错误，或项名称错误等。</w:t>
            </w:r>
          </w:p>
        </w:tc>
      </w:tr>
      <w:tr w14:paraId="5CFB6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93" w:type="dxa"/>
            <w:vMerge w:val="continue"/>
            <w:tcBorders>
              <w:left w:val="single" w:color="auto" w:sz="4" w:space="0"/>
              <w:right w:val="single" w:color="auto" w:sz="4" w:space="0"/>
            </w:tcBorders>
            <w:noWrap w:val="0"/>
            <w:vAlign w:val="center"/>
          </w:tcPr>
          <w:p w14:paraId="03AB648E">
            <w:pPr>
              <w:adjustRightInd w:val="0"/>
              <w:snapToGrid w:val="0"/>
              <w:spacing w:line="360" w:lineRule="auto"/>
              <w:jc w:val="center"/>
              <w:rPr>
                <w:rFonts w:hint="eastAsia" w:ascii="仿宋_GB2312" w:hAnsi="仿宋_GB2312" w:eastAsia="仿宋_GB2312" w:cs="仿宋_GB2312"/>
                <w:i w:val="0"/>
                <w:iCs w:val="0"/>
                <w:sz w:val="21"/>
                <w:szCs w:val="21"/>
                <w:highlight w:val="none"/>
              </w:rPr>
            </w:pPr>
          </w:p>
        </w:tc>
        <w:tc>
          <w:tcPr>
            <w:tcW w:w="119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28056AD">
            <w:pPr>
              <w:adjustRightInd w:val="0"/>
              <w:snapToGrid w:val="0"/>
              <w:spacing w:line="360" w:lineRule="auto"/>
              <w:jc w:val="center"/>
              <w:rPr>
                <w:rFonts w:hint="eastAsia" w:ascii="仿宋_GB2312" w:hAnsi="仿宋_GB2312" w:eastAsia="仿宋_GB2312" w:cs="仿宋_GB2312"/>
                <w:i w:val="0"/>
                <w:iCs w:val="0"/>
                <w:sz w:val="21"/>
                <w:szCs w:val="21"/>
                <w:highlight w:val="none"/>
                <w:lang w:val="en-US" w:eastAsia="zh-CN"/>
              </w:rPr>
            </w:pPr>
            <w:r>
              <w:rPr>
                <w:rFonts w:hint="eastAsia" w:ascii="仿宋_GB2312" w:hAnsi="仿宋_GB2312" w:eastAsia="仿宋_GB2312" w:cs="仿宋_GB2312"/>
                <w:i w:val="0"/>
                <w:iCs w:val="0"/>
                <w:sz w:val="21"/>
                <w:szCs w:val="21"/>
                <w:highlight w:val="none"/>
              </w:rPr>
              <w:t>突发事件应急处置</w:t>
            </w:r>
            <w:r>
              <w:rPr>
                <w:rFonts w:hint="eastAsia" w:ascii="仿宋_GB2312" w:hAnsi="仿宋_GB2312" w:eastAsia="仿宋_GB2312" w:cs="仿宋_GB2312"/>
                <w:i w:val="0"/>
                <w:iCs w:val="0"/>
                <w:sz w:val="21"/>
                <w:szCs w:val="21"/>
                <w:highlight w:val="none"/>
                <w:lang w:val="en-US" w:eastAsia="zh-CN"/>
              </w:rPr>
              <w:t>方案</w:t>
            </w:r>
          </w:p>
        </w:tc>
        <w:tc>
          <w:tcPr>
            <w:tcW w:w="766" w:type="dxa"/>
            <w:tcBorders>
              <w:top w:val="single" w:color="auto" w:sz="4" w:space="0"/>
              <w:left w:val="single" w:color="auto" w:sz="4" w:space="0"/>
              <w:bottom w:val="single" w:color="auto" w:sz="4" w:space="0"/>
              <w:right w:val="single" w:color="auto" w:sz="4" w:space="0"/>
            </w:tcBorders>
            <w:noWrap w:val="0"/>
            <w:vAlign w:val="center"/>
          </w:tcPr>
          <w:p w14:paraId="6922ED03">
            <w:pPr>
              <w:adjustRightInd w:val="0"/>
              <w:snapToGrid w:val="0"/>
              <w:spacing w:line="360" w:lineRule="auto"/>
              <w:jc w:val="center"/>
              <w:rPr>
                <w:rFonts w:hint="default" w:ascii="仿宋_GB2312" w:hAnsi="仿宋_GB2312" w:eastAsia="仿宋_GB2312" w:cs="仿宋_GB2312"/>
                <w:i w:val="0"/>
                <w:iCs w:val="0"/>
                <w:sz w:val="21"/>
                <w:szCs w:val="21"/>
                <w:highlight w:val="none"/>
                <w:lang w:val="en-US" w:eastAsia="zh-CN"/>
              </w:rPr>
            </w:pPr>
            <w:r>
              <w:rPr>
                <w:rFonts w:hint="eastAsia" w:ascii="仿宋_GB2312" w:hAnsi="仿宋_GB2312" w:eastAsia="仿宋_GB2312" w:cs="仿宋_GB2312"/>
                <w:i w:val="0"/>
                <w:iCs w:val="0"/>
                <w:sz w:val="21"/>
                <w:szCs w:val="21"/>
                <w:highlight w:val="none"/>
                <w:lang w:val="en-US" w:eastAsia="zh-CN"/>
              </w:rPr>
              <w:t>10</w:t>
            </w:r>
          </w:p>
        </w:tc>
        <w:tc>
          <w:tcPr>
            <w:tcW w:w="6445" w:type="dxa"/>
            <w:tcBorders>
              <w:top w:val="single" w:color="auto" w:sz="4" w:space="0"/>
              <w:left w:val="single" w:color="auto" w:sz="4" w:space="0"/>
              <w:bottom w:val="single" w:color="auto" w:sz="4" w:space="0"/>
              <w:right w:val="single" w:color="auto" w:sz="4" w:space="0"/>
            </w:tcBorders>
            <w:noWrap w:val="0"/>
            <w:vAlign w:val="center"/>
          </w:tcPr>
          <w:p w14:paraId="6D220F7F">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hAnsi="仿宋_GB2312" w:eastAsia="仿宋_GB2312" w:cs="仿宋_GB2312"/>
                <w:bCs/>
                <w:color w:val="auto"/>
                <w:sz w:val="24"/>
                <w:szCs w:val="24"/>
                <w:highlight w:val="none"/>
                <w:lang w:val="en-US" w:eastAsia="zh-CN"/>
              </w:rPr>
              <w:t>提供</w:t>
            </w:r>
            <w:r>
              <w:rPr>
                <w:rFonts w:hint="eastAsia" w:ascii="仿宋_GB2312" w:hAnsi="仿宋_GB2312" w:eastAsia="仿宋_GB2312" w:cs="仿宋_GB2312"/>
                <w:bCs/>
                <w:color w:val="auto"/>
                <w:sz w:val="24"/>
                <w:szCs w:val="24"/>
                <w:highlight w:val="none"/>
              </w:rPr>
              <w:t>突发事件应急处置</w:t>
            </w:r>
            <w:r>
              <w:rPr>
                <w:rFonts w:hint="eastAsia" w:ascii="仿宋_GB2312" w:hAnsi="仿宋_GB2312" w:eastAsia="仿宋_GB2312" w:cs="仿宋_GB2312"/>
                <w:bCs/>
                <w:color w:val="auto"/>
                <w:sz w:val="24"/>
                <w:szCs w:val="24"/>
                <w:highlight w:val="none"/>
                <w:lang w:val="en-US" w:eastAsia="zh-CN"/>
              </w:rPr>
              <w:t>方案，针对安保服务中可能出现的突发事件，提供相应</w:t>
            </w:r>
            <w:r>
              <w:rPr>
                <w:rFonts w:hint="eastAsia" w:ascii="仿宋_GB2312" w:hAnsi="仿宋_GB2312" w:eastAsia="仿宋_GB2312" w:cs="仿宋_GB2312"/>
                <w:bCs/>
                <w:color w:val="auto"/>
                <w:sz w:val="24"/>
                <w:szCs w:val="24"/>
                <w:highlight w:val="none"/>
              </w:rPr>
              <w:t>应急处置</w:t>
            </w:r>
            <w:r>
              <w:rPr>
                <w:rFonts w:hint="eastAsia" w:ascii="仿宋_GB2312" w:hAnsi="仿宋_GB2312" w:eastAsia="仿宋_GB2312" w:cs="仿宋_GB2312"/>
                <w:bCs/>
                <w:color w:val="auto"/>
                <w:sz w:val="24"/>
                <w:szCs w:val="24"/>
                <w:highlight w:val="none"/>
                <w:lang w:val="en-US" w:eastAsia="zh-CN"/>
              </w:rPr>
              <w:t>方案，</w:t>
            </w:r>
            <w:r>
              <w:rPr>
                <w:rFonts w:hint="eastAsia" w:ascii="仿宋_GB2312" w:hAnsi="Times New Roman" w:eastAsia="仿宋_GB2312" w:cs="Times New Roman"/>
                <w:sz w:val="24"/>
                <w:highlight w:val="none"/>
                <w:lang w:val="en-US" w:eastAsia="zh-CN"/>
              </w:rPr>
              <w:t>方案</w:t>
            </w:r>
            <w:r>
              <w:rPr>
                <w:rFonts w:hint="eastAsia" w:ascii="仿宋_GB2312" w:hAnsi="Times New Roman" w:eastAsia="仿宋_GB2312" w:cs="Times New Roman"/>
                <w:sz w:val="24"/>
                <w:highlight w:val="none"/>
                <w:lang w:val="zh-CN"/>
              </w:rPr>
              <w:t>详细具体、切实可行</w:t>
            </w:r>
            <w:r>
              <w:rPr>
                <w:rFonts w:hint="eastAsia" w:ascii="仿宋_GB2312" w:eastAsia="仿宋_GB2312" w:cs="Times New Roman"/>
                <w:sz w:val="24"/>
                <w:highlight w:val="none"/>
                <w:lang w:val="zh-CN"/>
              </w:rPr>
              <w:t>、</w:t>
            </w:r>
            <w:r>
              <w:rPr>
                <w:rFonts w:hint="eastAsia" w:ascii="仿宋_GB2312" w:eastAsia="仿宋_GB2312" w:cs="Times New Roman"/>
                <w:sz w:val="24"/>
                <w:highlight w:val="none"/>
                <w:lang w:val="en-US" w:eastAsia="zh-CN"/>
              </w:rPr>
              <w:t>无缺陷得10分，方案内容每存在1处缺陷扣1分，扣完为止。</w:t>
            </w:r>
          </w:p>
          <w:p w14:paraId="44862993">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注：内容存在缺陷是指：</w:t>
            </w:r>
          </w:p>
          <w:p w14:paraId="5375158F">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①方案生搬硬套，与实际情况明显不符；</w:t>
            </w:r>
          </w:p>
          <w:p w14:paraId="3C54DCC2">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②存在与项目明显无关的文字内容；</w:t>
            </w:r>
          </w:p>
          <w:p w14:paraId="4153FCF7">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③内容不适用项目的实际情况；</w:t>
            </w:r>
          </w:p>
          <w:p w14:paraId="56E28D9B">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④对采购需求理解缺位混乱；</w:t>
            </w:r>
          </w:p>
          <w:p w14:paraId="77146B84">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⑤描述的内容混乱，重点不突出；</w:t>
            </w:r>
          </w:p>
          <w:p w14:paraId="729A45F8">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⑥内容缺失不完善，可操作性较差；</w:t>
            </w:r>
          </w:p>
          <w:p w14:paraId="606576B1">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⑦凭空编造，内容矛盾，前后逻辑错误；</w:t>
            </w:r>
          </w:p>
          <w:p w14:paraId="654AF045">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⑧适用（引用）的规范及标准错误或已废止；</w:t>
            </w:r>
          </w:p>
          <w:p w14:paraId="3F09CE09">
            <w:pPr>
              <w:adjustRightInd w:val="0"/>
              <w:snapToGrid w:val="0"/>
              <w:spacing w:line="276" w:lineRule="auto"/>
              <w:jc w:val="left"/>
              <w:rPr>
                <w:rFonts w:hint="eastAsia" w:ascii="仿宋_GB2312" w:hAnsi="仿宋_GB2312" w:eastAsia="仿宋_GB2312" w:cs="仿宋_GB2312"/>
                <w:i w:val="0"/>
                <w:iCs w:val="0"/>
                <w:sz w:val="21"/>
                <w:szCs w:val="21"/>
                <w:highlight w:val="none"/>
                <w:lang w:val="zh-CN" w:eastAsia="zh-CN"/>
              </w:rPr>
            </w:pPr>
            <w:r>
              <w:rPr>
                <w:rFonts w:hint="eastAsia" w:ascii="仿宋_GB2312" w:eastAsia="仿宋_GB2312" w:cs="Times New Roman"/>
                <w:sz w:val="24"/>
                <w:highlight w:val="none"/>
                <w:lang w:val="en-US" w:eastAsia="zh-CN"/>
              </w:rPr>
              <w:t>⑨地点区域错误，或项名称错误等。</w:t>
            </w:r>
          </w:p>
        </w:tc>
      </w:tr>
      <w:tr w14:paraId="3BEC7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93" w:type="dxa"/>
            <w:vMerge w:val="continue"/>
            <w:tcBorders>
              <w:left w:val="single" w:color="auto" w:sz="4" w:space="0"/>
              <w:right w:val="single" w:color="auto" w:sz="4" w:space="0"/>
            </w:tcBorders>
            <w:noWrap w:val="0"/>
            <w:vAlign w:val="center"/>
          </w:tcPr>
          <w:p w14:paraId="4A068CC9">
            <w:pPr>
              <w:adjustRightInd w:val="0"/>
              <w:snapToGrid w:val="0"/>
              <w:spacing w:line="360" w:lineRule="auto"/>
              <w:jc w:val="center"/>
              <w:rPr>
                <w:rFonts w:hint="eastAsia" w:ascii="仿宋_GB2312" w:hAnsi="仿宋_GB2312" w:eastAsia="仿宋_GB2312" w:cs="仿宋_GB2312"/>
                <w:i w:val="0"/>
                <w:iCs w:val="0"/>
                <w:sz w:val="21"/>
                <w:szCs w:val="21"/>
                <w:highlight w:val="none"/>
              </w:rPr>
            </w:pPr>
          </w:p>
        </w:tc>
        <w:tc>
          <w:tcPr>
            <w:tcW w:w="119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C1C2854">
            <w:pPr>
              <w:adjustRightInd w:val="0"/>
              <w:snapToGrid w:val="0"/>
              <w:spacing w:line="360" w:lineRule="auto"/>
              <w:jc w:val="center"/>
              <w:rPr>
                <w:rFonts w:hint="eastAsia" w:ascii="仿宋_GB2312" w:hAnsi="仿宋_GB2312" w:eastAsia="仿宋_GB2312" w:cs="仿宋_GB2312"/>
                <w:i w:val="0"/>
                <w:iCs w:val="0"/>
                <w:sz w:val="21"/>
                <w:szCs w:val="21"/>
                <w:highlight w:val="none"/>
                <w:lang w:val="en-US" w:eastAsia="zh-CN"/>
              </w:rPr>
            </w:pPr>
            <w:r>
              <w:rPr>
                <w:rFonts w:hint="eastAsia" w:ascii="仿宋_GB2312" w:hAnsi="仿宋_GB2312" w:eastAsia="仿宋_GB2312" w:cs="仿宋_GB2312"/>
                <w:i w:val="0"/>
                <w:iCs w:val="0"/>
                <w:sz w:val="21"/>
                <w:szCs w:val="21"/>
                <w:highlight w:val="none"/>
                <w:lang w:val="en-US" w:eastAsia="zh-CN"/>
              </w:rPr>
              <w:t>安保人员安全保障措施</w:t>
            </w:r>
          </w:p>
        </w:tc>
        <w:tc>
          <w:tcPr>
            <w:tcW w:w="76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69D9371">
            <w:pPr>
              <w:snapToGrid w:val="0"/>
              <w:jc w:val="center"/>
              <w:rPr>
                <w:rFonts w:hint="default" w:ascii="仿宋_GB2312" w:hAnsi="仿宋_GB2312" w:eastAsia="仿宋_GB2312" w:cs="仿宋_GB2312"/>
                <w:iCs/>
                <w:color w:val="auto"/>
                <w:kern w:val="0"/>
                <w:sz w:val="24"/>
                <w:szCs w:val="24"/>
                <w:highlight w:val="none"/>
                <w:lang w:val="en-US" w:eastAsia="zh-CN" w:bidi="ar-SA"/>
              </w:rPr>
            </w:pPr>
            <w:r>
              <w:rPr>
                <w:rFonts w:hint="eastAsia" w:ascii="仿宋_GB2312" w:hAnsi="仿宋_GB2312" w:eastAsia="仿宋_GB2312" w:cs="仿宋_GB2312"/>
                <w:iCs/>
                <w:color w:val="auto"/>
                <w:kern w:val="0"/>
                <w:sz w:val="24"/>
                <w:szCs w:val="24"/>
                <w:highlight w:val="none"/>
                <w:lang w:val="en-US" w:eastAsia="zh-CN" w:bidi="ar-SA"/>
              </w:rPr>
              <w:t>10</w:t>
            </w:r>
          </w:p>
        </w:tc>
        <w:tc>
          <w:tcPr>
            <w:tcW w:w="644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084230F">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提供安保人员安全保障措施，针对安保服务过程中的相关情况，提供安保人员安全保障措施，措施</w:t>
            </w:r>
            <w:r>
              <w:rPr>
                <w:rFonts w:hint="eastAsia" w:ascii="仿宋_GB2312" w:eastAsia="仿宋_GB2312" w:cs="Times New Roman"/>
                <w:sz w:val="24"/>
                <w:highlight w:val="none"/>
                <w:lang w:val="zh-CN" w:eastAsia="zh-CN"/>
              </w:rPr>
              <w:t>详细具体、切实可行、</w:t>
            </w:r>
            <w:r>
              <w:rPr>
                <w:rFonts w:hint="eastAsia" w:ascii="仿宋_GB2312" w:eastAsia="仿宋_GB2312" w:cs="Times New Roman"/>
                <w:sz w:val="24"/>
                <w:highlight w:val="none"/>
                <w:lang w:val="en-US" w:eastAsia="zh-CN"/>
              </w:rPr>
              <w:t>无缺陷得10分，方案内容每存在1处缺陷扣1分，扣完为止。</w:t>
            </w:r>
          </w:p>
          <w:p w14:paraId="56B594D8">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注：内容存在缺陷是指：</w:t>
            </w:r>
          </w:p>
          <w:p w14:paraId="12BA9C44">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①方案生搬硬套，与实际情况明显不符；</w:t>
            </w:r>
          </w:p>
          <w:p w14:paraId="6661F548">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②存在与项目明显无关的文字内容；</w:t>
            </w:r>
          </w:p>
          <w:p w14:paraId="5EDE52F9">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③内容不适用项目的实际情况；</w:t>
            </w:r>
          </w:p>
          <w:p w14:paraId="406D9299">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④对采购需求理解缺位混乱；</w:t>
            </w:r>
          </w:p>
          <w:p w14:paraId="12BC6BB2">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⑤描述的内容混乱，重点不突出；</w:t>
            </w:r>
          </w:p>
          <w:p w14:paraId="5697FF2D">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⑥内容缺失不完善，可操作性较差；</w:t>
            </w:r>
          </w:p>
          <w:p w14:paraId="63B9E9A0">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⑦凭空编造，内容矛盾，前后逻辑错误；</w:t>
            </w:r>
          </w:p>
          <w:p w14:paraId="4D3BD573">
            <w:pPr>
              <w:adjustRightInd w:val="0"/>
              <w:snapToGrid w:val="0"/>
              <w:spacing w:line="276" w:lineRule="auto"/>
              <w:jc w:val="left"/>
              <w:rPr>
                <w:rFonts w:hint="eastAsia" w:ascii="仿宋_GB2312" w:eastAsia="仿宋_GB2312" w:cs="Times New Roman"/>
                <w:sz w:val="24"/>
                <w:highlight w:val="none"/>
                <w:lang w:val="en-US" w:eastAsia="zh-CN"/>
              </w:rPr>
            </w:pPr>
            <w:r>
              <w:rPr>
                <w:rFonts w:hint="eastAsia" w:ascii="仿宋_GB2312" w:eastAsia="仿宋_GB2312" w:cs="Times New Roman"/>
                <w:sz w:val="24"/>
                <w:highlight w:val="none"/>
                <w:lang w:val="en-US" w:eastAsia="zh-CN"/>
              </w:rPr>
              <w:t>⑧适用（引用）的规范及标准错误或已废止；</w:t>
            </w:r>
          </w:p>
          <w:p w14:paraId="7F26CD45">
            <w:pPr>
              <w:adjustRightInd w:val="0"/>
              <w:snapToGrid w:val="0"/>
              <w:spacing w:line="276" w:lineRule="auto"/>
              <w:jc w:val="left"/>
              <w:rPr>
                <w:rFonts w:hint="default" w:ascii="仿宋_GB2312" w:hAnsi="仿宋_GB2312" w:eastAsia="仿宋_GB2312" w:cs="仿宋_GB2312"/>
                <w:i w:val="0"/>
                <w:iCs w:val="0"/>
                <w:sz w:val="21"/>
                <w:szCs w:val="21"/>
                <w:highlight w:val="none"/>
                <w:lang w:val="en-US" w:eastAsia="zh-CN"/>
              </w:rPr>
            </w:pPr>
            <w:r>
              <w:rPr>
                <w:rFonts w:hint="eastAsia" w:ascii="仿宋_GB2312" w:eastAsia="仿宋_GB2312" w:cs="Times New Roman"/>
                <w:sz w:val="24"/>
                <w:highlight w:val="none"/>
                <w:lang w:val="en-US" w:eastAsia="zh-CN"/>
              </w:rPr>
              <w:t>⑨地点区域错误，或项名称错误等。</w:t>
            </w:r>
          </w:p>
        </w:tc>
      </w:tr>
      <w:tr w14:paraId="0E33B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793" w:type="dxa"/>
            <w:vMerge w:val="restart"/>
            <w:tcBorders>
              <w:top w:val="single" w:color="auto" w:sz="4" w:space="0"/>
              <w:left w:val="single" w:color="auto" w:sz="4" w:space="0"/>
              <w:right w:val="single" w:color="auto" w:sz="4" w:space="0"/>
            </w:tcBorders>
            <w:noWrap w:val="0"/>
            <w:vAlign w:val="center"/>
          </w:tcPr>
          <w:p w14:paraId="4DFE26A4">
            <w:pPr>
              <w:adjustRightInd w:val="0"/>
              <w:snapToGrid w:val="0"/>
              <w:spacing w:line="360" w:lineRule="auto"/>
              <w:jc w:val="center"/>
              <w:rPr>
                <w:rFonts w:hint="eastAsia" w:ascii="仿宋_GB2312" w:hAnsi="仿宋_GB2312" w:eastAsia="仿宋_GB2312" w:cs="仿宋_GB2312"/>
                <w:i w:val="0"/>
                <w:iCs w:val="0"/>
                <w:sz w:val="21"/>
                <w:szCs w:val="21"/>
                <w:highlight w:val="none"/>
                <w:lang w:val="en-US" w:eastAsia="zh-CN"/>
              </w:rPr>
            </w:pPr>
            <w:r>
              <w:rPr>
                <w:rFonts w:hint="eastAsia" w:ascii="仿宋_GB2312" w:hAnsi="仿宋_GB2312" w:eastAsia="仿宋_GB2312" w:cs="仿宋_GB2312"/>
                <w:i w:val="0"/>
                <w:iCs w:val="0"/>
                <w:sz w:val="21"/>
                <w:szCs w:val="21"/>
                <w:highlight w:val="none"/>
              </w:rPr>
              <w:t>商务</w:t>
            </w:r>
            <w:r>
              <w:rPr>
                <w:rFonts w:hint="eastAsia" w:ascii="仿宋_GB2312" w:hAnsi="仿宋_GB2312" w:eastAsia="仿宋_GB2312" w:cs="仿宋_GB2312"/>
                <w:i w:val="0"/>
                <w:iCs w:val="0"/>
                <w:sz w:val="21"/>
                <w:szCs w:val="21"/>
                <w:highlight w:val="none"/>
                <w:lang w:val="en-US" w:eastAsia="zh-CN"/>
              </w:rPr>
              <w:t>评审</w:t>
            </w:r>
          </w:p>
        </w:tc>
        <w:tc>
          <w:tcPr>
            <w:tcW w:w="1196" w:type="dxa"/>
            <w:tcBorders>
              <w:top w:val="single" w:color="auto" w:sz="4" w:space="0"/>
              <w:left w:val="single" w:color="auto" w:sz="4" w:space="0"/>
              <w:bottom w:val="single" w:color="auto" w:sz="4" w:space="0"/>
              <w:right w:val="single" w:color="auto" w:sz="4" w:space="0"/>
            </w:tcBorders>
            <w:noWrap w:val="0"/>
            <w:vAlign w:val="center"/>
          </w:tcPr>
          <w:p w14:paraId="129A1A80">
            <w:pPr>
              <w:adjustRightInd w:val="0"/>
              <w:snapToGrid w:val="0"/>
              <w:spacing w:line="360" w:lineRule="auto"/>
              <w:jc w:val="center"/>
              <w:rPr>
                <w:rFonts w:hint="eastAsia" w:ascii="仿宋_GB2312" w:hAnsi="仿宋_GB2312" w:eastAsia="仿宋_GB2312" w:cs="仿宋_GB2312"/>
                <w:i w:val="0"/>
                <w:iCs w:val="0"/>
                <w:sz w:val="21"/>
                <w:szCs w:val="21"/>
                <w:highlight w:val="none"/>
              </w:rPr>
            </w:pPr>
            <w:r>
              <w:rPr>
                <w:rFonts w:hint="eastAsia" w:ascii="仿宋_GB2312" w:hAnsi="仿宋_GB2312" w:eastAsia="仿宋_GB2312" w:cs="仿宋_GB2312"/>
                <w:i w:val="0"/>
                <w:iCs w:val="0"/>
                <w:sz w:val="21"/>
                <w:szCs w:val="21"/>
                <w:highlight w:val="none"/>
              </w:rPr>
              <w:t>类似业绩</w:t>
            </w:r>
          </w:p>
        </w:tc>
        <w:tc>
          <w:tcPr>
            <w:tcW w:w="766" w:type="dxa"/>
            <w:tcBorders>
              <w:top w:val="single" w:color="auto" w:sz="4" w:space="0"/>
              <w:left w:val="single" w:color="auto" w:sz="4" w:space="0"/>
              <w:bottom w:val="single" w:color="auto" w:sz="4" w:space="0"/>
              <w:right w:val="single" w:color="auto" w:sz="4" w:space="0"/>
            </w:tcBorders>
            <w:noWrap w:val="0"/>
            <w:vAlign w:val="center"/>
          </w:tcPr>
          <w:p w14:paraId="38376279">
            <w:pPr>
              <w:adjustRightInd w:val="0"/>
              <w:snapToGrid w:val="0"/>
              <w:spacing w:line="360" w:lineRule="auto"/>
              <w:jc w:val="center"/>
              <w:rPr>
                <w:rFonts w:hint="default" w:ascii="仿宋_GB2312" w:hAnsi="仿宋_GB2312" w:eastAsia="仿宋_GB2312" w:cs="仿宋_GB2312"/>
                <w:i w:val="0"/>
                <w:iCs w:val="0"/>
                <w:sz w:val="21"/>
                <w:szCs w:val="21"/>
                <w:highlight w:val="none"/>
                <w:lang w:val="en-US" w:eastAsia="zh-CN"/>
              </w:rPr>
            </w:pPr>
            <w:r>
              <w:rPr>
                <w:rFonts w:hint="eastAsia" w:ascii="仿宋_GB2312" w:hAnsi="仿宋_GB2312" w:eastAsia="仿宋_GB2312" w:cs="仿宋_GB2312"/>
                <w:i w:val="0"/>
                <w:iCs w:val="0"/>
                <w:sz w:val="21"/>
                <w:szCs w:val="21"/>
                <w:highlight w:val="none"/>
                <w:lang w:val="en-US" w:eastAsia="zh-CN"/>
              </w:rPr>
              <w:t>12</w:t>
            </w:r>
          </w:p>
        </w:tc>
        <w:tc>
          <w:tcPr>
            <w:tcW w:w="6445" w:type="dxa"/>
            <w:tcBorders>
              <w:top w:val="single" w:color="auto" w:sz="4" w:space="0"/>
              <w:left w:val="single" w:color="auto" w:sz="4" w:space="0"/>
              <w:bottom w:val="single" w:color="auto" w:sz="4" w:space="0"/>
              <w:right w:val="single" w:color="auto" w:sz="4" w:space="0"/>
            </w:tcBorders>
            <w:noWrap w:val="0"/>
            <w:vAlign w:val="center"/>
          </w:tcPr>
          <w:p w14:paraId="074A2C03">
            <w:pPr>
              <w:adjustRightInd w:val="0"/>
              <w:snapToGrid w:val="0"/>
              <w:spacing w:line="276" w:lineRule="auto"/>
              <w:jc w:val="left"/>
              <w:rPr>
                <w:rFonts w:hint="eastAsia" w:ascii="仿宋_GB2312" w:hAnsi="Times New Roman" w:eastAsia="仿宋_GB2312" w:cs="Times New Roman"/>
                <w:sz w:val="24"/>
                <w:highlight w:val="none"/>
                <w:lang w:val="zh-CN" w:eastAsia="zh-CN"/>
              </w:rPr>
            </w:pPr>
            <w:r>
              <w:rPr>
                <w:rFonts w:hint="eastAsia" w:ascii="仿宋_GB2312" w:hAnsi="Times New Roman" w:eastAsia="仿宋_GB2312" w:cs="Times New Roman"/>
                <w:sz w:val="24"/>
                <w:highlight w:val="none"/>
                <w:lang w:val="en-US" w:eastAsia="zh-CN"/>
              </w:rPr>
              <w:t>供应商提供自2023年1月1日至今承担过的类似项目业绩，每个业绩得3分，最高得12分。（提供合同复印件，时间以合同签订时间为准）</w:t>
            </w:r>
          </w:p>
        </w:tc>
      </w:tr>
      <w:tr w14:paraId="6A011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793" w:type="dxa"/>
            <w:vMerge w:val="continue"/>
            <w:tcBorders>
              <w:left w:val="single" w:color="auto" w:sz="4" w:space="0"/>
              <w:right w:val="single" w:color="auto" w:sz="4" w:space="0"/>
            </w:tcBorders>
            <w:noWrap w:val="0"/>
            <w:vAlign w:val="center"/>
          </w:tcPr>
          <w:p w14:paraId="6582210F">
            <w:pPr>
              <w:adjustRightInd w:val="0"/>
              <w:snapToGrid w:val="0"/>
              <w:spacing w:line="360" w:lineRule="auto"/>
              <w:jc w:val="center"/>
              <w:rPr>
                <w:rFonts w:hint="eastAsia" w:ascii="仿宋_GB2312" w:hAnsi="仿宋_GB2312" w:eastAsia="仿宋_GB2312" w:cs="仿宋_GB2312"/>
                <w:i w:val="0"/>
                <w:iCs w:val="0"/>
                <w:sz w:val="21"/>
                <w:szCs w:val="21"/>
                <w:highlight w:val="none"/>
              </w:rPr>
            </w:pPr>
          </w:p>
        </w:tc>
        <w:tc>
          <w:tcPr>
            <w:tcW w:w="1196" w:type="dxa"/>
            <w:tcBorders>
              <w:top w:val="single" w:color="auto" w:sz="4" w:space="0"/>
              <w:left w:val="single" w:color="auto" w:sz="4" w:space="0"/>
              <w:bottom w:val="single" w:color="auto" w:sz="4" w:space="0"/>
              <w:right w:val="single" w:color="auto" w:sz="4" w:space="0"/>
            </w:tcBorders>
            <w:noWrap w:val="0"/>
            <w:vAlign w:val="center"/>
          </w:tcPr>
          <w:p w14:paraId="13A96E75">
            <w:pPr>
              <w:adjustRightInd w:val="0"/>
              <w:snapToGrid w:val="0"/>
              <w:spacing w:line="360" w:lineRule="auto"/>
              <w:jc w:val="center"/>
              <w:rPr>
                <w:rFonts w:hint="eastAsia" w:ascii="仿宋_GB2312" w:hAnsi="仿宋_GB2312" w:eastAsia="仿宋_GB2312" w:cs="仿宋_GB2312"/>
                <w:i w:val="0"/>
                <w:iCs w:val="0"/>
                <w:sz w:val="21"/>
                <w:szCs w:val="21"/>
                <w:highlight w:val="none"/>
              </w:rPr>
            </w:pPr>
            <w:r>
              <w:rPr>
                <w:rFonts w:hint="eastAsia" w:ascii="仿宋_GB2312" w:hAnsi="仿宋_GB2312" w:eastAsia="仿宋_GB2312" w:cs="仿宋_GB2312"/>
                <w:i w:val="0"/>
                <w:iCs w:val="0"/>
                <w:sz w:val="21"/>
                <w:szCs w:val="21"/>
                <w:highlight w:val="none"/>
              </w:rPr>
              <w:t>管理体系认证</w:t>
            </w:r>
          </w:p>
        </w:tc>
        <w:tc>
          <w:tcPr>
            <w:tcW w:w="766" w:type="dxa"/>
            <w:tcBorders>
              <w:top w:val="single" w:color="auto" w:sz="4" w:space="0"/>
              <w:left w:val="single" w:color="auto" w:sz="4" w:space="0"/>
              <w:bottom w:val="single" w:color="auto" w:sz="4" w:space="0"/>
              <w:right w:val="single" w:color="auto" w:sz="4" w:space="0"/>
            </w:tcBorders>
            <w:noWrap w:val="0"/>
            <w:vAlign w:val="center"/>
          </w:tcPr>
          <w:p w14:paraId="1E8B9453">
            <w:pPr>
              <w:adjustRightInd w:val="0"/>
              <w:snapToGrid w:val="0"/>
              <w:spacing w:line="360" w:lineRule="auto"/>
              <w:jc w:val="center"/>
              <w:rPr>
                <w:rFonts w:hint="default" w:ascii="仿宋_GB2312" w:hAnsi="仿宋_GB2312" w:eastAsia="仿宋_GB2312" w:cs="仿宋_GB2312"/>
                <w:i w:val="0"/>
                <w:iCs w:val="0"/>
                <w:sz w:val="21"/>
                <w:szCs w:val="21"/>
                <w:highlight w:val="none"/>
                <w:lang w:val="en-US" w:eastAsia="zh-CN"/>
              </w:rPr>
            </w:pPr>
            <w:r>
              <w:rPr>
                <w:rFonts w:hint="eastAsia" w:ascii="仿宋_GB2312" w:hAnsi="仿宋_GB2312" w:eastAsia="仿宋_GB2312" w:cs="仿宋_GB2312"/>
                <w:i w:val="0"/>
                <w:iCs w:val="0"/>
                <w:sz w:val="21"/>
                <w:szCs w:val="21"/>
                <w:highlight w:val="none"/>
                <w:lang w:val="en-US" w:eastAsia="zh-CN"/>
              </w:rPr>
              <w:t>6</w:t>
            </w:r>
          </w:p>
        </w:tc>
        <w:tc>
          <w:tcPr>
            <w:tcW w:w="6445" w:type="dxa"/>
            <w:tcBorders>
              <w:top w:val="single" w:color="auto" w:sz="4" w:space="0"/>
              <w:left w:val="single" w:color="auto" w:sz="4" w:space="0"/>
              <w:bottom w:val="single" w:color="auto" w:sz="4" w:space="0"/>
              <w:right w:val="single" w:color="auto" w:sz="4" w:space="0"/>
            </w:tcBorders>
            <w:noWrap w:val="0"/>
            <w:vAlign w:val="center"/>
          </w:tcPr>
          <w:p w14:paraId="2AEDB29A">
            <w:pPr>
              <w:adjustRightInd w:val="0"/>
              <w:snapToGrid w:val="0"/>
              <w:spacing w:line="276" w:lineRule="auto"/>
              <w:jc w:val="left"/>
              <w:rPr>
                <w:rFonts w:hint="eastAsia" w:ascii="仿宋_GB2312" w:hAnsi="Times New Roman" w:eastAsia="仿宋_GB2312" w:cs="Times New Roman"/>
                <w:sz w:val="24"/>
                <w:highlight w:val="none"/>
                <w:lang w:val="en-US" w:eastAsia="zh-CN"/>
              </w:rPr>
            </w:pPr>
            <w:r>
              <w:rPr>
                <w:rFonts w:hint="eastAsia" w:ascii="仿宋_GB2312" w:hAnsi="Times New Roman" w:eastAsia="仿宋_GB2312" w:cs="Times New Roman"/>
                <w:sz w:val="24"/>
                <w:highlight w:val="none"/>
                <w:lang w:val="en-US" w:eastAsia="zh-CN"/>
              </w:rPr>
              <w:t>供应商具备有效期内以下认证：</w:t>
            </w:r>
          </w:p>
          <w:p w14:paraId="0F3A2B0B">
            <w:pPr>
              <w:adjustRightInd w:val="0"/>
              <w:snapToGrid w:val="0"/>
              <w:spacing w:line="276" w:lineRule="auto"/>
              <w:jc w:val="left"/>
              <w:rPr>
                <w:rFonts w:hint="eastAsia" w:ascii="仿宋_GB2312" w:hAnsi="Times New Roman" w:eastAsia="仿宋_GB2312" w:cs="Times New Roman"/>
                <w:sz w:val="24"/>
                <w:highlight w:val="none"/>
                <w:lang w:val="en-US" w:eastAsia="zh-CN"/>
              </w:rPr>
            </w:pPr>
            <w:r>
              <w:rPr>
                <w:rFonts w:hint="eastAsia" w:ascii="仿宋_GB2312" w:hAnsi="Times New Roman" w:eastAsia="仿宋_GB2312" w:cs="Times New Roman"/>
                <w:sz w:val="24"/>
                <w:highlight w:val="none"/>
                <w:lang w:val="en-US" w:eastAsia="zh-CN"/>
              </w:rPr>
              <w:t>1. ISO9001 质量管理体系（2 分）</w:t>
            </w:r>
          </w:p>
          <w:p w14:paraId="5A19DD5A">
            <w:pPr>
              <w:adjustRightInd w:val="0"/>
              <w:snapToGrid w:val="0"/>
              <w:spacing w:line="276" w:lineRule="auto"/>
              <w:jc w:val="left"/>
              <w:rPr>
                <w:rFonts w:hint="eastAsia" w:ascii="仿宋_GB2312" w:hAnsi="Times New Roman" w:eastAsia="仿宋_GB2312" w:cs="Times New Roman"/>
                <w:sz w:val="24"/>
                <w:highlight w:val="none"/>
                <w:lang w:val="en-US" w:eastAsia="zh-CN"/>
              </w:rPr>
            </w:pPr>
            <w:r>
              <w:rPr>
                <w:rFonts w:hint="eastAsia" w:ascii="仿宋_GB2312" w:hAnsi="Times New Roman" w:eastAsia="仿宋_GB2312" w:cs="Times New Roman"/>
                <w:sz w:val="24"/>
                <w:highlight w:val="none"/>
                <w:lang w:val="en-US" w:eastAsia="zh-CN"/>
              </w:rPr>
              <w:t>2. ISO45001 职业健康安全管理体系（2 分）</w:t>
            </w:r>
          </w:p>
          <w:p w14:paraId="0D9DB965">
            <w:pPr>
              <w:adjustRightInd w:val="0"/>
              <w:snapToGrid w:val="0"/>
              <w:spacing w:line="276" w:lineRule="auto"/>
              <w:jc w:val="left"/>
              <w:rPr>
                <w:rFonts w:hint="eastAsia" w:ascii="仿宋_GB2312" w:hAnsi="Times New Roman" w:eastAsia="仿宋_GB2312" w:cs="Times New Roman"/>
                <w:sz w:val="24"/>
                <w:highlight w:val="none"/>
                <w:lang w:val="en-US" w:eastAsia="zh-CN"/>
              </w:rPr>
            </w:pPr>
            <w:r>
              <w:rPr>
                <w:rFonts w:hint="eastAsia" w:ascii="仿宋_GB2312" w:hAnsi="Times New Roman" w:eastAsia="仿宋_GB2312" w:cs="Times New Roman"/>
                <w:sz w:val="24"/>
                <w:highlight w:val="none"/>
                <w:lang w:val="en-US" w:eastAsia="zh-CN"/>
              </w:rPr>
              <w:t>3. ISO14001 环境管理体系（2 分）</w:t>
            </w:r>
          </w:p>
        </w:tc>
      </w:tr>
      <w:tr w14:paraId="6C7CF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793" w:type="dxa"/>
            <w:vMerge w:val="continue"/>
            <w:tcBorders>
              <w:left w:val="single" w:color="auto" w:sz="4" w:space="0"/>
              <w:right w:val="single" w:color="auto" w:sz="4" w:space="0"/>
            </w:tcBorders>
            <w:noWrap w:val="0"/>
            <w:vAlign w:val="center"/>
          </w:tcPr>
          <w:p w14:paraId="79D8D473">
            <w:pPr>
              <w:adjustRightInd w:val="0"/>
              <w:snapToGrid w:val="0"/>
              <w:spacing w:line="360" w:lineRule="auto"/>
              <w:jc w:val="center"/>
              <w:rPr>
                <w:rFonts w:hint="eastAsia" w:ascii="仿宋_GB2312" w:hAnsi="仿宋_GB2312" w:eastAsia="仿宋_GB2312" w:cs="仿宋_GB2312"/>
                <w:i w:val="0"/>
                <w:iCs w:val="0"/>
                <w:sz w:val="21"/>
                <w:szCs w:val="21"/>
                <w:highlight w:val="none"/>
              </w:rPr>
            </w:pPr>
          </w:p>
        </w:tc>
        <w:tc>
          <w:tcPr>
            <w:tcW w:w="1196" w:type="dxa"/>
            <w:tcBorders>
              <w:top w:val="single" w:color="auto" w:sz="4" w:space="0"/>
              <w:left w:val="single" w:color="auto" w:sz="4" w:space="0"/>
              <w:bottom w:val="single" w:color="auto" w:sz="4" w:space="0"/>
              <w:right w:val="single" w:color="auto" w:sz="4" w:space="0"/>
            </w:tcBorders>
            <w:noWrap w:val="0"/>
            <w:vAlign w:val="center"/>
          </w:tcPr>
          <w:p w14:paraId="46CCB2D8">
            <w:pPr>
              <w:adjustRightInd w:val="0"/>
              <w:snapToGrid w:val="0"/>
              <w:spacing w:line="360" w:lineRule="auto"/>
              <w:jc w:val="center"/>
              <w:rPr>
                <w:rFonts w:hint="eastAsia" w:ascii="仿宋_GB2312" w:hAnsi="仿宋_GB2312" w:eastAsia="仿宋_GB2312" w:cs="仿宋_GB2312"/>
                <w:i w:val="0"/>
                <w:iCs w:val="0"/>
                <w:sz w:val="21"/>
                <w:szCs w:val="21"/>
                <w:highlight w:val="none"/>
              </w:rPr>
            </w:pPr>
            <w:r>
              <w:rPr>
                <w:rFonts w:hint="eastAsia" w:ascii="仿宋_GB2312" w:hAnsi="仿宋_GB2312" w:eastAsia="仿宋_GB2312" w:cs="仿宋_GB2312"/>
                <w:i w:val="0"/>
                <w:iCs w:val="0"/>
                <w:sz w:val="21"/>
                <w:szCs w:val="21"/>
                <w:highlight w:val="none"/>
              </w:rPr>
              <w:t>项目管理团队</w:t>
            </w:r>
          </w:p>
        </w:tc>
        <w:tc>
          <w:tcPr>
            <w:tcW w:w="766" w:type="dxa"/>
            <w:tcBorders>
              <w:top w:val="single" w:color="auto" w:sz="4" w:space="0"/>
              <w:left w:val="single" w:color="auto" w:sz="4" w:space="0"/>
              <w:bottom w:val="single" w:color="auto" w:sz="4" w:space="0"/>
              <w:right w:val="single" w:color="auto" w:sz="4" w:space="0"/>
            </w:tcBorders>
            <w:noWrap w:val="0"/>
            <w:vAlign w:val="center"/>
          </w:tcPr>
          <w:p w14:paraId="357960C3">
            <w:pPr>
              <w:adjustRightInd w:val="0"/>
              <w:snapToGrid w:val="0"/>
              <w:spacing w:line="360" w:lineRule="auto"/>
              <w:jc w:val="center"/>
              <w:rPr>
                <w:rFonts w:hint="default" w:ascii="仿宋_GB2312" w:hAnsi="仿宋_GB2312" w:eastAsia="仿宋_GB2312" w:cs="仿宋_GB2312"/>
                <w:i w:val="0"/>
                <w:iCs w:val="0"/>
                <w:sz w:val="21"/>
                <w:szCs w:val="21"/>
                <w:highlight w:val="none"/>
                <w:lang w:val="en-US" w:eastAsia="zh-CN"/>
              </w:rPr>
            </w:pPr>
            <w:r>
              <w:rPr>
                <w:rFonts w:hint="eastAsia" w:ascii="仿宋_GB2312" w:hAnsi="仿宋_GB2312" w:eastAsia="仿宋_GB2312" w:cs="仿宋_GB2312"/>
                <w:i w:val="0"/>
                <w:iCs w:val="0"/>
                <w:sz w:val="21"/>
                <w:szCs w:val="21"/>
                <w:highlight w:val="none"/>
                <w:lang w:val="en-US" w:eastAsia="zh-CN"/>
              </w:rPr>
              <w:t>8</w:t>
            </w:r>
          </w:p>
        </w:tc>
        <w:tc>
          <w:tcPr>
            <w:tcW w:w="6445" w:type="dxa"/>
            <w:tcBorders>
              <w:top w:val="single" w:color="auto" w:sz="4" w:space="0"/>
              <w:left w:val="single" w:color="auto" w:sz="4" w:space="0"/>
              <w:bottom w:val="single" w:color="auto" w:sz="4" w:space="0"/>
              <w:right w:val="single" w:color="auto" w:sz="4" w:space="0"/>
            </w:tcBorders>
            <w:noWrap w:val="0"/>
            <w:vAlign w:val="center"/>
          </w:tcPr>
          <w:p w14:paraId="03BBBBBC">
            <w:pPr>
              <w:adjustRightInd w:val="0"/>
              <w:snapToGrid w:val="0"/>
              <w:spacing w:line="276" w:lineRule="auto"/>
              <w:jc w:val="left"/>
              <w:rPr>
                <w:rFonts w:hint="eastAsia" w:ascii="仿宋_GB2312" w:hAnsi="Times New Roman" w:eastAsia="仿宋_GB2312" w:cs="Times New Roman"/>
                <w:sz w:val="24"/>
                <w:highlight w:val="none"/>
                <w:lang w:val="en-US" w:eastAsia="zh-CN"/>
              </w:rPr>
            </w:pPr>
            <w:r>
              <w:rPr>
                <w:rFonts w:hint="eastAsia" w:ascii="仿宋_GB2312" w:hAnsi="Times New Roman" w:eastAsia="仿宋_GB2312" w:cs="Times New Roman"/>
                <w:sz w:val="24"/>
                <w:highlight w:val="none"/>
                <w:lang w:val="en-US" w:eastAsia="zh-CN"/>
              </w:rPr>
              <w:t>1、项目负责人：持高级保安员证，得 4 分；</w:t>
            </w:r>
          </w:p>
          <w:p w14:paraId="6AA67223">
            <w:pPr>
              <w:adjustRightInd w:val="0"/>
              <w:snapToGrid w:val="0"/>
              <w:spacing w:line="276" w:lineRule="auto"/>
              <w:jc w:val="left"/>
              <w:rPr>
                <w:rFonts w:hint="default" w:ascii="仿宋_GB2312" w:hAnsi="Times New Roman" w:eastAsia="仿宋_GB2312" w:cs="Times New Roman"/>
                <w:sz w:val="24"/>
                <w:highlight w:val="none"/>
                <w:lang w:val="en-US" w:eastAsia="zh-CN"/>
              </w:rPr>
            </w:pPr>
            <w:r>
              <w:rPr>
                <w:rFonts w:hint="eastAsia" w:ascii="仿宋_GB2312" w:hAnsi="Times New Roman" w:eastAsia="仿宋_GB2312" w:cs="Times New Roman"/>
                <w:sz w:val="24"/>
                <w:highlight w:val="none"/>
                <w:lang w:val="en-US" w:eastAsia="zh-CN"/>
              </w:rPr>
              <w:t>2、主管人员：每配备 1 名持中级及以上保安员证人员得 2 分，最高 4 分。</w:t>
            </w:r>
          </w:p>
        </w:tc>
      </w:tr>
      <w:tr w14:paraId="1A122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793" w:type="dxa"/>
            <w:vMerge w:val="continue"/>
            <w:tcBorders>
              <w:left w:val="single" w:color="auto" w:sz="4" w:space="0"/>
              <w:right w:val="single" w:color="auto" w:sz="4" w:space="0"/>
            </w:tcBorders>
            <w:noWrap w:val="0"/>
            <w:vAlign w:val="center"/>
          </w:tcPr>
          <w:p w14:paraId="460D2946">
            <w:pPr>
              <w:adjustRightInd w:val="0"/>
              <w:snapToGrid w:val="0"/>
              <w:spacing w:line="360" w:lineRule="auto"/>
              <w:jc w:val="center"/>
              <w:rPr>
                <w:rFonts w:hint="eastAsia" w:ascii="仿宋_GB2312" w:hAnsi="仿宋_GB2312" w:eastAsia="仿宋_GB2312" w:cs="仿宋_GB2312"/>
                <w:i w:val="0"/>
                <w:iCs w:val="0"/>
                <w:sz w:val="21"/>
                <w:szCs w:val="21"/>
                <w:highlight w:val="none"/>
              </w:rPr>
            </w:pPr>
          </w:p>
        </w:tc>
        <w:tc>
          <w:tcPr>
            <w:tcW w:w="1196" w:type="dxa"/>
            <w:tcBorders>
              <w:top w:val="single" w:color="auto" w:sz="4" w:space="0"/>
              <w:left w:val="single" w:color="auto" w:sz="4" w:space="0"/>
              <w:bottom w:val="single" w:color="auto" w:sz="4" w:space="0"/>
              <w:right w:val="single" w:color="auto" w:sz="4" w:space="0"/>
            </w:tcBorders>
            <w:noWrap w:val="0"/>
            <w:vAlign w:val="center"/>
          </w:tcPr>
          <w:p w14:paraId="70525ABB">
            <w:pPr>
              <w:adjustRightInd w:val="0"/>
              <w:snapToGrid w:val="0"/>
              <w:spacing w:line="360" w:lineRule="auto"/>
              <w:jc w:val="center"/>
              <w:rPr>
                <w:rFonts w:hint="default" w:ascii="仿宋_GB2312" w:hAnsi="仿宋_GB2312" w:eastAsia="仿宋_GB2312" w:cs="仿宋_GB2312"/>
                <w:i w:val="0"/>
                <w:iCs w:val="0"/>
                <w:sz w:val="21"/>
                <w:szCs w:val="21"/>
                <w:highlight w:val="none"/>
                <w:lang w:val="en-US" w:eastAsia="zh-CN"/>
              </w:rPr>
            </w:pPr>
            <w:r>
              <w:rPr>
                <w:rFonts w:hint="eastAsia" w:ascii="仿宋_GB2312" w:hAnsi="仿宋_GB2312" w:eastAsia="仿宋_GB2312" w:cs="仿宋_GB2312"/>
                <w:i w:val="0"/>
                <w:iCs w:val="0"/>
                <w:sz w:val="21"/>
                <w:szCs w:val="21"/>
                <w:highlight w:val="none"/>
                <w:lang w:val="en-US" w:eastAsia="zh-CN"/>
              </w:rPr>
              <w:t>人员保险</w:t>
            </w:r>
          </w:p>
        </w:tc>
        <w:tc>
          <w:tcPr>
            <w:tcW w:w="766" w:type="dxa"/>
            <w:tcBorders>
              <w:top w:val="single" w:color="auto" w:sz="4" w:space="0"/>
              <w:left w:val="single" w:color="auto" w:sz="4" w:space="0"/>
              <w:bottom w:val="single" w:color="auto" w:sz="4" w:space="0"/>
              <w:right w:val="single" w:color="auto" w:sz="4" w:space="0"/>
            </w:tcBorders>
            <w:noWrap w:val="0"/>
            <w:vAlign w:val="center"/>
          </w:tcPr>
          <w:p w14:paraId="749C1645">
            <w:pPr>
              <w:adjustRightInd w:val="0"/>
              <w:snapToGrid w:val="0"/>
              <w:spacing w:line="360" w:lineRule="auto"/>
              <w:jc w:val="center"/>
              <w:rPr>
                <w:rFonts w:hint="default" w:ascii="仿宋_GB2312" w:hAnsi="仿宋_GB2312" w:eastAsia="仿宋_GB2312" w:cs="仿宋_GB2312"/>
                <w:i w:val="0"/>
                <w:iCs w:val="0"/>
                <w:sz w:val="21"/>
                <w:szCs w:val="21"/>
                <w:highlight w:val="none"/>
                <w:lang w:val="en-US" w:eastAsia="zh-CN"/>
              </w:rPr>
            </w:pPr>
            <w:r>
              <w:rPr>
                <w:rFonts w:hint="eastAsia" w:ascii="仿宋_GB2312" w:hAnsi="仿宋_GB2312" w:eastAsia="仿宋_GB2312" w:cs="仿宋_GB2312"/>
                <w:i w:val="0"/>
                <w:iCs w:val="0"/>
                <w:sz w:val="21"/>
                <w:szCs w:val="21"/>
                <w:highlight w:val="none"/>
                <w:lang w:val="en-US" w:eastAsia="zh-CN"/>
              </w:rPr>
              <w:t>4</w:t>
            </w:r>
          </w:p>
        </w:tc>
        <w:tc>
          <w:tcPr>
            <w:tcW w:w="6445" w:type="dxa"/>
            <w:tcBorders>
              <w:top w:val="single" w:color="auto" w:sz="4" w:space="0"/>
              <w:left w:val="single" w:color="auto" w:sz="4" w:space="0"/>
              <w:bottom w:val="single" w:color="auto" w:sz="4" w:space="0"/>
              <w:right w:val="single" w:color="auto" w:sz="4" w:space="0"/>
            </w:tcBorders>
            <w:noWrap w:val="0"/>
            <w:vAlign w:val="center"/>
          </w:tcPr>
          <w:p w14:paraId="464358FC">
            <w:pPr>
              <w:adjustRightInd w:val="0"/>
              <w:snapToGrid w:val="0"/>
              <w:spacing w:line="276" w:lineRule="auto"/>
              <w:jc w:val="left"/>
              <w:rPr>
                <w:rFonts w:hint="default" w:ascii="仿宋_GB2312" w:hAnsi="Times New Roman" w:eastAsia="仿宋_GB2312" w:cs="Times New Roman"/>
                <w:sz w:val="24"/>
                <w:highlight w:val="none"/>
                <w:lang w:val="en-US" w:eastAsia="zh-CN"/>
              </w:rPr>
            </w:pPr>
            <w:r>
              <w:rPr>
                <w:rFonts w:hint="eastAsia" w:ascii="仿宋_GB2312" w:hAnsi="Times New Roman" w:eastAsia="仿宋_GB2312" w:cs="Times New Roman"/>
                <w:sz w:val="24"/>
                <w:highlight w:val="none"/>
                <w:lang w:val="en-US" w:eastAsia="zh-CN"/>
              </w:rPr>
              <w:t>承诺为投入服务安保人员购买相关保险，有相关承诺，得4分。</w:t>
            </w:r>
          </w:p>
        </w:tc>
      </w:tr>
      <w:tr w14:paraId="00C81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793" w:type="dxa"/>
            <w:vMerge w:val="continue"/>
            <w:tcBorders>
              <w:left w:val="single" w:color="auto" w:sz="4" w:space="0"/>
              <w:right w:val="single" w:color="auto" w:sz="4" w:space="0"/>
            </w:tcBorders>
            <w:noWrap w:val="0"/>
            <w:vAlign w:val="center"/>
          </w:tcPr>
          <w:p w14:paraId="4B20216B">
            <w:pPr>
              <w:adjustRightInd w:val="0"/>
              <w:snapToGrid w:val="0"/>
              <w:spacing w:line="360" w:lineRule="auto"/>
              <w:jc w:val="center"/>
              <w:rPr>
                <w:rFonts w:hint="eastAsia" w:ascii="仿宋_GB2312" w:hAnsi="仿宋_GB2312" w:eastAsia="仿宋_GB2312" w:cs="仿宋_GB2312"/>
                <w:i w:val="0"/>
                <w:iCs w:val="0"/>
                <w:sz w:val="21"/>
                <w:szCs w:val="21"/>
                <w:highlight w:val="none"/>
              </w:rPr>
            </w:pPr>
          </w:p>
        </w:tc>
        <w:tc>
          <w:tcPr>
            <w:tcW w:w="119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D5F7F81">
            <w:pPr>
              <w:adjustRightInd w:val="0"/>
              <w:snapToGrid w:val="0"/>
              <w:spacing w:line="360" w:lineRule="auto"/>
              <w:jc w:val="center"/>
              <w:rPr>
                <w:rFonts w:hint="eastAsia" w:ascii="仿宋_GB2312" w:hAnsi="仿宋_GB2312" w:eastAsia="仿宋_GB2312" w:cs="仿宋_GB2312"/>
                <w:i w:val="0"/>
                <w:iCs w:val="0"/>
                <w:kern w:val="2"/>
                <w:sz w:val="21"/>
                <w:szCs w:val="21"/>
                <w:highlight w:val="none"/>
                <w:lang w:val="en-US" w:eastAsia="zh-CN" w:bidi="ar-SA"/>
              </w:rPr>
            </w:pPr>
            <w:r>
              <w:rPr>
                <w:rFonts w:hint="default" w:ascii="仿宋_GB2312" w:hAnsi="仿宋_GB2312" w:eastAsia="仿宋_GB2312" w:cs="仿宋_GB2312"/>
                <w:i w:val="0"/>
                <w:iCs w:val="0"/>
                <w:sz w:val="21"/>
                <w:szCs w:val="21"/>
                <w:highlight w:val="none"/>
                <w:lang w:val="en-US" w:eastAsia="zh-CN"/>
              </w:rPr>
              <w:t>日常管理制度</w:t>
            </w:r>
          </w:p>
        </w:tc>
        <w:tc>
          <w:tcPr>
            <w:tcW w:w="76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1113705">
            <w:pPr>
              <w:snapToGrid w:val="0"/>
              <w:jc w:val="center"/>
              <w:rPr>
                <w:rFonts w:hint="eastAsia" w:ascii="仿宋_GB2312" w:hAnsi="仿宋_GB2312" w:eastAsia="仿宋_GB2312" w:cs="仿宋_GB2312"/>
                <w:iCs/>
                <w:color w:val="auto"/>
                <w:kern w:val="0"/>
                <w:sz w:val="24"/>
                <w:szCs w:val="24"/>
                <w:highlight w:val="none"/>
                <w:lang w:val="en-US" w:eastAsia="zh-CN" w:bidi="ar-SA"/>
              </w:rPr>
            </w:pPr>
            <w:r>
              <w:rPr>
                <w:rFonts w:hint="eastAsia" w:ascii="仿宋_GB2312" w:hAnsi="仿宋_GB2312" w:eastAsia="仿宋_GB2312" w:cs="仿宋_GB2312"/>
                <w:iCs/>
                <w:color w:val="auto"/>
                <w:kern w:val="0"/>
                <w:sz w:val="24"/>
                <w:szCs w:val="24"/>
                <w:highlight w:val="none"/>
                <w:lang w:val="en-US" w:eastAsia="zh-CN" w:bidi="ar-SA"/>
              </w:rPr>
              <w:t>10</w:t>
            </w:r>
          </w:p>
        </w:tc>
        <w:tc>
          <w:tcPr>
            <w:tcW w:w="644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0C2CBD4">
            <w:pPr>
              <w:adjustRightInd w:val="0"/>
              <w:snapToGrid w:val="0"/>
              <w:spacing w:line="276" w:lineRule="auto"/>
              <w:jc w:val="left"/>
              <w:rPr>
                <w:rFonts w:hint="eastAsia" w:ascii="仿宋_GB2312" w:hAnsi="Times New Roman" w:eastAsia="仿宋_GB2312" w:cs="Times New Roman"/>
                <w:sz w:val="24"/>
                <w:highlight w:val="none"/>
                <w:lang w:val="en-US" w:eastAsia="zh-CN"/>
              </w:rPr>
            </w:pPr>
            <w:r>
              <w:rPr>
                <w:rFonts w:hint="eastAsia" w:ascii="仿宋_GB2312" w:hAnsi="Times New Roman" w:eastAsia="仿宋_GB2312" w:cs="Times New Roman"/>
                <w:sz w:val="24"/>
                <w:highlight w:val="none"/>
                <w:lang w:val="en-US" w:eastAsia="zh-CN"/>
              </w:rPr>
              <w:t>提供①保安服务管理制度；②岗位责任制度；</w:t>
            </w:r>
            <w:r>
              <w:rPr>
                <w:rFonts w:hint="default" w:ascii="仿宋_GB2312" w:hAnsi="Times New Roman" w:eastAsia="仿宋_GB2312" w:cs="Times New Roman"/>
                <w:sz w:val="24"/>
                <w:highlight w:val="none"/>
                <w:lang w:val="en-US" w:eastAsia="zh-CN"/>
              </w:rPr>
              <w:t>‌</w:t>
            </w:r>
            <w:r>
              <w:rPr>
                <w:rFonts w:hint="eastAsia" w:ascii="仿宋_GB2312" w:hAnsi="Times New Roman" w:eastAsia="仿宋_GB2312" w:cs="Times New Roman"/>
                <w:sz w:val="24"/>
                <w:highlight w:val="none"/>
                <w:lang w:val="en-US" w:eastAsia="zh-CN"/>
              </w:rPr>
              <w:t>③保安员管理制度；④保安器械保管与使用制度；⑤保密制度。每份相关制度2分，合计10分，不提供不得分。‌</w:t>
            </w:r>
          </w:p>
        </w:tc>
      </w:tr>
      <w:tr w14:paraId="00FFC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2755" w:type="dxa"/>
            <w:gridSpan w:val="3"/>
            <w:tcBorders>
              <w:top w:val="single" w:color="auto" w:sz="4" w:space="0"/>
              <w:left w:val="single" w:color="auto" w:sz="4" w:space="0"/>
              <w:bottom w:val="single" w:color="auto" w:sz="4" w:space="0"/>
              <w:right w:val="single" w:color="auto" w:sz="4" w:space="0"/>
            </w:tcBorders>
            <w:noWrap w:val="0"/>
            <w:vAlign w:val="center"/>
          </w:tcPr>
          <w:p w14:paraId="29B68E9A">
            <w:pPr>
              <w:adjustRightInd w:val="0"/>
              <w:snapToGrid w:val="0"/>
              <w:spacing w:line="360" w:lineRule="auto"/>
              <w:jc w:val="center"/>
              <w:rPr>
                <w:rFonts w:hint="eastAsia" w:ascii="仿宋_GB2312" w:hAnsi="仿宋_GB2312" w:eastAsia="仿宋_GB2312" w:cs="仿宋_GB2312"/>
                <w:i w:val="0"/>
                <w:iCs w:val="0"/>
                <w:sz w:val="21"/>
                <w:szCs w:val="21"/>
                <w:highlight w:val="none"/>
              </w:rPr>
            </w:pPr>
            <w:r>
              <w:rPr>
                <w:rFonts w:hint="eastAsia" w:ascii="仿宋_GB2312" w:hAnsi="仿宋_GB2312" w:eastAsia="仿宋_GB2312" w:cs="仿宋_GB2312"/>
                <w:i w:val="0"/>
                <w:iCs w:val="0"/>
                <w:sz w:val="21"/>
                <w:szCs w:val="21"/>
                <w:highlight w:val="none"/>
                <w:lang w:val="en-US" w:eastAsia="zh-CN"/>
              </w:rPr>
              <w:t>满</w:t>
            </w:r>
            <w:r>
              <w:rPr>
                <w:rFonts w:hint="eastAsia" w:ascii="仿宋_GB2312" w:hAnsi="仿宋_GB2312" w:eastAsia="仿宋_GB2312" w:cs="仿宋_GB2312"/>
                <w:i w:val="0"/>
                <w:iCs w:val="0"/>
                <w:sz w:val="21"/>
                <w:szCs w:val="21"/>
                <w:highlight w:val="none"/>
              </w:rPr>
              <w:t>分</w:t>
            </w:r>
          </w:p>
        </w:tc>
        <w:tc>
          <w:tcPr>
            <w:tcW w:w="6445" w:type="dxa"/>
            <w:tcBorders>
              <w:top w:val="single" w:color="auto" w:sz="4" w:space="0"/>
              <w:left w:val="single" w:color="auto" w:sz="4" w:space="0"/>
              <w:bottom w:val="single" w:color="auto" w:sz="4" w:space="0"/>
              <w:right w:val="single" w:color="auto" w:sz="4" w:space="0"/>
            </w:tcBorders>
            <w:noWrap w:val="0"/>
            <w:vAlign w:val="center"/>
          </w:tcPr>
          <w:p w14:paraId="541DA4AD">
            <w:pPr>
              <w:adjustRightInd w:val="0"/>
              <w:snapToGrid w:val="0"/>
              <w:spacing w:line="276" w:lineRule="auto"/>
              <w:jc w:val="center"/>
              <w:rPr>
                <w:rFonts w:hint="eastAsia" w:ascii="仿宋_GB2312" w:hAnsi="仿宋_GB2312" w:eastAsia="仿宋_GB2312" w:cs="仿宋_GB2312"/>
                <w:i w:val="0"/>
                <w:iCs w:val="0"/>
                <w:sz w:val="21"/>
                <w:szCs w:val="21"/>
                <w:highlight w:val="none"/>
                <w:lang w:val="zh-CN"/>
              </w:rPr>
            </w:pPr>
            <w:r>
              <w:rPr>
                <w:rFonts w:hint="eastAsia" w:ascii="仿宋_GB2312" w:hAnsi="仿宋_GB2312" w:eastAsia="仿宋_GB2312" w:cs="仿宋_GB2312"/>
                <w:i w:val="0"/>
                <w:iCs w:val="0"/>
                <w:sz w:val="21"/>
                <w:szCs w:val="21"/>
                <w:highlight w:val="none"/>
                <w:lang w:val="zh-CN"/>
              </w:rPr>
              <w:t>100分</w:t>
            </w:r>
          </w:p>
        </w:tc>
      </w:tr>
    </w:tbl>
    <w:p w14:paraId="45ACB55F">
      <w:pPr>
        <w:pStyle w:val="22"/>
        <w:rPr>
          <w:color w:val="auto"/>
          <w:highlight w:val="none"/>
        </w:rPr>
      </w:pPr>
    </w:p>
    <w:p w14:paraId="767D0D86">
      <w:pPr>
        <w:rPr>
          <w:rStyle w:val="207"/>
          <w:rFonts w:ascii="Times New Roman" w:hAnsi="Times New Roman" w:eastAsia="宋体"/>
          <w:color w:val="auto"/>
          <w:sz w:val="36"/>
          <w:szCs w:val="36"/>
          <w:highlight w:val="none"/>
        </w:rPr>
      </w:pPr>
      <w:r>
        <w:rPr>
          <w:rStyle w:val="207"/>
          <w:rFonts w:ascii="Times New Roman" w:hAnsi="Times New Roman" w:eastAsia="宋体"/>
          <w:color w:val="auto"/>
          <w:sz w:val="36"/>
          <w:szCs w:val="36"/>
          <w:highlight w:val="none"/>
        </w:rPr>
        <w:br w:type="page"/>
      </w:r>
    </w:p>
    <w:p w14:paraId="11A21559">
      <w:pPr>
        <w:pStyle w:val="46"/>
        <w:spacing w:line="360" w:lineRule="auto"/>
        <w:rPr>
          <w:rStyle w:val="207"/>
          <w:rFonts w:ascii="Times New Roman" w:hAnsi="Times New Roman" w:eastAsia="宋体"/>
          <w:color w:val="auto"/>
          <w:sz w:val="36"/>
          <w:szCs w:val="36"/>
          <w:highlight w:val="none"/>
        </w:rPr>
      </w:pPr>
      <w:bookmarkStart w:id="411" w:name="_Toc15821"/>
      <w:r>
        <w:rPr>
          <w:rStyle w:val="207"/>
          <w:rFonts w:ascii="Times New Roman" w:hAnsi="Times New Roman" w:eastAsia="宋体"/>
          <w:color w:val="auto"/>
          <w:sz w:val="36"/>
          <w:szCs w:val="36"/>
          <w:highlight w:val="none"/>
        </w:rPr>
        <w:t xml:space="preserve">第四章  </w:t>
      </w:r>
      <w:bookmarkEnd w:id="19"/>
      <w:bookmarkEnd w:id="393"/>
      <w:bookmarkEnd w:id="394"/>
      <w:bookmarkStart w:id="412" w:name="_Toc232176282"/>
      <w:bookmarkStart w:id="413" w:name="_Toc499711928"/>
      <w:bookmarkStart w:id="414" w:name="_Toc500747233"/>
      <w:bookmarkStart w:id="415" w:name="_Toc232395222"/>
      <w:bookmarkStart w:id="416" w:name="_Toc230583552"/>
      <w:bookmarkStart w:id="417" w:name="_Toc70687202"/>
      <w:bookmarkStart w:id="418" w:name="_Toc176882552"/>
      <w:bookmarkStart w:id="419" w:name="_Toc230099803"/>
      <w:bookmarkStart w:id="420" w:name="_Toc177189245"/>
      <w:bookmarkStart w:id="421" w:name="_Toc492955459"/>
      <w:bookmarkStart w:id="422" w:name="_Toc249515369"/>
      <w:bookmarkStart w:id="423" w:name="_Toc28450"/>
      <w:bookmarkStart w:id="424" w:name="_Toc496324623"/>
      <w:bookmarkStart w:id="425" w:name="_Toc177817344"/>
      <w:bookmarkStart w:id="426" w:name="_Toc249515482"/>
      <w:bookmarkStart w:id="427" w:name="_Toc499711087"/>
      <w:bookmarkStart w:id="428" w:name="_Toc249525250"/>
      <w:bookmarkStart w:id="429" w:name="_Toc500747106"/>
      <w:bookmarkStart w:id="430" w:name="_Toc53722865"/>
      <w:bookmarkStart w:id="431" w:name="_Toc415499897"/>
      <w:bookmarkStart w:id="432" w:name="_Toc177995483"/>
      <w:bookmarkStart w:id="433" w:name="_Toc256342152"/>
      <w:bookmarkStart w:id="434" w:name="_Toc230013638"/>
      <w:bookmarkStart w:id="435" w:name="_Toc184043058"/>
      <w:bookmarkStart w:id="436" w:name="_Toc500747010"/>
      <w:bookmarkStart w:id="437" w:name="_Toc503063458"/>
      <w:r>
        <w:rPr>
          <w:rStyle w:val="207"/>
          <w:rFonts w:ascii="Times New Roman" w:hAnsi="Times New Roman" w:eastAsia="宋体"/>
          <w:color w:val="auto"/>
          <w:sz w:val="36"/>
          <w:szCs w:val="36"/>
          <w:highlight w:val="none"/>
        </w:rPr>
        <w:t>拟签订的合同文本</w:t>
      </w:r>
      <w:bookmarkEnd w:id="411"/>
    </w:p>
    <w:p w14:paraId="71CF8B57">
      <w:pPr>
        <w:keepNext w:val="0"/>
        <w:keepLines w:val="0"/>
        <w:pageBreakBefore w:val="0"/>
        <w:kinsoku/>
        <w:wordWrap/>
        <w:overflowPunct/>
        <w:topLinePunct w:val="0"/>
        <w:bidi w:val="0"/>
        <w:adjustRightInd w:val="0"/>
        <w:snapToGrid w:val="0"/>
        <w:spacing w:line="336" w:lineRule="auto"/>
        <w:ind w:firstLine="482" w:firstLineChars="200"/>
        <w:rPr>
          <w:rFonts w:ascii="仿宋_GB2312" w:hAnsi="仿宋_GB2312" w:eastAsia="仿宋_GB2312" w:cs="仿宋_GB2312"/>
          <w:b/>
          <w:color w:val="auto"/>
          <w:sz w:val="24"/>
          <w:highlight w:val="none"/>
        </w:rPr>
      </w:pPr>
      <w:r>
        <w:rPr>
          <w:rFonts w:hint="eastAsia" w:ascii="仿宋_GB2312" w:hAnsi="仿宋_GB2312" w:eastAsia="仿宋_GB2312" w:cs="仿宋_GB2312"/>
          <w:b/>
          <w:color w:val="auto"/>
          <w:sz w:val="24"/>
          <w:highlight w:val="none"/>
        </w:rPr>
        <w:t xml:space="preserve">甲方：（前款所称采购人）         </w:t>
      </w:r>
    </w:p>
    <w:p w14:paraId="59826A0A">
      <w:pPr>
        <w:keepNext w:val="0"/>
        <w:keepLines w:val="0"/>
        <w:pageBreakBefore w:val="0"/>
        <w:kinsoku/>
        <w:wordWrap/>
        <w:overflowPunct/>
        <w:topLinePunct w:val="0"/>
        <w:bidi w:val="0"/>
        <w:adjustRightInd w:val="0"/>
        <w:snapToGrid w:val="0"/>
        <w:spacing w:line="336" w:lineRule="auto"/>
        <w:ind w:firstLine="482" w:firstLineChars="200"/>
        <w:rPr>
          <w:rFonts w:ascii="仿宋_GB2312" w:hAnsi="仿宋_GB2312" w:eastAsia="仿宋_GB2312" w:cs="仿宋_GB2312"/>
          <w:b/>
          <w:color w:val="auto"/>
          <w:sz w:val="24"/>
          <w:highlight w:val="none"/>
        </w:rPr>
      </w:pPr>
      <w:r>
        <w:rPr>
          <w:rFonts w:hint="eastAsia" w:ascii="仿宋_GB2312" w:hAnsi="仿宋_GB2312" w:eastAsia="仿宋_GB2312" w:cs="仿宋_GB2312"/>
          <w:b/>
          <w:color w:val="auto"/>
          <w:sz w:val="24"/>
          <w:highlight w:val="none"/>
        </w:rPr>
        <w:t xml:space="preserve">乙方：（前款所称成交供应商）     </w:t>
      </w:r>
    </w:p>
    <w:p w14:paraId="4439882B">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bookmarkStart w:id="438" w:name="_Toc19515384"/>
      <w:r>
        <w:rPr>
          <w:rFonts w:hint="eastAsia" w:ascii="仿宋_GB2312" w:hAnsi="仿宋" w:eastAsia="仿宋_GB2312"/>
          <w:color w:val="auto"/>
          <w:sz w:val="24"/>
          <w:highlight w:val="none"/>
        </w:rPr>
        <w:t>一、合同内容（标的、范围、质量等）</w:t>
      </w:r>
      <w:bookmarkEnd w:id="438"/>
      <w:r>
        <w:rPr>
          <w:rFonts w:hint="eastAsia" w:ascii="仿宋_GB2312" w:hAnsi="仿宋" w:eastAsia="仿宋_GB2312"/>
          <w:color w:val="auto"/>
          <w:sz w:val="24"/>
          <w:highlight w:val="none"/>
          <w:lang w:eastAsia="zh-CN"/>
        </w:rPr>
        <w:t>：</w:t>
      </w:r>
      <w:r>
        <w:rPr>
          <w:rFonts w:hint="eastAsia" w:ascii="仿宋_GB2312" w:hAnsi="仿宋" w:eastAsia="仿宋_GB2312"/>
          <w:color w:val="auto"/>
          <w:sz w:val="24"/>
          <w:highlight w:val="none"/>
        </w:rPr>
        <w:t>本次采购需求包含的全部内容。</w:t>
      </w:r>
    </w:p>
    <w:p w14:paraId="6C62CA14">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bookmarkStart w:id="439" w:name="_Toc19515385"/>
      <w:r>
        <w:rPr>
          <w:rFonts w:hint="eastAsia" w:ascii="仿宋_GB2312" w:hAnsi="仿宋" w:eastAsia="仿宋_GB2312"/>
          <w:color w:val="auto"/>
          <w:sz w:val="24"/>
          <w:highlight w:val="none"/>
        </w:rPr>
        <w:t>二、合同价款</w:t>
      </w:r>
      <w:bookmarkEnd w:id="439"/>
    </w:p>
    <w:p w14:paraId="079E4A14">
      <w:pPr>
        <w:keepNext w:val="0"/>
        <w:keepLines w:val="0"/>
        <w:pageBreakBefore w:val="0"/>
        <w:kinsoku/>
        <w:wordWrap/>
        <w:overflowPunct/>
        <w:topLinePunct w:val="0"/>
        <w:bidi w:val="0"/>
        <w:adjustRightInd w:val="0"/>
        <w:snapToGrid w:val="0"/>
        <w:spacing w:line="336" w:lineRule="auto"/>
        <w:ind w:firstLine="480" w:firstLineChars="200"/>
        <w:rPr>
          <w:rFonts w:hint="default" w:ascii="仿宋_GB2312" w:hAnsi="仿宋" w:eastAsia="仿宋_GB2312"/>
          <w:color w:val="auto"/>
          <w:sz w:val="24"/>
          <w:highlight w:val="none"/>
          <w:lang w:val="en-US" w:eastAsia="zh-CN"/>
        </w:rPr>
      </w:pPr>
      <w:r>
        <w:rPr>
          <w:rFonts w:hint="eastAsia" w:ascii="仿宋_GB2312" w:hAnsi="仿宋" w:eastAsia="仿宋_GB2312"/>
          <w:color w:val="auto"/>
          <w:sz w:val="24"/>
          <w:highlight w:val="none"/>
        </w:rPr>
        <w:t>1、合同</w:t>
      </w:r>
      <w:r>
        <w:rPr>
          <w:rFonts w:hint="eastAsia" w:ascii="仿宋_GB2312" w:hAnsi="仿宋" w:eastAsia="仿宋_GB2312"/>
          <w:color w:val="auto"/>
          <w:sz w:val="24"/>
          <w:highlight w:val="none"/>
          <w:lang w:val="en-US" w:eastAsia="zh-CN"/>
        </w:rPr>
        <w:t>价格</w:t>
      </w:r>
      <w:r>
        <w:rPr>
          <w:rFonts w:hint="eastAsia" w:ascii="仿宋_GB2312" w:hAnsi="仿宋" w:eastAsia="仿宋_GB2312"/>
          <w:color w:val="auto"/>
          <w:sz w:val="24"/>
          <w:highlight w:val="none"/>
        </w:rPr>
        <w:t>：</w:t>
      </w:r>
      <w:r>
        <w:rPr>
          <w:rFonts w:hint="eastAsia" w:ascii="仿宋_GB2312" w:hAnsi="仿宋" w:eastAsia="仿宋_GB2312"/>
          <w:color w:val="auto"/>
          <w:sz w:val="24"/>
          <w:highlight w:val="none"/>
          <w:u w:val="single"/>
          <w:lang w:val="en-US" w:eastAsia="zh-CN"/>
        </w:rPr>
        <w:t xml:space="preserve">     </w:t>
      </w:r>
      <w:r>
        <w:rPr>
          <w:rFonts w:hint="eastAsia" w:ascii="仿宋_GB2312" w:hAnsi="仿宋" w:eastAsia="仿宋_GB2312"/>
          <w:color w:val="auto"/>
          <w:sz w:val="24"/>
          <w:highlight w:val="none"/>
          <w:lang w:val="en-US" w:eastAsia="zh-CN"/>
        </w:rPr>
        <w:t>元/天/人</w:t>
      </w:r>
    </w:p>
    <w:p w14:paraId="391C5269">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2、合同</w:t>
      </w:r>
      <w:r>
        <w:rPr>
          <w:rFonts w:hint="eastAsia" w:ascii="仿宋_GB2312" w:hAnsi="仿宋" w:eastAsia="仿宋_GB2312"/>
          <w:color w:val="auto"/>
          <w:sz w:val="24"/>
          <w:highlight w:val="none"/>
          <w:lang w:val="en-US" w:eastAsia="zh-CN"/>
        </w:rPr>
        <w:t>价格</w:t>
      </w:r>
      <w:r>
        <w:rPr>
          <w:rFonts w:hint="eastAsia" w:ascii="仿宋_GB2312" w:hAnsi="仿宋" w:eastAsia="仿宋_GB2312"/>
          <w:color w:val="auto"/>
          <w:sz w:val="24"/>
          <w:highlight w:val="none"/>
        </w:rPr>
        <w:t>包括：完成服务要求所需的一切费用。</w:t>
      </w:r>
    </w:p>
    <w:p w14:paraId="3539186A">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3、合同</w:t>
      </w:r>
      <w:r>
        <w:rPr>
          <w:rFonts w:hint="eastAsia" w:ascii="仿宋_GB2312" w:hAnsi="仿宋" w:eastAsia="仿宋_GB2312"/>
          <w:color w:val="auto"/>
          <w:sz w:val="24"/>
          <w:highlight w:val="none"/>
          <w:lang w:val="en-US" w:eastAsia="zh-CN"/>
        </w:rPr>
        <w:t>价格</w:t>
      </w:r>
      <w:r>
        <w:rPr>
          <w:rFonts w:hint="eastAsia" w:ascii="仿宋_GB2312" w:hAnsi="仿宋" w:eastAsia="仿宋_GB2312"/>
          <w:color w:val="auto"/>
          <w:sz w:val="24"/>
          <w:highlight w:val="none"/>
        </w:rPr>
        <w:t>一次包死，不受市场价变化的影响。</w:t>
      </w:r>
    </w:p>
    <w:p w14:paraId="19CE26D6">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bookmarkStart w:id="440" w:name="_Toc19515386"/>
      <w:r>
        <w:rPr>
          <w:rFonts w:hint="eastAsia" w:ascii="仿宋_GB2312" w:hAnsi="仿宋" w:eastAsia="仿宋_GB2312"/>
          <w:color w:val="auto"/>
          <w:sz w:val="24"/>
          <w:highlight w:val="none"/>
        </w:rPr>
        <w:t>三、合同结算</w:t>
      </w:r>
      <w:bookmarkEnd w:id="440"/>
    </w:p>
    <w:p w14:paraId="691A55CA">
      <w:pPr>
        <w:keepNext w:val="0"/>
        <w:keepLines w:val="0"/>
        <w:pageBreakBefore w:val="0"/>
        <w:kinsoku/>
        <w:wordWrap/>
        <w:overflowPunct/>
        <w:topLinePunct w:val="0"/>
        <w:bidi w:val="0"/>
        <w:adjustRightInd w:val="0"/>
        <w:snapToGrid w:val="0"/>
        <w:spacing w:line="336" w:lineRule="auto"/>
        <w:ind w:firstLine="480" w:firstLineChars="200"/>
        <w:rPr>
          <w:rFonts w:hint="default" w:ascii="仿宋_GB2312" w:hAnsi="仿宋" w:eastAsia="仿宋_GB2312"/>
          <w:color w:val="auto"/>
          <w:sz w:val="24"/>
          <w:highlight w:val="none"/>
          <w:lang w:val="en-US" w:eastAsia="zh-CN"/>
        </w:rPr>
      </w:pPr>
      <w:r>
        <w:rPr>
          <w:rFonts w:hint="eastAsia" w:ascii="仿宋_GB2312" w:hAnsi="仿宋" w:eastAsia="仿宋_GB2312"/>
          <w:color w:val="auto"/>
          <w:sz w:val="24"/>
          <w:highlight w:val="none"/>
        </w:rPr>
        <w:t>1、付款</w:t>
      </w:r>
      <w:r>
        <w:rPr>
          <w:rFonts w:hint="eastAsia" w:ascii="仿宋_GB2312" w:hAnsi="仿宋" w:eastAsia="仿宋_GB2312"/>
          <w:color w:val="auto"/>
          <w:sz w:val="24"/>
          <w:highlight w:val="none"/>
          <w:lang w:val="en-US" w:eastAsia="zh-CN"/>
        </w:rPr>
        <w:t>方式</w:t>
      </w:r>
      <w:r>
        <w:rPr>
          <w:rFonts w:hint="eastAsia" w:ascii="仿宋_GB2312" w:hAnsi="仿宋" w:eastAsia="仿宋_GB2312"/>
          <w:color w:val="auto"/>
          <w:sz w:val="24"/>
          <w:highlight w:val="none"/>
        </w:rPr>
        <w:t>：费用根据</w:t>
      </w:r>
      <w:r>
        <w:rPr>
          <w:rFonts w:hint="eastAsia" w:ascii="仿宋_GB2312" w:hAnsi="仿宋" w:eastAsia="仿宋_GB2312"/>
          <w:color w:val="auto"/>
          <w:sz w:val="24"/>
          <w:highlight w:val="none"/>
          <w:lang w:val="en-US" w:eastAsia="zh-CN"/>
        </w:rPr>
        <w:t>服务人数及天数</w:t>
      </w:r>
      <w:r>
        <w:rPr>
          <w:rFonts w:hint="eastAsia" w:ascii="仿宋_GB2312" w:hAnsi="仿宋" w:eastAsia="仿宋_GB2312"/>
          <w:color w:val="auto"/>
          <w:sz w:val="24"/>
          <w:highlight w:val="none"/>
        </w:rPr>
        <w:t>据实结算</w:t>
      </w:r>
      <w:r>
        <w:rPr>
          <w:rFonts w:hint="eastAsia" w:ascii="仿宋_GB2312" w:hAnsi="仿宋" w:eastAsia="仿宋_GB2312"/>
          <w:color w:val="auto"/>
          <w:sz w:val="24"/>
          <w:highlight w:val="none"/>
          <w:lang w:val="en-US" w:eastAsia="zh-CN"/>
        </w:rPr>
        <w:t>。</w:t>
      </w:r>
    </w:p>
    <w:p w14:paraId="2C7BA1B7">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lang w:val="en-US" w:eastAsia="zh-CN"/>
        </w:rPr>
        <w:t>2</w:t>
      </w:r>
      <w:r>
        <w:rPr>
          <w:rFonts w:hint="eastAsia" w:ascii="仿宋_GB2312" w:hAnsi="仿宋" w:eastAsia="仿宋_GB2312"/>
          <w:color w:val="auto"/>
          <w:sz w:val="24"/>
          <w:highlight w:val="none"/>
        </w:rPr>
        <w:t>、结算单位：由</w:t>
      </w:r>
      <w:r>
        <w:rPr>
          <w:rFonts w:hint="eastAsia" w:ascii="仿宋_GB2312" w:hAnsi="仿宋" w:eastAsia="仿宋_GB2312"/>
          <w:color w:val="auto"/>
          <w:sz w:val="24"/>
          <w:highlight w:val="none"/>
          <w:u w:val="single"/>
        </w:rPr>
        <w:t xml:space="preserve"> </w:t>
      </w:r>
      <w:r>
        <w:rPr>
          <w:rFonts w:hint="eastAsia" w:ascii="仿宋_GB2312" w:hAnsi="仿宋" w:eastAsia="仿宋_GB2312"/>
          <w:color w:val="auto"/>
          <w:sz w:val="24"/>
          <w:highlight w:val="none"/>
          <w:u w:val="single"/>
          <w:lang w:val="en-US" w:eastAsia="zh-CN"/>
        </w:rPr>
        <w:t xml:space="preserve">     </w:t>
      </w:r>
      <w:r>
        <w:rPr>
          <w:rFonts w:hint="eastAsia" w:ascii="仿宋_GB2312" w:hAnsi="仿宋" w:eastAsia="仿宋_GB2312"/>
          <w:color w:val="auto"/>
          <w:sz w:val="24"/>
          <w:highlight w:val="none"/>
          <w:u w:val="single"/>
        </w:rPr>
        <w:t xml:space="preserve"> </w:t>
      </w:r>
      <w:r>
        <w:rPr>
          <w:rFonts w:hint="eastAsia" w:ascii="仿宋_GB2312" w:hAnsi="仿宋" w:eastAsia="仿宋_GB2312"/>
          <w:color w:val="auto"/>
          <w:sz w:val="24"/>
          <w:highlight w:val="none"/>
        </w:rPr>
        <w:t>负责结算，乙方开具合同总价数的全额发票交采购人。</w:t>
      </w:r>
    </w:p>
    <w:p w14:paraId="2B8DEE22">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bookmarkStart w:id="441" w:name="_Toc19515387"/>
      <w:r>
        <w:rPr>
          <w:rFonts w:hint="eastAsia" w:ascii="仿宋_GB2312" w:hAnsi="仿宋" w:eastAsia="仿宋_GB2312"/>
          <w:color w:val="auto"/>
          <w:sz w:val="24"/>
          <w:highlight w:val="none"/>
        </w:rPr>
        <w:t>四、服务期、服务地点及方式:</w:t>
      </w:r>
      <w:bookmarkEnd w:id="441"/>
    </w:p>
    <w:p w14:paraId="3BBB6FE7">
      <w:pPr>
        <w:keepNext w:val="0"/>
        <w:keepLines w:val="0"/>
        <w:pageBreakBefore w:val="0"/>
        <w:kinsoku/>
        <w:wordWrap/>
        <w:overflowPunct/>
        <w:topLinePunct w:val="0"/>
        <w:bidi w:val="0"/>
        <w:adjustRightInd w:val="0"/>
        <w:snapToGrid w:val="0"/>
        <w:spacing w:line="336" w:lineRule="auto"/>
        <w:ind w:firstLine="480" w:firstLineChars="200"/>
        <w:rPr>
          <w:rFonts w:hint="eastAsia" w:ascii="仿宋_GB2312" w:hAnsi="仿宋" w:eastAsia="仿宋_GB2312"/>
          <w:color w:val="auto"/>
          <w:sz w:val="24"/>
          <w:highlight w:val="none"/>
          <w:lang w:eastAsia="zh-CN"/>
        </w:rPr>
      </w:pPr>
      <w:r>
        <w:rPr>
          <w:rFonts w:hint="eastAsia" w:ascii="仿宋_GB2312" w:hAnsi="仿宋" w:eastAsia="仿宋_GB2312"/>
          <w:color w:val="auto"/>
          <w:sz w:val="24"/>
          <w:highlight w:val="none"/>
        </w:rPr>
        <w:t>1、服务期：</w:t>
      </w:r>
      <w:r>
        <w:rPr>
          <w:rFonts w:hint="eastAsia" w:ascii="仿宋_GB2312" w:hAnsi="仿宋_GB2312" w:eastAsia="仿宋_GB2312" w:cs="仿宋_GB2312"/>
          <w:i w:val="0"/>
          <w:iCs w:val="0"/>
          <w:caps w:val="0"/>
          <w:color w:val="auto"/>
          <w:spacing w:val="0"/>
          <w:sz w:val="24"/>
          <w:szCs w:val="24"/>
          <w:highlight w:val="none"/>
          <w:shd w:val="clear" w:fill="FFFFFF"/>
          <w:lang w:eastAsia="zh-CN"/>
        </w:rPr>
        <w:t>自合同签订后1年</w:t>
      </w:r>
    </w:p>
    <w:p w14:paraId="78A037BF">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2、服务地点：按照采购人要求</w:t>
      </w:r>
    </w:p>
    <w:p w14:paraId="646A968F">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3、方式：按照采购人要求</w:t>
      </w:r>
    </w:p>
    <w:p w14:paraId="6206E2BF">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bookmarkStart w:id="442" w:name="_Toc19515391"/>
      <w:r>
        <w:rPr>
          <w:rFonts w:hint="eastAsia" w:ascii="仿宋_GB2312" w:hAnsi="仿宋" w:eastAsia="仿宋_GB2312"/>
          <w:color w:val="auto"/>
          <w:sz w:val="24"/>
          <w:highlight w:val="none"/>
        </w:rPr>
        <w:t>五、服务工作要求和质量保证</w:t>
      </w:r>
    </w:p>
    <w:p w14:paraId="06A5CADA">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各项具体工作的质量标准和作业规范，按国家相关标准、规范及磋商文件、磋商响应文件制定的内容执行。</w:t>
      </w:r>
    </w:p>
    <w:p w14:paraId="580869B2">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六、验收</w:t>
      </w:r>
      <w:bookmarkEnd w:id="442"/>
    </w:p>
    <w:p w14:paraId="25C2B215">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1、验收依据：</w:t>
      </w:r>
    </w:p>
    <w:p w14:paraId="0C265524">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1-1、合同文本、合同附件、磋商文件、响应文件。</w:t>
      </w:r>
    </w:p>
    <w:p w14:paraId="57A1B7F9">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1-2、国内相应的标准、规范。</w:t>
      </w:r>
    </w:p>
    <w:p w14:paraId="393E4B6A">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bookmarkStart w:id="443" w:name="_Toc19515392"/>
      <w:bookmarkStart w:id="444" w:name="_Toc19515393"/>
      <w:r>
        <w:rPr>
          <w:rFonts w:hint="eastAsia" w:ascii="仿宋_GB2312" w:hAnsi="仿宋" w:eastAsia="仿宋_GB2312"/>
          <w:color w:val="auto"/>
          <w:sz w:val="24"/>
          <w:highlight w:val="none"/>
        </w:rPr>
        <w:t>七、违约责任</w:t>
      </w:r>
      <w:bookmarkEnd w:id="443"/>
    </w:p>
    <w:p w14:paraId="26B0DAEE">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1、按《中华人民共和国民法典》中的相关条款执行。</w:t>
      </w:r>
    </w:p>
    <w:p w14:paraId="16EE2017">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2、乙方履约延误</w:t>
      </w:r>
    </w:p>
    <w:p w14:paraId="21218A29">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2-1、如乙方事先未征得甲方同意并得到甲方的谅解而单方面延迟执行合同，将按违约终止合同。</w:t>
      </w:r>
    </w:p>
    <w:p w14:paraId="3A931BF4">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2-2、在履行合同过程中，如果乙方遇到可能妨碍按时提供服务的情况，应及时以书面形式将拖延的事实，可能拖延的期限和理由通知甲方。甲方在收到乙方通知后，应尽快对情况进行评价，并确定是否通过修改合同，酌情延长交付时间或对乙方加收误期赔偿金。</w:t>
      </w:r>
    </w:p>
    <w:p w14:paraId="0066A91B">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3、违约终止合同：未按合同要求提供服务或不能满足技术要求，甲方会同监督机构有权终止合同，对乙方违约行为进行追究，同时按政府采购法的有关规定进行相应的处罚。</w:t>
      </w:r>
    </w:p>
    <w:p w14:paraId="55F83196">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八、合同组成</w:t>
      </w:r>
      <w:bookmarkEnd w:id="444"/>
    </w:p>
    <w:p w14:paraId="5301B95E">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1、成交通知书</w:t>
      </w:r>
    </w:p>
    <w:p w14:paraId="21C866B9">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2、合同文件</w:t>
      </w:r>
    </w:p>
    <w:p w14:paraId="3E99B46E">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3、国家相关规范及标准</w:t>
      </w:r>
    </w:p>
    <w:p w14:paraId="7A8AA23C">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4、磋商文件</w:t>
      </w:r>
    </w:p>
    <w:p w14:paraId="7E24C172">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5、响应文件</w:t>
      </w:r>
    </w:p>
    <w:p w14:paraId="1A1D4751">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bookmarkStart w:id="445" w:name="_Toc19515394"/>
      <w:r>
        <w:rPr>
          <w:rFonts w:hint="eastAsia" w:ascii="仿宋_GB2312" w:hAnsi="仿宋" w:eastAsia="仿宋_GB2312"/>
          <w:color w:val="auto"/>
          <w:sz w:val="24"/>
          <w:highlight w:val="none"/>
        </w:rPr>
        <w:t>九、解决争议的方法</w:t>
      </w:r>
      <w:bookmarkEnd w:id="445"/>
    </w:p>
    <w:p w14:paraId="22CFF3B5">
      <w:pPr>
        <w:keepNext w:val="0"/>
        <w:keepLines w:val="0"/>
        <w:pageBreakBefore w:val="0"/>
        <w:widowControl/>
        <w:kinsoku/>
        <w:wordWrap/>
        <w:overflowPunct/>
        <w:topLinePunct w:val="0"/>
        <w:autoSpaceDE w:val="0"/>
        <w:autoSpaceDN w:val="0"/>
        <w:bidi w:val="0"/>
        <w:snapToGrid w:val="0"/>
        <w:spacing w:line="336" w:lineRule="auto"/>
        <w:ind w:right="-110" w:firstLine="480" w:firstLineChars="200"/>
        <w:textAlignment w:val="bottom"/>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t>凡因本合同引起的或与本合同有关的争议，双方应友好协商解决。协商不成时，双方均同意采用以下第（ 1 ）种争议解决方式：</w:t>
      </w:r>
    </w:p>
    <w:p w14:paraId="57451F04">
      <w:pPr>
        <w:keepNext w:val="0"/>
        <w:keepLines w:val="0"/>
        <w:pageBreakBefore w:val="0"/>
        <w:widowControl/>
        <w:kinsoku/>
        <w:wordWrap/>
        <w:overflowPunct/>
        <w:topLinePunct w:val="0"/>
        <w:autoSpaceDE w:val="0"/>
        <w:autoSpaceDN w:val="0"/>
        <w:bidi w:val="0"/>
        <w:snapToGrid w:val="0"/>
        <w:spacing w:line="336" w:lineRule="auto"/>
        <w:ind w:right="-110" w:firstLine="480" w:firstLineChars="200"/>
        <w:textAlignment w:val="bottom"/>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t>（1）甲、乙双方均同意向（甲方所在地人民法院）提起诉讼。</w:t>
      </w:r>
    </w:p>
    <w:p w14:paraId="06AF872F">
      <w:pPr>
        <w:keepNext w:val="0"/>
        <w:keepLines w:val="0"/>
        <w:pageBreakBefore w:val="0"/>
        <w:widowControl/>
        <w:kinsoku/>
        <w:wordWrap/>
        <w:overflowPunct/>
        <w:topLinePunct w:val="0"/>
        <w:autoSpaceDE w:val="0"/>
        <w:autoSpaceDN w:val="0"/>
        <w:bidi w:val="0"/>
        <w:snapToGrid w:val="0"/>
        <w:spacing w:line="336" w:lineRule="auto"/>
        <w:ind w:right="-110" w:firstLine="480" w:firstLineChars="200"/>
        <w:textAlignment w:val="bottom"/>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t>（2）甲、乙双方均同意向（</w:t>
      </w:r>
      <w:r>
        <w:rPr>
          <w:rFonts w:hint="eastAsia" w:ascii="仿宋_GB2312" w:hAnsi="仿宋" w:eastAsia="仿宋_GB2312"/>
          <w:color w:val="auto"/>
          <w:kern w:val="0"/>
          <w:sz w:val="24"/>
          <w:highlight w:val="none"/>
          <w:u w:val="none"/>
        </w:rPr>
        <w:t>仲裁委员会</w:t>
      </w:r>
      <w:r>
        <w:rPr>
          <w:rFonts w:hint="eastAsia" w:ascii="仿宋_GB2312" w:hAnsi="仿宋" w:eastAsia="仿宋_GB2312"/>
          <w:color w:val="auto"/>
          <w:kern w:val="0"/>
          <w:sz w:val="24"/>
          <w:highlight w:val="none"/>
        </w:rPr>
        <w:t>）提起仲裁。</w:t>
      </w:r>
    </w:p>
    <w:p w14:paraId="311381AE">
      <w:pPr>
        <w:keepNext w:val="0"/>
        <w:keepLines w:val="0"/>
        <w:pageBreakBefore w:val="0"/>
        <w:kinsoku/>
        <w:wordWrap/>
        <w:overflowPunct/>
        <w:topLinePunct w:val="0"/>
        <w:bidi w:val="0"/>
        <w:adjustRightInd w:val="0"/>
        <w:snapToGrid w:val="0"/>
        <w:spacing w:line="336" w:lineRule="auto"/>
        <w:ind w:firstLine="480" w:firstLineChars="200"/>
        <w:rPr>
          <w:rFonts w:ascii="仿宋_GB2312" w:hAnsi="仿宋" w:eastAsia="仿宋_GB2312"/>
          <w:color w:val="auto"/>
          <w:sz w:val="24"/>
          <w:highlight w:val="none"/>
        </w:rPr>
      </w:pPr>
      <w:bookmarkStart w:id="446" w:name="_Toc19515395"/>
      <w:r>
        <w:rPr>
          <w:rFonts w:hint="eastAsia" w:ascii="仿宋_GB2312" w:hAnsi="仿宋" w:eastAsia="仿宋_GB2312"/>
          <w:color w:val="auto"/>
          <w:sz w:val="24"/>
          <w:highlight w:val="none"/>
        </w:rPr>
        <w:t>十、合同生效及其它</w:t>
      </w:r>
      <w:bookmarkEnd w:id="446"/>
    </w:p>
    <w:p w14:paraId="753093FE">
      <w:pPr>
        <w:keepNext w:val="0"/>
        <w:keepLines w:val="0"/>
        <w:pageBreakBefore w:val="0"/>
        <w:widowControl/>
        <w:kinsoku/>
        <w:wordWrap/>
        <w:overflowPunct/>
        <w:topLinePunct w:val="0"/>
        <w:autoSpaceDE w:val="0"/>
        <w:autoSpaceDN w:val="0"/>
        <w:bidi w:val="0"/>
        <w:snapToGrid w:val="0"/>
        <w:spacing w:line="336" w:lineRule="auto"/>
        <w:ind w:right="-110" w:firstLine="480" w:firstLineChars="200"/>
        <w:textAlignment w:val="bottom"/>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t>1、合同未尽事宜、由甲、乙双方协商，作为合同补充，与原合同具有同等法律效力。</w:t>
      </w:r>
    </w:p>
    <w:p w14:paraId="62B852D6">
      <w:pPr>
        <w:keepNext w:val="0"/>
        <w:keepLines w:val="0"/>
        <w:pageBreakBefore w:val="0"/>
        <w:widowControl/>
        <w:tabs>
          <w:tab w:val="left" w:pos="8391"/>
        </w:tabs>
        <w:kinsoku/>
        <w:wordWrap/>
        <w:overflowPunct/>
        <w:topLinePunct w:val="0"/>
        <w:autoSpaceDE w:val="0"/>
        <w:autoSpaceDN w:val="0"/>
        <w:bidi w:val="0"/>
        <w:snapToGrid w:val="0"/>
        <w:spacing w:line="336" w:lineRule="auto"/>
        <w:ind w:right="-69" w:firstLine="480" w:firstLineChars="200"/>
        <w:textAlignment w:val="bottom"/>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t>2、 本合同正本一式</w:t>
      </w:r>
      <w:r>
        <w:rPr>
          <w:rFonts w:hint="eastAsia" w:ascii="仿宋_GB2312" w:hAnsi="仿宋" w:eastAsia="仿宋_GB2312"/>
          <w:color w:val="auto"/>
          <w:kern w:val="0"/>
          <w:sz w:val="24"/>
          <w:highlight w:val="none"/>
          <w:u w:val="single"/>
        </w:rPr>
        <w:t xml:space="preserve">  </w:t>
      </w:r>
      <w:r>
        <w:rPr>
          <w:rFonts w:hint="eastAsia" w:ascii="仿宋_GB2312" w:hAnsi="仿宋" w:eastAsia="仿宋_GB2312"/>
          <w:color w:val="auto"/>
          <w:kern w:val="0"/>
          <w:sz w:val="24"/>
          <w:highlight w:val="none"/>
        </w:rPr>
        <w:t>份，甲方、乙方双方分别执</w:t>
      </w:r>
      <w:r>
        <w:rPr>
          <w:rFonts w:hint="eastAsia" w:ascii="仿宋_GB2312" w:hAnsi="仿宋" w:eastAsia="仿宋_GB2312"/>
          <w:color w:val="auto"/>
          <w:kern w:val="0"/>
          <w:sz w:val="24"/>
          <w:highlight w:val="none"/>
          <w:u w:val="single"/>
        </w:rPr>
        <w:t xml:space="preserve">  </w:t>
      </w:r>
      <w:r>
        <w:rPr>
          <w:rFonts w:hint="eastAsia" w:ascii="仿宋_GB2312" w:hAnsi="仿宋" w:eastAsia="仿宋_GB2312"/>
          <w:color w:val="auto"/>
          <w:kern w:val="0"/>
          <w:sz w:val="24"/>
          <w:highlight w:val="none"/>
        </w:rPr>
        <w:t>份，</w:t>
      </w:r>
      <w:r>
        <w:rPr>
          <w:rFonts w:hint="eastAsia" w:ascii="仿宋_GB2312" w:hAnsi="仿宋" w:eastAsia="仿宋_GB2312"/>
          <w:color w:val="auto"/>
          <w:kern w:val="0"/>
          <w:sz w:val="24"/>
          <w:highlight w:val="none"/>
          <w:u w:val="single"/>
        </w:rPr>
        <w:t xml:space="preserve">   </w:t>
      </w:r>
      <w:r>
        <w:rPr>
          <w:rFonts w:hint="eastAsia" w:ascii="仿宋_GB2312" w:hAnsi="仿宋" w:eastAsia="仿宋_GB2312"/>
          <w:color w:val="auto"/>
          <w:kern w:val="0"/>
          <w:sz w:val="24"/>
          <w:highlight w:val="none"/>
        </w:rPr>
        <w:t>备案</w:t>
      </w:r>
      <w:r>
        <w:rPr>
          <w:rFonts w:hint="eastAsia" w:ascii="仿宋_GB2312" w:hAnsi="仿宋" w:eastAsia="仿宋_GB2312"/>
          <w:color w:val="auto"/>
          <w:kern w:val="0"/>
          <w:sz w:val="24"/>
          <w:highlight w:val="none"/>
          <w:u w:val="single"/>
        </w:rPr>
        <w:t xml:space="preserve">  </w:t>
      </w:r>
      <w:r>
        <w:rPr>
          <w:rFonts w:hint="eastAsia" w:ascii="仿宋_GB2312" w:hAnsi="仿宋" w:eastAsia="仿宋_GB2312"/>
          <w:color w:val="auto"/>
          <w:kern w:val="0"/>
          <w:sz w:val="24"/>
          <w:highlight w:val="none"/>
        </w:rPr>
        <w:t>份。</w:t>
      </w:r>
    </w:p>
    <w:p w14:paraId="47FEF749">
      <w:pPr>
        <w:keepNext w:val="0"/>
        <w:keepLines w:val="0"/>
        <w:pageBreakBefore w:val="0"/>
        <w:widowControl/>
        <w:kinsoku/>
        <w:wordWrap/>
        <w:overflowPunct/>
        <w:topLinePunct w:val="0"/>
        <w:autoSpaceDE w:val="0"/>
        <w:autoSpaceDN w:val="0"/>
        <w:bidi w:val="0"/>
        <w:snapToGrid w:val="0"/>
        <w:spacing w:line="336" w:lineRule="auto"/>
        <w:ind w:right="-110" w:firstLine="480" w:firstLineChars="200"/>
        <w:textAlignment w:val="bottom"/>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t>3、合同经甲乙双方盖章、签字后生效，合同签订地点为</w:t>
      </w:r>
      <w:r>
        <w:rPr>
          <w:rFonts w:hint="eastAsia" w:ascii="仿宋_GB2312" w:hAnsi="仿宋" w:eastAsia="仿宋_GB2312"/>
          <w:color w:val="auto"/>
          <w:kern w:val="0"/>
          <w:sz w:val="24"/>
          <w:highlight w:val="none"/>
          <w:u w:val="single"/>
        </w:rPr>
        <w:t xml:space="preserve"> </w:t>
      </w:r>
      <w:r>
        <w:rPr>
          <w:rFonts w:hint="eastAsia" w:ascii="仿宋_GB2312" w:hAnsi="仿宋" w:eastAsia="仿宋_GB2312"/>
          <w:color w:val="auto"/>
          <w:kern w:val="0"/>
          <w:sz w:val="24"/>
          <w:highlight w:val="none"/>
          <w:u w:val="single"/>
          <w:lang w:val="en-US" w:eastAsia="zh-CN"/>
        </w:rPr>
        <w:t xml:space="preserve">    </w:t>
      </w:r>
      <w:r>
        <w:rPr>
          <w:rFonts w:hint="eastAsia" w:ascii="仿宋_GB2312" w:hAnsi="仿宋" w:eastAsia="仿宋_GB2312"/>
          <w:color w:val="auto"/>
          <w:kern w:val="0"/>
          <w:sz w:val="24"/>
          <w:highlight w:val="none"/>
          <w:u w:val="single"/>
        </w:rPr>
        <w:t xml:space="preserve"> </w:t>
      </w:r>
      <w:r>
        <w:rPr>
          <w:rFonts w:hint="eastAsia" w:ascii="仿宋_GB2312" w:hAnsi="仿宋" w:eastAsia="仿宋_GB2312"/>
          <w:color w:val="auto"/>
          <w:kern w:val="0"/>
          <w:sz w:val="24"/>
          <w:highlight w:val="none"/>
        </w:rPr>
        <w:t xml:space="preserve"> 。</w:t>
      </w:r>
    </w:p>
    <w:p w14:paraId="13DD9F3A">
      <w:pPr>
        <w:keepNext w:val="0"/>
        <w:keepLines w:val="0"/>
        <w:pageBreakBefore w:val="0"/>
        <w:widowControl/>
        <w:tabs>
          <w:tab w:val="left" w:pos="8391"/>
        </w:tabs>
        <w:kinsoku/>
        <w:wordWrap/>
        <w:overflowPunct/>
        <w:topLinePunct w:val="0"/>
        <w:autoSpaceDE w:val="0"/>
        <w:autoSpaceDN w:val="0"/>
        <w:bidi w:val="0"/>
        <w:snapToGrid w:val="0"/>
        <w:spacing w:line="336" w:lineRule="auto"/>
        <w:ind w:right="-69" w:firstLine="480" w:firstLineChars="200"/>
        <w:textAlignment w:val="bottom"/>
        <w:rPr>
          <w:rFonts w:eastAsia="仿宋_GB2312"/>
          <w:color w:val="auto"/>
          <w:kern w:val="0"/>
          <w:sz w:val="24"/>
          <w:highlight w:val="none"/>
        </w:rPr>
      </w:pPr>
      <w:r>
        <w:rPr>
          <w:rFonts w:hint="eastAsia" w:ascii="仿宋_GB2312" w:hAnsi="仿宋" w:eastAsia="仿宋_GB2312"/>
          <w:color w:val="auto"/>
          <w:kern w:val="0"/>
          <w:sz w:val="24"/>
          <w:highlight w:val="none"/>
        </w:rPr>
        <w:t>4、生效时间：   年  月  日</w:t>
      </w:r>
    </w:p>
    <w:tbl>
      <w:tblPr>
        <w:tblStyle w:val="50"/>
        <w:tblW w:w="0" w:type="auto"/>
        <w:jc w:val="center"/>
        <w:tblLayout w:type="fixed"/>
        <w:tblCellMar>
          <w:top w:w="0" w:type="dxa"/>
          <w:left w:w="108" w:type="dxa"/>
          <w:bottom w:w="0" w:type="dxa"/>
          <w:right w:w="108" w:type="dxa"/>
        </w:tblCellMar>
      </w:tblPr>
      <w:tblGrid>
        <w:gridCol w:w="4643"/>
        <w:gridCol w:w="4643"/>
      </w:tblGrid>
      <w:tr w14:paraId="7BC90AE4">
        <w:tblPrEx>
          <w:tblCellMar>
            <w:top w:w="0" w:type="dxa"/>
            <w:left w:w="108" w:type="dxa"/>
            <w:bottom w:w="0" w:type="dxa"/>
            <w:right w:w="108" w:type="dxa"/>
          </w:tblCellMar>
        </w:tblPrEx>
        <w:trPr>
          <w:trHeight w:val="90" w:hRule="atLeast"/>
          <w:jc w:val="center"/>
        </w:trPr>
        <w:tc>
          <w:tcPr>
            <w:tcW w:w="4643" w:type="dxa"/>
            <w:noWrap w:val="0"/>
            <w:vAlign w:val="top"/>
          </w:tcPr>
          <w:p w14:paraId="1B44B11B">
            <w:pPr>
              <w:widowControl/>
              <w:autoSpaceDE w:val="0"/>
              <w:autoSpaceDN w:val="0"/>
              <w:snapToGrid w:val="0"/>
              <w:spacing w:line="360" w:lineRule="auto"/>
              <w:ind w:right="-154"/>
              <w:textAlignment w:val="bottom"/>
              <w:rPr>
                <w:rFonts w:eastAsia="仿宋_GB2312"/>
                <w:color w:val="auto"/>
                <w:kern w:val="0"/>
                <w:sz w:val="24"/>
                <w:highlight w:val="none"/>
              </w:rPr>
            </w:pPr>
            <w:r>
              <w:rPr>
                <w:rFonts w:eastAsia="仿宋_GB2312"/>
                <w:color w:val="auto"/>
                <w:kern w:val="0"/>
                <w:sz w:val="24"/>
                <w:highlight w:val="none"/>
              </w:rPr>
              <w:t>甲方名称</w:t>
            </w:r>
            <w:r>
              <w:rPr>
                <w:rFonts w:eastAsia="仿宋_GB2312"/>
                <w:color w:val="auto"/>
                <w:spacing w:val="-20"/>
                <w:kern w:val="0"/>
                <w:sz w:val="24"/>
                <w:highlight w:val="none"/>
              </w:rPr>
              <w:t>（盖章）</w:t>
            </w:r>
            <w:r>
              <w:rPr>
                <w:rFonts w:eastAsia="仿宋_GB2312"/>
                <w:color w:val="auto"/>
                <w:kern w:val="0"/>
                <w:sz w:val="24"/>
                <w:highlight w:val="none"/>
              </w:rPr>
              <w:t>:</w:t>
            </w:r>
          </w:p>
          <w:p w14:paraId="3BE2E996">
            <w:pPr>
              <w:widowControl/>
              <w:autoSpaceDE w:val="0"/>
              <w:autoSpaceDN w:val="0"/>
              <w:snapToGrid w:val="0"/>
              <w:spacing w:line="360" w:lineRule="auto"/>
              <w:ind w:right="-154"/>
              <w:textAlignment w:val="bottom"/>
              <w:rPr>
                <w:rFonts w:eastAsia="仿宋_GB2312"/>
                <w:color w:val="auto"/>
                <w:kern w:val="0"/>
                <w:sz w:val="24"/>
                <w:highlight w:val="none"/>
              </w:rPr>
            </w:pPr>
            <w:r>
              <w:rPr>
                <w:rFonts w:eastAsia="仿宋_GB2312"/>
                <w:color w:val="auto"/>
                <w:kern w:val="0"/>
                <w:sz w:val="24"/>
                <w:highlight w:val="none"/>
              </w:rPr>
              <w:t>地址：</w:t>
            </w:r>
          </w:p>
          <w:p w14:paraId="5337D06E">
            <w:pPr>
              <w:widowControl/>
              <w:autoSpaceDE w:val="0"/>
              <w:autoSpaceDN w:val="0"/>
              <w:snapToGrid w:val="0"/>
              <w:spacing w:line="360" w:lineRule="auto"/>
              <w:ind w:right="-154"/>
              <w:textAlignment w:val="bottom"/>
              <w:rPr>
                <w:rFonts w:eastAsia="仿宋_GB2312"/>
                <w:color w:val="auto"/>
                <w:kern w:val="0"/>
                <w:sz w:val="24"/>
                <w:highlight w:val="none"/>
              </w:rPr>
            </w:pPr>
            <w:r>
              <w:rPr>
                <w:rFonts w:eastAsia="仿宋_GB2312"/>
                <w:color w:val="auto"/>
                <w:kern w:val="0"/>
                <w:sz w:val="24"/>
                <w:highlight w:val="none"/>
              </w:rPr>
              <w:t>代表人（签字）：</w:t>
            </w:r>
          </w:p>
          <w:p w14:paraId="3DD9BB22">
            <w:pPr>
              <w:widowControl/>
              <w:autoSpaceDE w:val="0"/>
              <w:autoSpaceDN w:val="0"/>
              <w:snapToGrid w:val="0"/>
              <w:spacing w:line="360" w:lineRule="auto"/>
              <w:ind w:right="-154"/>
              <w:textAlignment w:val="bottom"/>
              <w:rPr>
                <w:rFonts w:eastAsia="仿宋_GB2312"/>
                <w:color w:val="auto"/>
                <w:kern w:val="0"/>
                <w:sz w:val="24"/>
                <w:highlight w:val="none"/>
              </w:rPr>
            </w:pPr>
            <w:r>
              <w:rPr>
                <w:rFonts w:eastAsia="仿宋_GB2312"/>
                <w:color w:val="auto"/>
                <w:kern w:val="0"/>
                <w:sz w:val="24"/>
                <w:highlight w:val="none"/>
              </w:rPr>
              <w:t>电话：</w:t>
            </w:r>
          </w:p>
          <w:p w14:paraId="4875F114">
            <w:pPr>
              <w:widowControl/>
              <w:autoSpaceDE w:val="0"/>
              <w:autoSpaceDN w:val="0"/>
              <w:snapToGrid w:val="0"/>
              <w:spacing w:line="360" w:lineRule="auto"/>
              <w:ind w:right="-154"/>
              <w:textAlignment w:val="bottom"/>
              <w:rPr>
                <w:rFonts w:eastAsia="仿宋_GB2312"/>
                <w:color w:val="auto"/>
                <w:kern w:val="0"/>
                <w:sz w:val="24"/>
                <w:highlight w:val="none"/>
              </w:rPr>
            </w:pPr>
            <w:r>
              <w:rPr>
                <w:rFonts w:eastAsia="仿宋_GB2312"/>
                <w:color w:val="auto"/>
                <w:kern w:val="0"/>
                <w:sz w:val="24"/>
                <w:highlight w:val="none"/>
              </w:rPr>
              <w:t>开户银行：</w:t>
            </w:r>
          </w:p>
          <w:p w14:paraId="7D02B6D6">
            <w:pPr>
              <w:widowControl/>
              <w:autoSpaceDE w:val="0"/>
              <w:autoSpaceDN w:val="0"/>
              <w:snapToGrid w:val="0"/>
              <w:spacing w:line="360" w:lineRule="auto"/>
              <w:ind w:right="-154"/>
              <w:textAlignment w:val="bottom"/>
              <w:rPr>
                <w:rFonts w:eastAsia="仿宋_GB2312"/>
                <w:color w:val="auto"/>
                <w:kern w:val="0"/>
                <w:sz w:val="24"/>
                <w:highlight w:val="none"/>
              </w:rPr>
            </w:pPr>
            <w:r>
              <w:rPr>
                <w:rFonts w:eastAsia="仿宋_GB2312"/>
                <w:color w:val="auto"/>
                <w:kern w:val="0"/>
                <w:sz w:val="24"/>
                <w:highlight w:val="none"/>
              </w:rPr>
              <w:t>账号：</w:t>
            </w:r>
          </w:p>
        </w:tc>
        <w:tc>
          <w:tcPr>
            <w:tcW w:w="4643" w:type="dxa"/>
            <w:noWrap w:val="0"/>
            <w:vAlign w:val="top"/>
          </w:tcPr>
          <w:p w14:paraId="07C1E402">
            <w:pPr>
              <w:widowControl/>
              <w:autoSpaceDE w:val="0"/>
              <w:autoSpaceDN w:val="0"/>
              <w:snapToGrid w:val="0"/>
              <w:spacing w:line="360" w:lineRule="auto"/>
              <w:ind w:right="-154"/>
              <w:textAlignment w:val="bottom"/>
              <w:rPr>
                <w:rFonts w:eastAsia="仿宋_GB2312"/>
                <w:color w:val="auto"/>
                <w:kern w:val="0"/>
                <w:sz w:val="24"/>
                <w:highlight w:val="none"/>
              </w:rPr>
            </w:pPr>
            <w:r>
              <w:rPr>
                <w:rFonts w:eastAsia="仿宋_GB2312"/>
                <w:color w:val="auto"/>
                <w:kern w:val="0"/>
                <w:sz w:val="24"/>
                <w:highlight w:val="none"/>
              </w:rPr>
              <w:t>乙方名称</w:t>
            </w:r>
            <w:r>
              <w:rPr>
                <w:rFonts w:eastAsia="仿宋_GB2312"/>
                <w:color w:val="auto"/>
                <w:spacing w:val="-20"/>
                <w:kern w:val="0"/>
                <w:sz w:val="24"/>
                <w:highlight w:val="none"/>
              </w:rPr>
              <w:t>（盖章）</w:t>
            </w:r>
            <w:r>
              <w:rPr>
                <w:rFonts w:eastAsia="仿宋_GB2312"/>
                <w:color w:val="auto"/>
                <w:kern w:val="0"/>
                <w:sz w:val="24"/>
                <w:highlight w:val="none"/>
              </w:rPr>
              <w:t>:</w:t>
            </w:r>
          </w:p>
          <w:p w14:paraId="51327D5D">
            <w:pPr>
              <w:widowControl/>
              <w:autoSpaceDE w:val="0"/>
              <w:autoSpaceDN w:val="0"/>
              <w:snapToGrid w:val="0"/>
              <w:spacing w:line="360" w:lineRule="auto"/>
              <w:ind w:right="-154"/>
              <w:textAlignment w:val="bottom"/>
              <w:rPr>
                <w:rFonts w:eastAsia="仿宋_GB2312"/>
                <w:color w:val="auto"/>
                <w:kern w:val="0"/>
                <w:sz w:val="24"/>
                <w:highlight w:val="none"/>
              </w:rPr>
            </w:pPr>
            <w:r>
              <w:rPr>
                <w:rFonts w:eastAsia="仿宋_GB2312"/>
                <w:color w:val="auto"/>
                <w:kern w:val="0"/>
                <w:sz w:val="24"/>
                <w:highlight w:val="none"/>
              </w:rPr>
              <w:t>地址：</w:t>
            </w:r>
          </w:p>
          <w:p w14:paraId="1BDB49F7">
            <w:pPr>
              <w:widowControl/>
              <w:autoSpaceDE w:val="0"/>
              <w:autoSpaceDN w:val="0"/>
              <w:snapToGrid w:val="0"/>
              <w:spacing w:line="360" w:lineRule="auto"/>
              <w:ind w:right="-154"/>
              <w:textAlignment w:val="bottom"/>
              <w:rPr>
                <w:rFonts w:eastAsia="仿宋_GB2312"/>
                <w:color w:val="auto"/>
                <w:kern w:val="0"/>
                <w:sz w:val="24"/>
                <w:highlight w:val="none"/>
              </w:rPr>
            </w:pPr>
            <w:r>
              <w:rPr>
                <w:rFonts w:eastAsia="仿宋_GB2312"/>
                <w:color w:val="auto"/>
                <w:kern w:val="0"/>
                <w:sz w:val="24"/>
                <w:highlight w:val="none"/>
              </w:rPr>
              <w:t>代表人（签字）：</w:t>
            </w:r>
          </w:p>
          <w:p w14:paraId="5226A124">
            <w:pPr>
              <w:widowControl/>
              <w:autoSpaceDE w:val="0"/>
              <w:autoSpaceDN w:val="0"/>
              <w:snapToGrid w:val="0"/>
              <w:spacing w:line="360" w:lineRule="auto"/>
              <w:ind w:right="-154"/>
              <w:textAlignment w:val="bottom"/>
              <w:rPr>
                <w:rFonts w:eastAsia="仿宋_GB2312"/>
                <w:color w:val="auto"/>
                <w:kern w:val="0"/>
                <w:sz w:val="24"/>
                <w:highlight w:val="none"/>
              </w:rPr>
            </w:pPr>
            <w:r>
              <w:rPr>
                <w:rFonts w:eastAsia="仿宋_GB2312"/>
                <w:color w:val="auto"/>
                <w:kern w:val="0"/>
                <w:sz w:val="24"/>
                <w:highlight w:val="none"/>
              </w:rPr>
              <w:t>电话：</w:t>
            </w:r>
          </w:p>
          <w:p w14:paraId="1B01AF1A">
            <w:pPr>
              <w:widowControl/>
              <w:autoSpaceDE w:val="0"/>
              <w:autoSpaceDN w:val="0"/>
              <w:snapToGrid w:val="0"/>
              <w:spacing w:line="360" w:lineRule="auto"/>
              <w:ind w:right="-154"/>
              <w:textAlignment w:val="bottom"/>
              <w:rPr>
                <w:rFonts w:eastAsia="仿宋_GB2312"/>
                <w:color w:val="auto"/>
                <w:kern w:val="0"/>
                <w:sz w:val="24"/>
                <w:highlight w:val="none"/>
              </w:rPr>
            </w:pPr>
            <w:r>
              <w:rPr>
                <w:rFonts w:eastAsia="仿宋_GB2312"/>
                <w:color w:val="auto"/>
                <w:kern w:val="0"/>
                <w:sz w:val="24"/>
                <w:highlight w:val="none"/>
              </w:rPr>
              <w:t>开户银行：</w:t>
            </w:r>
          </w:p>
          <w:p w14:paraId="6F3196F3">
            <w:pPr>
              <w:widowControl/>
              <w:autoSpaceDE w:val="0"/>
              <w:autoSpaceDN w:val="0"/>
              <w:snapToGrid w:val="0"/>
              <w:spacing w:line="360" w:lineRule="auto"/>
              <w:ind w:right="-154"/>
              <w:textAlignment w:val="bottom"/>
              <w:rPr>
                <w:rFonts w:eastAsia="仿宋_GB2312"/>
                <w:color w:val="auto"/>
                <w:kern w:val="0"/>
                <w:sz w:val="24"/>
                <w:highlight w:val="none"/>
              </w:rPr>
            </w:pPr>
            <w:r>
              <w:rPr>
                <w:rFonts w:eastAsia="仿宋_GB2312"/>
                <w:color w:val="auto"/>
                <w:kern w:val="0"/>
                <w:sz w:val="24"/>
                <w:highlight w:val="none"/>
              </w:rPr>
              <w:t>账号：</w:t>
            </w:r>
          </w:p>
        </w:tc>
      </w:tr>
    </w:tbl>
    <w:p w14:paraId="2285CF8F">
      <w:pPr>
        <w:ind w:firstLine="480" w:firstLineChars="200"/>
        <w:rPr>
          <w:rFonts w:eastAsia="仿宋_GB2312"/>
          <w:color w:val="auto"/>
          <w:sz w:val="24"/>
          <w:highlight w:val="none"/>
        </w:rPr>
      </w:pPr>
      <w:r>
        <w:rPr>
          <w:rFonts w:eastAsia="仿宋_GB2312"/>
          <w:color w:val="auto"/>
          <w:sz w:val="24"/>
          <w:highlight w:val="none"/>
        </w:rPr>
        <w:br w:type="page"/>
      </w:r>
    </w:p>
    <w:p w14:paraId="58FBA0C9">
      <w:pPr>
        <w:spacing w:line="360" w:lineRule="auto"/>
        <w:ind w:firstLine="480" w:firstLineChars="200"/>
        <w:rPr>
          <w:rFonts w:eastAsia="仿宋_GB2312"/>
          <w:color w:val="auto"/>
          <w:sz w:val="24"/>
          <w:highlight w:val="none"/>
        </w:rPr>
      </w:pPr>
      <w:r>
        <w:rPr>
          <w:rFonts w:eastAsia="仿宋_GB2312"/>
          <w:color w:val="auto"/>
          <w:sz w:val="24"/>
          <w:highlight w:val="none"/>
        </w:rPr>
        <w:t>合同附件1：</w:t>
      </w:r>
    </w:p>
    <w:tbl>
      <w:tblPr>
        <w:tblStyle w:val="50"/>
        <w:tblW w:w="5000" w:type="pct"/>
        <w:tblInd w:w="0" w:type="dxa"/>
        <w:tblLayout w:type="autofit"/>
        <w:tblCellMar>
          <w:top w:w="0" w:type="dxa"/>
          <w:left w:w="108" w:type="dxa"/>
          <w:bottom w:w="0" w:type="dxa"/>
          <w:right w:w="108" w:type="dxa"/>
        </w:tblCellMar>
      </w:tblPr>
      <w:tblGrid>
        <w:gridCol w:w="1712"/>
        <w:gridCol w:w="2505"/>
        <w:gridCol w:w="2751"/>
        <w:gridCol w:w="2318"/>
      </w:tblGrid>
      <w:tr w14:paraId="1470D414">
        <w:tblPrEx>
          <w:tblCellMar>
            <w:top w:w="0" w:type="dxa"/>
            <w:left w:w="108" w:type="dxa"/>
            <w:bottom w:w="0" w:type="dxa"/>
            <w:right w:w="108" w:type="dxa"/>
          </w:tblCellMar>
        </w:tblPrEx>
        <w:trPr>
          <w:trHeight w:val="900" w:hRule="atLeast"/>
        </w:trPr>
        <w:tc>
          <w:tcPr>
            <w:tcW w:w="5000" w:type="pct"/>
            <w:gridSpan w:val="4"/>
            <w:tcBorders>
              <w:top w:val="nil"/>
              <w:left w:val="nil"/>
              <w:bottom w:val="nil"/>
              <w:right w:val="nil"/>
            </w:tcBorders>
            <w:noWrap/>
            <w:vAlign w:val="center"/>
          </w:tcPr>
          <w:p w14:paraId="461CC74D">
            <w:pPr>
              <w:widowControl/>
              <w:jc w:val="center"/>
              <w:rPr>
                <w:rFonts w:eastAsia="仿宋_GB2312"/>
                <w:b/>
                <w:bCs/>
                <w:color w:val="auto"/>
                <w:kern w:val="0"/>
                <w:sz w:val="32"/>
                <w:szCs w:val="32"/>
                <w:highlight w:val="none"/>
              </w:rPr>
            </w:pPr>
            <w:r>
              <w:rPr>
                <w:rFonts w:eastAsia="仿宋_GB2312"/>
                <w:b/>
                <w:bCs/>
                <w:color w:val="auto"/>
                <w:kern w:val="0"/>
                <w:sz w:val="32"/>
                <w:szCs w:val="32"/>
                <w:highlight w:val="none"/>
              </w:rPr>
              <w:t>政府采购项目货物（服务）验收入库报告单</w:t>
            </w:r>
          </w:p>
        </w:tc>
      </w:tr>
      <w:tr w14:paraId="23ECAA01">
        <w:tblPrEx>
          <w:tblCellMar>
            <w:top w:w="0" w:type="dxa"/>
            <w:left w:w="108" w:type="dxa"/>
            <w:bottom w:w="0" w:type="dxa"/>
            <w:right w:w="108" w:type="dxa"/>
          </w:tblCellMar>
        </w:tblPrEx>
        <w:trPr>
          <w:trHeight w:val="540" w:hRule="atLeast"/>
        </w:trPr>
        <w:tc>
          <w:tcPr>
            <w:tcW w:w="922" w:type="pct"/>
            <w:tcBorders>
              <w:top w:val="single" w:color="auto" w:sz="8" w:space="0"/>
              <w:left w:val="single" w:color="auto" w:sz="8" w:space="0"/>
              <w:bottom w:val="single" w:color="auto" w:sz="4" w:space="0"/>
              <w:right w:val="single" w:color="auto" w:sz="4" w:space="0"/>
            </w:tcBorders>
            <w:noWrap/>
            <w:vAlign w:val="center"/>
          </w:tcPr>
          <w:p w14:paraId="10557D4E">
            <w:pPr>
              <w:widowControl/>
              <w:jc w:val="center"/>
              <w:rPr>
                <w:rFonts w:eastAsia="仿宋_GB2312"/>
                <w:b/>
                <w:bCs/>
                <w:color w:val="auto"/>
                <w:kern w:val="0"/>
                <w:sz w:val="24"/>
                <w:highlight w:val="none"/>
              </w:rPr>
            </w:pPr>
            <w:r>
              <w:rPr>
                <w:rFonts w:eastAsia="仿宋_GB2312"/>
                <w:b/>
                <w:bCs/>
                <w:color w:val="auto"/>
                <w:kern w:val="0"/>
                <w:sz w:val="24"/>
                <w:highlight w:val="none"/>
              </w:rPr>
              <w:t>采购单位</w:t>
            </w:r>
          </w:p>
        </w:tc>
        <w:tc>
          <w:tcPr>
            <w:tcW w:w="4078" w:type="pct"/>
            <w:gridSpan w:val="3"/>
            <w:tcBorders>
              <w:top w:val="single" w:color="auto" w:sz="8" w:space="0"/>
              <w:left w:val="nil"/>
              <w:bottom w:val="single" w:color="auto" w:sz="4" w:space="0"/>
              <w:right w:val="single" w:color="000000" w:sz="8" w:space="0"/>
            </w:tcBorders>
            <w:noWrap/>
            <w:vAlign w:val="center"/>
          </w:tcPr>
          <w:p w14:paraId="7D8C794A">
            <w:pPr>
              <w:widowControl/>
              <w:jc w:val="center"/>
              <w:rPr>
                <w:rFonts w:eastAsia="仿宋_GB2312"/>
                <w:color w:val="auto"/>
                <w:kern w:val="0"/>
                <w:sz w:val="24"/>
                <w:highlight w:val="none"/>
              </w:rPr>
            </w:pPr>
            <w:r>
              <w:rPr>
                <w:rFonts w:eastAsia="仿宋_GB2312"/>
                <w:color w:val="auto"/>
                <w:kern w:val="0"/>
                <w:sz w:val="24"/>
                <w:highlight w:val="none"/>
              </w:rPr>
              <w:t>　</w:t>
            </w:r>
          </w:p>
        </w:tc>
      </w:tr>
      <w:tr w14:paraId="792F348C">
        <w:tblPrEx>
          <w:tblCellMar>
            <w:top w:w="0" w:type="dxa"/>
            <w:left w:w="108" w:type="dxa"/>
            <w:bottom w:w="0" w:type="dxa"/>
            <w:right w:w="108" w:type="dxa"/>
          </w:tblCellMar>
        </w:tblPrEx>
        <w:trPr>
          <w:trHeight w:val="540" w:hRule="atLeast"/>
        </w:trPr>
        <w:tc>
          <w:tcPr>
            <w:tcW w:w="922" w:type="pct"/>
            <w:tcBorders>
              <w:top w:val="nil"/>
              <w:left w:val="single" w:color="auto" w:sz="8" w:space="0"/>
              <w:bottom w:val="single" w:color="auto" w:sz="4" w:space="0"/>
              <w:right w:val="single" w:color="auto" w:sz="4" w:space="0"/>
            </w:tcBorders>
            <w:noWrap/>
            <w:vAlign w:val="center"/>
          </w:tcPr>
          <w:p w14:paraId="49D09397">
            <w:pPr>
              <w:widowControl/>
              <w:jc w:val="center"/>
              <w:rPr>
                <w:rFonts w:eastAsia="仿宋_GB2312"/>
                <w:b/>
                <w:bCs/>
                <w:color w:val="auto"/>
                <w:kern w:val="0"/>
                <w:sz w:val="24"/>
                <w:highlight w:val="none"/>
              </w:rPr>
            </w:pPr>
            <w:r>
              <w:rPr>
                <w:rFonts w:eastAsia="仿宋_GB2312"/>
                <w:b/>
                <w:bCs/>
                <w:color w:val="auto"/>
                <w:kern w:val="0"/>
                <w:sz w:val="24"/>
                <w:highlight w:val="none"/>
              </w:rPr>
              <w:t>采购项目</w:t>
            </w:r>
          </w:p>
        </w:tc>
        <w:tc>
          <w:tcPr>
            <w:tcW w:w="4078" w:type="pct"/>
            <w:gridSpan w:val="3"/>
            <w:tcBorders>
              <w:top w:val="single" w:color="auto" w:sz="4" w:space="0"/>
              <w:left w:val="nil"/>
              <w:bottom w:val="single" w:color="auto" w:sz="4" w:space="0"/>
              <w:right w:val="single" w:color="000000" w:sz="8" w:space="0"/>
            </w:tcBorders>
            <w:noWrap/>
            <w:vAlign w:val="center"/>
          </w:tcPr>
          <w:p w14:paraId="6F86A0D2">
            <w:pPr>
              <w:widowControl/>
              <w:jc w:val="center"/>
              <w:rPr>
                <w:rFonts w:eastAsia="仿宋_GB2312"/>
                <w:color w:val="auto"/>
                <w:kern w:val="0"/>
                <w:sz w:val="24"/>
                <w:highlight w:val="none"/>
              </w:rPr>
            </w:pPr>
            <w:r>
              <w:rPr>
                <w:rFonts w:eastAsia="仿宋_GB2312"/>
                <w:color w:val="auto"/>
                <w:kern w:val="0"/>
                <w:sz w:val="24"/>
                <w:highlight w:val="none"/>
              </w:rPr>
              <w:t>　</w:t>
            </w:r>
          </w:p>
        </w:tc>
      </w:tr>
      <w:tr w14:paraId="40FE11A3">
        <w:tblPrEx>
          <w:tblCellMar>
            <w:top w:w="0" w:type="dxa"/>
            <w:left w:w="108" w:type="dxa"/>
            <w:bottom w:w="0" w:type="dxa"/>
            <w:right w:w="108" w:type="dxa"/>
          </w:tblCellMar>
        </w:tblPrEx>
        <w:trPr>
          <w:trHeight w:val="540" w:hRule="atLeast"/>
        </w:trPr>
        <w:tc>
          <w:tcPr>
            <w:tcW w:w="922" w:type="pct"/>
            <w:vMerge w:val="restart"/>
            <w:tcBorders>
              <w:top w:val="nil"/>
              <w:left w:val="single" w:color="auto" w:sz="8" w:space="0"/>
              <w:bottom w:val="single" w:color="auto" w:sz="4" w:space="0"/>
              <w:right w:val="single" w:color="auto" w:sz="4" w:space="0"/>
            </w:tcBorders>
            <w:noWrap/>
            <w:vAlign w:val="center"/>
          </w:tcPr>
          <w:p w14:paraId="65BEA376">
            <w:pPr>
              <w:widowControl/>
              <w:jc w:val="center"/>
              <w:rPr>
                <w:rFonts w:eastAsia="仿宋_GB2312"/>
                <w:b/>
                <w:bCs/>
                <w:color w:val="auto"/>
                <w:kern w:val="0"/>
                <w:sz w:val="24"/>
                <w:highlight w:val="none"/>
              </w:rPr>
            </w:pPr>
            <w:r>
              <w:rPr>
                <w:rFonts w:eastAsia="仿宋_GB2312"/>
                <w:b/>
                <w:bCs/>
                <w:color w:val="auto"/>
                <w:kern w:val="0"/>
                <w:sz w:val="24"/>
                <w:highlight w:val="none"/>
              </w:rPr>
              <w:t>项目编号</w:t>
            </w:r>
          </w:p>
        </w:tc>
        <w:tc>
          <w:tcPr>
            <w:tcW w:w="1349" w:type="pct"/>
            <w:vMerge w:val="restart"/>
            <w:tcBorders>
              <w:top w:val="nil"/>
              <w:left w:val="single" w:color="auto" w:sz="4" w:space="0"/>
              <w:bottom w:val="single" w:color="auto" w:sz="4" w:space="0"/>
              <w:right w:val="single" w:color="auto" w:sz="4" w:space="0"/>
            </w:tcBorders>
            <w:noWrap/>
            <w:vAlign w:val="center"/>
          </w:tcPr>
          <w:p w14:paraId="04243E4E">
            <w:pPr>
              <w:widowControl/>
              <w:jc w:val="center"/>
              <w:rPr>
                <w:rFonts w:eastAsia="仿宋_GB2312"/>
                <w:color w:val="auto"/>
                <w:kern w:val="0"/>
                <w:sz w:val="24"/>
                <w:highlight w:val="none"/>
              </w:rPr>
            </w:pPr>
            <w:r>
              <w:rPr>
                <w:rFonts w:eastAsia="仿宋_GB2312"/>
                <w:color w:val="auto"/>
                <w:kern w:val="0"/>
                <w:sz w:val="24"/>
                <w:highlight w:val="none"/>
              </w:rPr>
              <w:t>　</w:t>
            </w:r>
          </w:p>
        </w:tc>
        <w:tc>
          <w:tcPr>
            <w:tcW w:w="1481" w:type="pct"/>
            <w:tcBorders>
              <w:top w:val="nil"/>
              <w:left w:val="nil"/>
              <w:bottom w:val="single" w:color="auto" w:sz="4" w:space="0"/>
              <w:right w:val="single" w:color="auto" w:sz="4" w:space="0"/>
            </w:tcBorders>
            <w:noWrap/>
            <w:vAlign w:val="center"/>
          </w:tcPr>
          <w:p w14:paraId="4A04EBED">
            <w:pPr>
              <w:widowControl/>
              <w:jc w:val="center"/>
              <w:rPr>
                <w:rFonts w:eastAsia="仿宋_GB2312"/>
                <w:b/>
                <w:bCs/>
                <w:color w:val="auto"/>
                <w:kern w:val="0"/>
                <w:sz w:val="24"/>
                <w:highlight w:val="none"/>
              </w:rPr>
            </w:pPr>
            <w:r>
              <w:rPr>
                <w:rFonts w:eastAsia="仿宋_GB2312"/>
                <w:b/>
                <w:bCs/>
                <w:color w:val="auto"/>
                <w:kern w:val="0"/>
                <w:sz w:val="24"/>
                <w:highlight w:val="none"/>
              </w:rPr>
              <w:t>合同金额</w:t>
            </w:r>
          </w:p>
        </w:tc>
        <w:tc>
          <w:tcPr>
            <w:tcW w:w="1248" w:type="pct"/>
            <w:tcBorders>
              <w:top w:val="nil"/>
              <w:left w:val="nil"/>
              <w:bottom w:val="single" w:color="auto" w:sz="4" w:space="0"/>
              <w:right w:val="single" w:color="auto" w:sz="8" w:space="0"/>
            </w:tcBorders>
            <w:noWrap/>
            <w:vAlign w:val="center"/>
          </w:tcPr>
          <w:p w14:paraId="439C1975">
            <w:pPr>
              <w:widowControl/>
              <w:jc w:val="left"/>
              <w:rPr>
                <w:rFonts w:eastAsia="仿宋_GB2312"/>
                <w:b/>
                <w:bCs/>
                <w:color w:val="auto"/>
                <w:kern w:val="0"/>
                <w:sz w:val="24"/>
                <w:highlight w:val="none"/>
              </w:rPr>
            </w:pPr>
            <w:r>
              <w:rPr>
                <w:rFonts w:eastAsia="仿宋_GB2312"/>
                <w:b/>
                <w:bCs/>
                <w:color w:val="auto"/>
                <w:kern w:val="0"/>
                <w:sz w:val="24"/>
                <w:highlight w:val="none"/>
              </w:rPr>
              <w:t>¥:</w:t>
            </w:r>
          </w:p>
        </w:tc>
      </w:tr>
      <w:tr w14:paraId="63A8B7DE">
        <w:tblPrEx>
          <w:tblCellMar>
            <w:top w:w="0" w:type="dxa"/>
            <w:left w:w="108" w:type="dxa"/>
            <w:bottom w:w="0" w:type="dxa"/>
            <w:right w:w="108" w:type="dxa"/>
          </w:tblCellMar>
        </w:tblPrEx>
        <w:trPr>
          <w:trHeight w:val="540" w:hRule="atLeast"/>
        </w:trPr>
        <w:tc>
          <w:tcPr>
            <w:tcW w:w="922" w:type="pct"/>
            <w:vMerge w:val="continue"/>
            <w:tcBorders>
              <w:top w:val="nil"/>
              <w:left w:val="single" w:color="auto" w:sz="8" w:space="0"/>
              <w:bottom w:val="single" w:color="auto" w:sz="4" w:space="0"/>
              <w:right w:val="single" w:color="auto" w:sz="4" w:space="0"/>
            </w:tcBorders>
            <w:vAlign w:val="center"/>
          </w:tcPr>
          <w:p w14:paraId="6D2376EE">
            <w:pPr>
              <w:widowControl/>
              <w:jc w:val="left"/>
              <w:rPr>
                <w:rFonts w:eastAsia="仿宋_GB2312"/>
                <w:b/>
                <w:bCs/>
                <w:color w:val="auto"/>
                <w:kern w:val="0"/>
                <w:sz w:val="24"/>
                <w:highlight w:val="none"/>
              </w:rPr>
            </w:pPr>
          </w:p>
        </w:tc>
        <w:tc>
          <w:tcPr>
            <w:tcW w:w="1349" w:type="pct"/>
            <w:vMerge w:val="continue"/>
            <w:tcBorders>
              <w:top w:val="nil"/>
              <w:left w:val="single" w:color="auto" w:sz="4" w:space="0"/>
              <w:bottom w:val="single" w:color="auto" w:sz="4" w:space="0"/>
              <w:right w:val="single" w:color="auto" w:sz="4" w:space="0"/>
            </w:tcBorders>
            <w:vAlign w:val="center"/>
          </w:tcPr>
          <w:p w14:paraId="3C565F44">
            <w:pPr>
              <w:widowControl/>
              <w:jc w:val="left"/>
              <w:rPr>
                <w:rFonts w:eastAsia="仿宋_GB2312"/>
                <w:color w:val="auto"/>
                <w:kern w:val="0"/>
                <w:sz w:val="24"/>
                <w:highlight w:val="none"/>
              </w:rPr>
            </w:pPr>
          </w:p>
        </w:tc>
        <w:tc>
          <w:tcPr>
            <w:tcW w:w="1481" w:type="pct"/>
            <w:tcBorders>
              <w:top w:val="nil"/>
              <w:left w:val="nil"/>
              <w:bottom w:val="single" w:color="auto" w:sz="4" w:space="0"/>
              <w:right w:val="single" w:color="auto" w:sz="4" w:space="0"/>
            </w:tcBorders>
            <w:noWrap/>
            <w:vAlign w:val="center"/>
          </w:tcPr>
          <w:p w14:paraId="5BEEFD7E">
            <w:pPr>
              <w:widowControl/>
              <w:jc w:val="center"/>
              <w:rPr>
                <w:rFonts w:eastAsia="仿宋_GB2312"/>
                <w:b/>
                <w:bCs/>
                <w:color w:val="auto"/>
                <w:kern w:val="0"/>
                <w:sz w:val="24"/>
                <w:highlight w:val="none"/>
              </w:rPr>
            </w:pPr>
            <w:r>
              <w:rPr>
                <w:rFonts w:eastAsia="仿宋_GB2312"/>
                <w:b/>
                <w:bCs/>
                <w:color w:val="auto"/>
                <w:kern w:val="0"/>
                <w:sz w:val="24"/>
                <w:highlight w:val="none"/>
              </w:rPr>
              <w:t>验收时间/地点</w:t>
            </w:r>
          </w:p>
        </w:tc>
        <w:tc>
          <w:tcPr>
            <w:tcW w:w="1248" w:type="pct"/>
            <w:tcBorders>
              <w:top w:val="nil"/>
              <w:left w:val="nil"/>
              <w:bottom w:val="single" w:color="auto" w:sz="4" w:space="0"/>
              <w:right w:val="single" w:color="auto" w:sz="8" w:space="0"/>
            </w:tcBorders>
            <w:noWrap/>
            <w:vAlign w:val="center"/>
          </w:tcPr>
          <w:p w14:paraId="7C689229">
            <w:pPr>
              <w:widowControl/>
              <w:jc w:val="center"/>
              <w:rPr>
                <w:rFonts w:eastAsia="仿宋_GB2312"/>
                <w:color w:val="auto"/>
                <w:kern w:val="0"/>
                <w:sz w:val="24"/>
                <w:highlight w:val="none"/>
              </w:rPr>
            </w:pPr>
            <w:r>
              <w:rPr>
                <w:rFonts w:eastAsia="仿宋_GB2312"/>
                <w:color w:val="auto"/>
                <w:kern w:val="0"/>
                <w:sz w:val="24"/>
                <w:highlight w:val="none"/>
              </w:rPr>
              <w:t>　</w:t>
            </w:r>
          </w:p>
        </w:tc>
      </w:tr>
      <w:tr w14:paraId="5EC4A67F">
        <w:tblPrEx>
          <w:tblCellMar>
            <w:top w:w="0" w:type="dxa"/>
            <w:left w:w="108" w:type="dxa"/>
            <w:bottom w:w="0" w:type="dxa"/>
            <w:right w:w="108" w:type="dxa"/>
          </w:tblCellMar>
        </w:tblPrEx>
        <w:trPr>
          <w:trHeight w:val="471" w:hRule="atLeast"/>
        </w:trPr>
        <w:tc>
          <w:tcPr>
            <w:tcW w:w="922" w:type="pct"/>
            <w:tcBorders>
              <w:top w:val="nil"/>
              <w:left w:val="single" w:color="auto" w:sz="8" w:space="0"/>
              <w:bottom w:val="single" w:color="auto" w:sz="4" w:space="0"/>
              <w:right w:val="single" w:color="auto" w:sz="4" w:space="0"/>
            </w:tcBorders>
            <w:noWrap/>
            <w:vAlign w:val="center"/>
          </w:tcPr>
          <w:p w14:paraId="6C98D410">
            <w:pPr>
              <w:widowControl/>
              <w:jc w:val="center"/>
              <w:rPr>
                <w:rFonts w:eastAsia="仿宋_GB2312"/>
                <w:b/>
                <w:bCs/>
                <w:color w:val="auto"/>
                <w:kern w:val="0"/>
                <w:sz w:val="24"/>
                <w:highlight w:val="none"/>
              </w:rPr>
            </w:pPr>
            <w:r>
              <w:rPr>
                <w:rFonts w:eastAsia="仿宋_GB2312"/>
                <w:b/>
                <w:bCs/>
                <w:color w:val="auto"/>
                <w:kern w:val="0"/>
                <w:sz w:val="24"/>
                <w:highlight w:val="none"/>
              </w:rPr>
              <w:t>供货单位</w:t>
            </w:r>
          </w:p>
        </w:tc>
        <w:tc>
          <w:tcPr>
            <w:tcW w:w="4078" w:type="pct"/>
            <w:gridSpan w:val="3"/>
            <w:tcBorders>
              <w:top w:val="single" w:color="auto" w:sz="4" w:space="0"/>
              <w:left w:val="nil"/>
              <w:bottom w:val="single" w:color="auto" w:sz="4" w:space="0"/>
              <w:right w:val="single" w:color="000000" w:sz="8" w:space="0"/>
            </w:tcBorders>
            <w:noWrap/>
            <w:vAlign w:val="center"/>
          </w:tcPr>
          <w:p w14:paraId="1AE4260D">
            <w:pPr>
              <w:widowControl/>
              <w:jc w:val="center"/>
              <w:rPr>
                <w:rFonts w:eastAsia="仿宋_GB2312"/>
                <w:color w:val="auto"/>
                <w:kern w:val="0"/>
                <w:sz w:val="24"/>
                <w:highlight w:val="none"/>
              </w:rPr>
            </w:pPr>
            <w:r>
              <w:rPr>
                <w:rFonts w:eastAsia="仿宋_GB2312"/>
                <w:color w:val="auto"/>
                <w:kern w:val="0"/>
                <w:sz w:val="24"/>
                <w:highlight w:val="none"/>
              </w:rPr>
              <w:t>　</w:t>
            </w:r>
          </w:p>
        </w:tc>
      </w:tr>
      <w:tr w14:paraId="2AA01168">
        <w:tblPrEx>
          <w:tblCellMar>
            <w:top w:w="0" w:type="dxa"/>
            <w:left w:w="108" w:type="dxa"/>
            <w:bottom w:w="0" w:type="dxa"/>
            <w:right w:w="108" w:type="dxa"/>
          </w:tblCellMar>
        </w:tblPrEx>
        <w:trPr>
          <w:trHeight w:val="540" w:hRule="atLeast"/>
        </w:trPr>
        <w:tc>
          <w:tcPr>
            <w:tcW w:w="922" w:type="pct"/>
            <w:tcBorders>
              <w:top w:val="nil"/>
              <w:left w:val="single" w:color="auto" w:sz="8" w:space="0"/>
              <w:bottom w:val="single" w:color="auto" w:sz="4" w:space="0"/>
              <w:right w:val="single" w:color="auto" w:sz="4" w:space="0"/>
            </w:tcBorders>
            <w:noWrap/>
            <w:vAlign w:val="center"/>
          </w:tcPr>
          <w:p w14:paraId="408927BE">
            <w:pPr>
              <w:widowControl/>
              <w:jc w:val="center"/>
              <w:rPr>
                <w:rFonts w:eastAsia="仿宋_GB2312"/>
                <w:b/>
                <w:bCs/>
                <w:color w:val="auto"/>
                <w:kern w:val="0"/>
                <w:sz w:val="24"/>
                <w:highlight w:val="none"/>
              </w:rPr>
            </w:pPr>
            <w:r>
              <w:rPr>
                <w:rFonts w:eastAsia="仿宋_GB2312"/>
                <w:b/>
                <w:bCs/>
                <w:color w:val="auto"/>
                <w:kern w:val="0"/>
                <w:sz w:val="24"/>
                <w:highlight w:val="none"/>
              </w:rPr>
              <w:t>开户行</w:t>
            </w:r>
          </w:p>
        </w:tc>
        <w:tc>
          <w:tcPr>
            <w:tcW w:w="1349" w:type="pct"/>
            <w:tcBorders>
              <w:top w:val="nil"/>
              <w:left w:val="nil"/>
              <w:bottom w:val="single" w:color="auto" w:sz="4" w:space="0"/>
              <w:right w:val="single" w:color="auto" w:sz="4" w:space="0"/>
            </w:tcBorders>
            <w:noWrap/>
            <w:vAlign w:val="center"/>
          </w:tcPr>
          <w:p w14:paraId="3B334389">
            <w:pPr>
              <w:widowControl/>
              <w:jc w:val="center"/>
              <w:rPr>
                <w:rFonts w:eastAsia="仿宋_GB2312"/>
                <w:color w:val="auto"/>
                <w:kern w:val="0"/>
                <w:sz w:val="24"/>
                <w:highlight w:val="none"/>
              </w:rPr>
            </w:pPr>
            <w:r>
              <w:rPr>
                <w:rFonts w:eastAsia="仿宋_GB2312"/>
                <w:color w:val="auto"/>
                <w:kern w:val="0"/>
                <w:sz w:val="24"/>
                <w:highlight w:val="none"/>
              </w:rPr>
              <w:t>　</w:t>
            </w:r>
          </w:p>
        </w:tc>
        <w:tc>
          <w:tcPr>
            <w:tcW w:w="1481" w:type="pct"/>
            <w:tcBorders>
              <w:top w:val="nil"/>
              <w:left w:val="nil"/>
              <w:bottom w:val="single" w:color="auto" w:sz="4" w:space="0"/>
              <w:right w:val="single" w:color="auto" w:sz="4" w:space="0"/>
            </w:tcBorders>
            <w:noWrap/>
            <w:vAlign w:val="center"/>
          </w:tcPr>
          <w:p w14:paraId="1440F111">
            <w:pPr>
              <w:widowControl/>
              <w:jc w:val="center"/>
              <w:rPr>
                <w:rFonts w:eastAsia="仿宋_GB2312"/>
                <w:b/>
                <w:bCs/>
                <w:color w:val="auto"/>
                <w:kern w:val="0"/>
                <w:sz w:val="24"/>
                <w:highlight w:val="none"/>
              </w:rPr>
            </w:pPr>
            <w:r>
              <w:rPr>
                <w:rFonts w:eastAsia="仿宋_GB2312"/>
                <w:b/>
                <w:bCs/>
                <w:color w:val="auto"/>
                <w:kern w:val="0"/>
                <w:sz w:val="24"/>
                <w:highlight w:val="none"/>
              </w:rPr>
              <w:t>账号</w:t>
            </w:r>
          </w:p>
        </w:tc>
        <w:tc>
          <w:tcPr>
            <w:tcW w:w="1248" w:type="pct"/>
            <w:tcBorders>
              <w:top w:val="nil"/>
              <w:left w:val="nil"/>
              <w:bottom w:val="single" w:color="auto" w:sz="4" w:space="0"/>
              <w:right w:val="single" w:color="auto" w:sz="8" w:space="0"/>
            </w:tcBorders>
            <w:noWrap/>
            <w:vAlign w:val="center"/>
          </w:tcPr>
          <w:p w14:paraId="37A46562">
            <w:pPr>
              <w:widowControl/>
              <w:jc w:val="center"/>
              <w:rPr>
                <w:rFonts w:eastAsia="仿宋_GB2312"/>
                <w:color w:val="auto"/>
                <w:kern w:val="0"/>
                <w:sz w:val="24"/>
                <w:highlight w:val="none"/>
              </w:rPr>
            </w:pPr>
            <w:r>
              <w:rPr>
                <w:rFonts w:eastAsia="仿宋_GB2312"/>
                <w:color w:val="auto"/>
                <w:kern w:val="0"/>
                <w:sz w:val="24"/>
                <w:highlight w:val="none"/>
              </w:rPr>
              <w:t>　</w:t>
            </w:r>
          </w:p>
        </w:tc>
      </w:tr>
      <w:tr w14:paraId="1DF0A47A">
        <w:tblPrEx>
          <w:tblCellMar>
            <w:top w:w="0" w:type="dxa"/>
            <w:left w:w="108" w:type="dxa"/>
            <w:bottom w:w="0" w:type="dxa"/>
            <w:right w:w="108" w:type="dxa"/>
          </w:tblCellMar>
        </w:tblPrEx>
        <w:trPr>
          <w:trHeight w:val="540" w:hRule="atLeast"/>
        </w:trPr>
        <w:tc>
          <w:tcPr>
            <w:tcW w:w="922" w:type="pct"/>
            <w:tcBorders>
              <w:top w:val="nil"/>
              <w:left w:val="single" w:color="auto" w:sz="8" w:space="0"/>
              <w:bottom w:val="nil"/>
              <w:right w:val="single" w:color="auto" w:sz="4" w:space="0"/>
            </w:tcBorders>
            <w:noWrap/>
            <w:vAlign w:val="center"/>
          </w:tcPr>
          <w:p w14:paraId="65D6A55F">
            <w:pPr>
              <w:widowControl/>
              <w:jc w:val="center"/>
              <w:rPr>
                <w:rFonts w:eastAsia="仿宋_GB2312"/>
                <w:b/>
                <w:bCs/>
                <w:color w:val="auto"/>
                <w:kern w:val="0"/>
                <w:sz w:val="24"/>
                <w:highlight w:val="none"/>
              </w:rPr>
            </w:pPr>
            <w:r>
              <w:rPr>
                <w:rFonts w:eastAsia="仿宋_GB2312"/>
                <w:b/>
                <w:bCs/>
                <w:color w:val="auto"/>
                <w:kern w:val="0"/>
                <w:sz w:val="24"/>
                <w:highlight w:val="none"/>
              </w:rPr>
              <w:t>联系人</w:t>
            </w:r>
          </w:p>
        </w:tc>
        <w:tc>
          <w:tcPr>
            <w:tcW w:w="1349" w:type="pct"/>
            <w:tcBorders>
              <w:top w:val="nil"/>
              <w:left w:val="nil"/>
              <w:bottom w:val="nil"/>
              <w:right w:val="single" w:color="auto" w:sz="4" w:space="0"/>
            </w:tcBorders>
            <w:noWrap/>
            <w:vAlign w:val="center"/>
          </w:tcPr>
          <w:p w14:paraId="1CC445B2">
            <w:pPr>
              <w:widowControl/>
              <w:jc w:val="center"/>
              <w:rPr>
                <w:rFonts w:eastAsia="仿宋_GB2312"/>
                <w:color w:val="auto"/>
                <w:kern w:val="0"/>
                <w:sz w:val="24"/>
                <w:highlight w:val="none"/>
              </w:rPr>
            </w:pPr>
            <w:r>
              <w:rPr>
                <w:rFonts w:eastAsia="仿宋_GB2312"/>
                <w:color w:val="auto"/>
                <w:kern w:val="0"/>
                <w:sz w:val="24"/>
                <w:highlight w:val="none"/>
              </w:rPr>
              <w:t>　</w:t>
            </w:r>
          </w:p>
        </w:tc>
        <w:tc>
          <w:tcPr>
            <w:tcW w:w="1481" w:type="pct"/>
            <w:tcBorders>
              <w:top w:val="nil"/>
              <w:left w:val="nil"/>
              <w:bottom w:val="nil"/>
              <w:right w:val="single" w:color="auto" w:sz="4" w:space="0"/>
            </w:tcBorders>
            <w:noWrap/>
            <w:vAlign w:val="center"/>
          </w:tcPr>
          <w:p w14:paraId="725C56A2">
            <w:pPr>
              <w:widowControl/>
              <w:jc w:val="center"/>
              <w:rPr>
                <w:rFonts w:eastAsia="仿宋_GB2312"/>
                <w:b/>
                <w:bCs/>
                <w:color w:val="auto"/>
                <w:kern w:val="0"/>
                <w:sz w:val="24"/>
                <w:highlight w:val="none"/>
              </w:rPr>
            </w:pPr>
            <w:r>
              <w:rPr>
                <w:rFonts w:eastAsia="仿宋_GB2312"/>
                <w:b/>
                <w:bCs/>
                <w:color w:val="auto"/>
                <w:kern w:val="0"/>
                <w:sz w:val="24"/>
                <w:highlight w:val="none"/>
              </w:rPr>
              <w:t>电话</w:t>
            </w:r>
          </w:p>
        </w:tc>
        <w:tc>
          <w:tcPr>
            <w:tcW w:w="1248" w:type="pct"/>
            <w:tcBorders>
              <w:top w:val="nil"/>
              <w:left w:val="nil"/>
              <w:bottom w:val="nil"/>
              <w:right w:val="single" w:color="auto" w:sz="8" w:space="0"/>
            </w:tcBorders>
            <w:noWrap/>
            <w:vAlign w:val="center"/>
          </w:tcPr>
          <w:p w14:paraId="51DD0D11">
            <w:pPr>
              <w:widowControl/>
              <w:jc w:val="center"/>
              <w:rPr>
                <w:rFonts w:eastAsia="仿宋_GB2312"/>
                <w:color w:val="auto"/>
                <w:kern w:val="0"/>
                <w:sz w:val="24"/>
                <w:highlight w:val="none"/>
              </w:rPr>
            </w:pPr>
            <w:r>
              <w:rPr>
                <w:rFonts w:eastAsia="仿宋_GB2312"/>
                <w:color w:val="auto"/>
                <w:kern w:val="0"/>
                <w:sz w:val="24"/>
                <w:highlight w:val="none"/>
              </w:rPr>
              <w:t>　</w:t>
            </w:r>
          </w:p>
        </w:tc>
      </w:tr>
      <w:tr w14:paraId="3A995B35">
        <w:tblPrEx>
          <w:tblCellMar>
            <w:top w:w="0" w:type="dxa"/>
            <w:left w:w="108" w:type="dxa"/>
            <w:bottom w:w="0" w:type="dxa"/>
            <w:right w:w="108" w:type="dxa"/>
          </w:tblCellMar>
        </w:tblPrEx>
        <w:trPr>
          <w:trHeight w:val="880" w:hRule="atLeast"/>
        </w:trPr>
        <w:tc>
          <w:tcPr>
            <w:tcW w:w="2271" w:type="pct"/>
            <w:gridSpan w:val="2"/>
            <w:tcBorders>
              <w:top w:val="single" w:color="auto" w:sz="4" w:space="0"/>
              <w:left w:val="single" w:color="auto" w:sz="8" w:space="0"/>
              <w:bottom w:val="nil"/>
              <w:right w:val="nil"/>
            </w:tcBorders>
          </w:tcPr>
          <w:p w14:paraId="576A5E2E">
            <w:pPr>
              <w:widowControl/>
              <w:jc w:val="left"/>
              <w:rPr>
                <w:rFonts w:eastAsia="仿宋_GB2312"/>
                <w:b/>
                <w:bCs/>
                <w:color w:val="auto"/>
                <w:kern w:val="0"/>
                <w:sz w:val="24"/>
                <w:highlight w:val="none"/>
              </w:rPr>
            </w:pPr>
            <w:r>
              <w:rPr>
                <w:rFonts w:eastAsia="仿宋_GB2312"/>
                <w:b/>
                <w:bCs/>
                <w:color w:val="auto"/>
                <w:kern w:val="0"/>
                <w:sz w:val="24"/>
                <w:highlight w:val="none"/>
              </w:rPr>
              <w:t xml:space="preserve">  供货单位：（盖章）</w:t>
            </w:r>
          </w:p>
        </w:tc>
        <w:tc>
          <w:tcPr>
            <w:tcW w:w="2729" w:type="pct"/>
            <w:gridSpan w:val="2"/>
            <w:tcBorders>
              <w:top w:val="single" w:color="auto" w:sz="4" w:space="0"/>
              <w:left w:val="single" w:color="auto" w:sz="4" w:space="0"/>
              <w:bottom w:val="nil"/>
              <w:right w:val="single" w:color="000000" w:sz="8" w:space="0"/>
            </w:tcBorders>
          </w:tcPr>
          <w:p w14:paraId="3F76DF25">
            <w:pPr>
              <w:widowControl/>
              <w:jc w:val="left"/>
              <w:rPr>
                <w:rFonts w:eastAsia="仿宋_GB2312"/>
                <w:b/>
                <w:bCs/>
                <w:color w:val="auto"/>
                <w:kern w:val="0"/>
                <w:sz w:val="24"/>
                <w:highlight w:val="none"/>
              </w:rPr>
            </w:pPr>
            <w:r>
              <w:rPr>
                <w:rFonts w:eastAsia="仿宋_GB2312"/>
                <w:b/>
                <w:bCs/>
                <w:color w:val="auto"/>
                <w:kern w:val="0"/>
                <w:sz w:val="24"/>
                <w:highlight w:val="none"/>
              </w:rPr>
              <w:t xml:space="preserve">   使用单位验收意见：（盖章）</w:t>
            </w:r>
          </w:p>
          <w:p w14:paraId="0BB5316B">
            <w:pPr>
              <w:rPr>
                <w:rFonts w:eastAsia="仿宋_GB2312"/>
                <w:color w:val="auto"/>
                <w:sz w:val="24"/>
                <w:highlight w:val="none"/>
              </w:rPr>
            </w:pPr>
          </w:p>
        </w:tc>
      </w:tr>
      <w:tr w14:paraId="155D180F">
        <w:tblPrEx>
          <w:tblCellMar>
            <w:top w:w="0" w:type="dxa"/>
            <w:left w:w="108" w:type="dxa"/>
            <w:bottom w:w="0" w:type="dxa"/>
            <w:right w:w="108" w:type="dxa"/>
          </w:tblCellMar>
        </w:tblPrEx>
        <w:trPr>
          <w:trHeight w:val="480" w:hRule="atLeast"/>
        </w:trPr>
        <w:tc>
          <w:tcPr>
            <w:tcW w:w="922" w:type="pct"/>
            <w:tcBorders>
              <w:top w:val="nil"/>
              <w:left w:val="single" w:color="auto" w:sz="8" w:space="0"/>
              <w:bottom w:val="nil"/>
              <w:right w:val="nil"/>
            </w:tcBorders>
            <w:noWrap/>
            <w:vAlign w:val="center"/>
          </w:tcPr>
          <w:p w14:paraId="7A50E343">
            <w:pPr>
              <w:widowControl/>
              <w:jc w:val="center"/>
              <w:rPr>
                <w:rFonts w:eastAsia="仿宋_GB2312"/>
                <w:b/>
                <w:bCs/>
                <w:color w:val="auto"/>
                <w:kern w:val="0"/>
                <w:sz w:val="24"/>
                <w:highlight w:val="none"/>
              </w:rPr>
            </w:pPr>
            <w:r>
              <w:rPr>
                <w:rFonts w:eastAsia="仿宋_GB2312"/>
                <w:b/>
                <w:bCs/>
                <w:color w:val="auto"/>
                <w:kern w:val="0"/>
                <w:sz w:val="24"/>
                <w:highlight w:val="none"/>
              </w:rPr>
              <w:t xml:space="preserve"> 签字：</w:t>
            </w:r>
          </w:p>
        </w:tc>
        <w:tc>
          <w:tcPr>
            <w:tcW w:w="1349" w:type="pct"/>
            <w:tcBorders>
              <w:top w:val="nil"/>
              <w:left w:val="nil"/>
              <w:bottom w:val="nil"/>
              <w:right w:val="nil"/>
            </w:tcBorders>
            <w:noWrap/>
            <w:vAlign w:val="center"/>
          </w:tcPr>
          <w:p w14:paraId="76C1AF7E">
            <w:pPr>
              <w:widowControl/>
              <w:jc w:val="center"/>
              <w:rPr>
                <w:rFonts w:eastAsia="仿宋_GB2312"/>
                <w:b/>
                <w:bCs/>
                <w:color w:val="auto"/>
                <w:kern w:val="0"/>
                <w:sz w:val="24"/>
                <w:highlight w:val="none"/>
              </w:rPr>
            </w:pPr>
          </w:p>
        </w:tc>
        <w:tc>
          <w:tcPr>
            <w:tcW w:w="1481" w:type="pct"/>
            <w:tcBorders>
              <w:top w:val="nil"/>
              <w:left w:val="single" w:color="auto" w:sz="4" w:space="0"/>
              <w:bottom w:val="nil"/>
              <w:right w:val="nil"/>
            </w:tcBorders>
            <w:noWrap/>
            <w:vAlign w:val="center"/>
          </w:tcPr>
          <w:p w14:paraId="5028D7C6">
            <w:pPr>
              <w:widowControl/>
              <w:jc w:val="center"/>
              <w:rPr>
                <w:rFonts w:eastAsia="仿宋_GB2312"/>
                <w:b/>
                <w:bCs/>
                <w:color w:val="auto"/>
                <w:kern w:val="0"/>
                <w:sz w:val="24"/>
                <w:highlight w:val="none"/>
              </w:rPr>
            </w:pPr>
            <w:r>
              <w:rPr>
                <w:rFonts w:eastAsia="仿宋_GB2312"/>
                <w:b/>
                <w:bCs/>
                <w:color w:val="auto"/>
                <w:kern w:val="0"/>
                <w:sz w:val="24"/>
                <w:highlight w:val="none"/>
              </w:rPr>
              <w:t>签字：</w:t>
            </w:r>
          </w:p>
        </w:tc>
        <w:tc>
          <w:tcPr>
            <w:tcW w:w="1248" w:type="pct"/>
            <w:tcBorders>
              <w:top w:val="nil"/>
              <w:left w:val="nil"/>
              <w:bottom w:val="nil"/>
              <w:right w:val="single" w:color="auto" w:sz="8" w:space="0"/>
            </w:tcBorders>
          </w:tcPr>
          <w:p w14:paraId="5115C718">
            <w:pPr>
              <w:widowControl/>
              <w:jc w:val="left"/>
              <w:rPr>
                <w:rFonts w:eastAsia="仿宋_GB2312"/>
                <w:b/>
                <w:bCs/>
                <w:color w:val="auto"/>
                <w:kern w:val="0"/>
                <w:sz w:val="24"/>
                <w:highlight w:val="none"/>
              </w:rPr>
            </w:pPr>
            <w:r>
              <w:rPr>
                <w:rFonts w:eastAsia="仿宋_GB2312"/>
                <w:b/>
                <w:bCs/>
                <w:color w:val="auto"/>
                <w:kern w:val="0"/>
                <w:sz w:val="24"/>
                <w:highlight w:val="none"/>
              </w:rPr>
              <w:t>　</w:t>
            </w:r>
          </w:p>
        </w:tc>
      </w:tr>
      <w:tr w14:paraId="49315216">
        <w:tblPrEx>
          <w:tblCellMar>
            <w:top w:w="0" w:type="dxa"/>
            <w:left w:w="108" w:type="dxa"/>
            <w:bottom w:w="0" w:type="dxa"/>
            <w:right w:w="108" w:type="dxa"/>
          </w:tblCellMar>
        </w:tblPrEx>
        <w:trPr>
          <w:trHeight w:val="78" w:hRule="atLeast"/>
        </w:trPr>
        <w:tc>
          <w:tcPr>
            <w:tcW w:w="922" w:type="pct"/>
            <w:tcBorders>
              <w:top w:val="nil"/>
              <w:left w:val="single" w:color="auto" w:sz="8" w:space="0"/>
              <w:bottom w:val="single" w:color="auto" w:sz="4" w:space="0"/>
              <w:right w:val="nil"/>
            </w:tcBorders>
            <w:noWrap/>
            <w:vAlign w:val="center"/>
          </w:tcPr>
          <w:p w14:paraId="33140770">
            <w:pPr>
              <w:widowControl/>
              <w:jc w:val="left"/>
              <w:rPr>
                <w:rFonts w:eastAsia="仿宋_GB2312"/>
                <w:color w:val="auto"/>
                <w:kern w:val="0"/>
                <w:sz w:val="22"/>
                <w:szCs w:val="22"/>
                <w:highlight w:val="none"/>
              </w:rPr>
            </w:pPr>
            <w:r>
              <w:rPr>
                <w:rFonts w:eastAsia="仿宋_GB2312"/>
                <w:color w:val="auto"/>
                <w:kern w:val="0"/>
                <w:sz w:val="22"/>
                <w:szCs w:val="22"/>
                <w:highlight w:val="none"/>
              </w:rPr>
              <w:t>　</w:t>
            </w:r>
          </w:p>
        </w:tc>
        <w:tc>
          <w:tcPr>
            <w:tcW w:w="1349" w:type="pct"/>
            <w:tcBorders>
              <w:top w:val="nil"/>
              <w:left w:val="nil"/>
              <w:bottom w:val="single" w:color="auto" w:sz="4" w:space="0"/>
              <w:right w:val="nil"/>
            </w:tcBorders>
            <w:vAlign w:val="bottom"/>
          </w:tcPr>
          <w:p w14:paraId="56D116C1">
            <w:pPr>
              <w:widowControl/>
              <w:jc w:val="right"/>
              <w:rPr>
                <w:rFonts w:eastAsia="仿宋_GB2312"/>
                <w:color w:val="auto"/>
                <w:kern w:val="0"/>
                <w:sz w:val="22"/>
                <w:szCs w:val="22"/>
                <w:highlight w:val="none"/>
              </w:rPr>
            </w:pPr>
            <w:r>
              <w:rPr>
                <w:rFonts w:eastAsia="仿宋_GB2312"/>
                <w:color w:val="auto"/>
                <w:kern w:val="0"/>
                <w:sz w:val="22"/>
                <w:szCs w:val="22"/>
                <w:highlight w:val="none"/>
              </w:rPr>
              <w:t>年     月   日</w:t>
            </w:r>
          </w:p>
        </w:tc>
        <w:tc>
          <w:tcPr>
            <w:tcW w:w="1481" w:type="pct"/>
            <w:tcBorders>
              <w:top w:val="nil"/>
              <w:left w:val="single" w:color="auto" w:sz="4" w:space="0"/>
              <w:bottom w:val="single" w:color="auto" w:sz="4" w:space="0"/>
              <w:right w:val="nil"/>
            </w:tcBorders>
            <w:noWrap/>
            <w:vAlign w:val="center"/>
          </w:tcPr>
          <w:p w14:paraId="1450DAED">
            <w:pPr>
              <w:widowControl/>
              <w:jc w:val="left"/>
              <w:rPr>
                <w:rFonts w:eastAsia="仿宋_GB2312"/>
                <w:color w:val="auto"/>
                <w:kern w:val="0"/>
                <w:sz w:val="22"/>
                <w:szCs w:val="22"/>
                <w:highlight w:val="none"/>
              </w:rPr>
            </w:pPr>
            <w:r>
              <w:rPr>
                <w:rFonts w:eastAsia="仿宋_GB2312"/>
                <w:color w:val="auto"/>
                <w:kern w:val="0"/>
                <w:sz w:val="22"/>
                <w:szCs w:val="22"/>
                <w:highlight w:val="none"/>
              </w:rPr>
              <w:t>　</w:t>
            </w:r>
          </w:p>
        </w:tc>
        <w:tc>
          <w:tcPr>
            <w:tcW w:w="1248" w:type="pct"/>
            <w:tcBorders>
              <w:top w:val="nil"/>
              <w:left w:val="nil"/>
              <w:bottom w:val="single" w:color="auto" w:sz="4" w:space="0"/>
              <w:right w:val="single" w:color="auto" w:sz="8" w:space="0"/>
            </w:tcBorders>
            <w:vAlign w:val="bottom"/>
          </w:tcPr>
          <w:p w14:paraId="3ED30D3A">
            <w:pPr>
              <w:widowControl/>
              <w:jc w:val="right"/>
              <w:rPr>
                <w:rFonts w:eastAsia="仿宋_GB2312"/>
                <w:color w:val="auto"/>
                <w:kern w:val="0"/>
                <w:sz w:val="22"/>
                <w:szCs w:val="22"/>
                <w:highlight w:val="none"/>
              </w:rPr>
            </w:pPr>
            <w:r>
              <w:rPr>
                <w:rFonts w:eastAsia="仿宋_GB2312"/>
                <w:color w:val="auto"/>
                <w:kern w:val="0"/>
                <w:sz w:val="22"/>
                <w:szCs w:val="22"/>
                <w:highlight w:val="none"/>
              </w:rPr>
              <w:t>年   月   日</w:t>
            </w:r>
          </w:p>
        </w:tc>
      </w:tr>
      <w:tr w14:paraId="69035510">
        <w:tblPrEx>
          <w:tblCellMar>
            <w:top w:w="0" w:type="dxa"/>
            <w:left w:w="108" w:type="dxa"/>
            <w:bottom w:w="0" w:type="dxa"/>
            <w:right w:w="108" w:type="dxa"/>
          </w:tblCellMar>
        </w:tblPrEx>
        <w:trPr>
          <w:trHeight w:val="603" w:hRule="atLeast"/>
        </w:trPr>
        <w:tc>
          <w:tcPr>
            <w:tcW w:w="5000" w:type="pct"/>
            <w:gridSpan w:val="4"/>
            <w:tcBorders>
              <w:top w:val="single" w:color="auto" w:sz="4" w:space="0"/>
              <w:left w:val="single" w:color="auto" w:sz="8" w:space="0"/>
              <w:bottom w:val="single" w:color="auto" w:sz="4" w:space="0"/>
              <w:right w:val="single" w:color="000000" w:sz="8" w:space="0"/>
            </w:tcBorders>
            <w:noWrap/>
            <w:vAlign w:val="center"/>
          </w:tcPr>
          <w:p w14:paraId="6E31747D">
            <w:pPr>
              <w:widowControl/>
              <w:jc w:val="center"/>
              <w:rPr>
                <w:rFonts w:eastAsia="仿宋_GB2312"/>
                <w:b/>
                <w:bCs/>
                <w:color w:val="auto"/>
                <w:kern w:val="0"/>
                <w:sz w:val="22"/>
                <w:szCs w:val="22"/>
                <w:highlight w:val="none"/>
              </w:rPr>
            </w:pPr>
            <w:r>
              <w:rPr>
                <w:rFonts w:eastAsia="仿宋_GB2312"/>
                <w:b/>
                <w:bCs/>
                <w:color w:val="auto"/>
                <w:kern w:val="0"/>
                <w:sz w:val="22"/>
                <w:szCs w:val="22"/>
                <w:highlight w:val="none"/>
              </w:rPr>
              <w:t>采购内容</w:t>
            </w:r>
          </w:p>
        </w:tc>
      </w:tr>
      <w:tr w14:paraId="29E78E97">
        <w:tblPrEx>
          <w:tblCellMar>
            <w:top w:w="0" w:type="dxa"/>
            <w:left w:w="108" w:type="dxa"/>
            <w:bottom w:w="0" w:type="dxa"/>
            <w:right w:w="108" w:type="dxa"/>
          </w:tblCellMar>
        </w:tblPrEx>
        <w:trPr>
          <w:trHeight w:val="1975" w:hRule="atLeast"/>
        </w:trPr>
        <w:tc>
          <w:tcPr>
            <w:tcW w:w="5000" w:type="pct"/>
            <w:gridSpan w:val="4"/>
            <w:tcBorders>
              <w:top w:val="single" w:color="auto" w:sz="4" w:space="0"/>
              <w:left w:val="single" w:color="auto" w:sz="8" w:space="0"/>
              <w:bottom w:val="single" w:color="auto" w:sz="8" w:space="0"/>
              <w:right w:val="single" w:color="000000" w:sz="8" w:space="0"/>
            </w:tcBorders>
          </w:tcPr>
          <w:p w14:paraId="664A6513">
            <w:pPr>
              <w:widowControl/>
              <w:jc w:val="center"/>
              <w:rPr>
                <w:rFonts w:eastAsia="仿宋_GB2312"/>
                <w:b/>
                <w:bCs/>
                <w:color w:val="auto"/>
                <w:kern w:val="0"/>
                <w:sz w:val="28"/>
                <w:szCs w:val="28"/>
                <w:highlight w:val="none"/>
              </w:rPr>
            </w:pPr>
            <w:r>
              <w:rPr>
                <w:rFonts w:eastAsia="仿宋_GB2312"/>
                <w:b/>
                <w:bCs/>
                <w:color w:val="auto"/>
                <w:kern w:val="0"/>
                <w:sz w:val="28"/>
                <w:szCs w:val="28"/>
                <w:highlight w:val="none"/>
              </w:rPr>
              <w:t>采购内容请列明品目、规格、型号、数量、单价、总价</w:t>
            </w:r>
          </w:p>
        </w:tc>
      </w:tr>
    </w:tbl>
    <w:p w14:paraId="3C88CC48">
      <w:pPr>
        <w:pStyle w:val="22"/>
        <w:rPr>
          <w:rFonts w:ascii="Times New Roman" w:hAnsi="Times New Roman" w:eastAsia="仿宋_GB2312"/>
          <w:color w:val="auto"/>
          <w:highlight w:val="none"/>
        </w:rPr>
      </w:pPr>
      <w:r>
        <w:rPr>
          <w:rFonts w:ascii="Times New Roman" w:hAnsi="Times New Roman" w:eastAsia="仿宋_GB2312"/>
          <w:color w:val="auto"/>
          <w:sz w:val="24"/>
          <w:highlight w:val="none"/>
        </w:rPr>
        <w:br w:type="page"/>
      </w:r>
    </w:p>
    <w:p w14:paraId="6CB16CB7">
      <w:pPr>
        <w:pStyle w:val="46"/>
        <w:spacing w:line="360" w:lineRule="auto"/>
        <w:rPr>
          <w:rStyle w:val="207"/>
          <w:rFonts w:ascii="Times New Roman" w:hAnsi="Times New Roman" w:eastAsia="宋体"/>
          <w:color w:val="auto"/>
          <w:sz w:val="36"/>
          <w:szCs w:val="36"/>
          <w:highlight w:val="none"/>
        </w:rPr>
      </w:pPr>
      <w:bookmarkStart w:id="447" w:name="_Toc24029"/>
      <w:bookmarkStart w:id="448" w:name="_Toc58504448"/>
      <w:r>
        <w:rPr>
          <w:rStyle w:val="207"/>
          <w:rFonts w:ascii="Times New Roman" w:hAnsi="Times New Roman" w:eastAsia="宋体"/>
          <w:color w:val="auto"/>
          <w:sz w:val="36"/>
          <w:szCs w:val="36"/>
          <w:highlight w:val="none"/>
        </w:rPr>
        <w:t>第五章  采购内容及要求</w:t>
      </w:r>
      <w:bookmarkEnd w:id="447"/>
      <w:bookmarkEnd w:id="448"/>
    </w:p>
    <w:p w14:paraId="34AFB80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auto"/>
          <w:sz w:val="24"/>
          <w:szCs w:val="24"/>
          <w:highlight w:val="none"/>
          <w:lang w:eastAsia="zh-CN"/>
        </w:rPr>
      </w:pPr>
      <w:r>
        <w:rPr>
          <w:rFonts w:hint="eastAsia" w:ascii="仿宋_GB2312" w:hAnsi="仿宋_GB2312" w:eastAsia="仿宋_GB2312" w:cs="仿宋_GB2312"/>
          <w:bCs/>
          <w:color w:val="auto"/>
          <w:sz w:val="24"/>
          <w:szCs w:val="24"/>
          <w:highlight w:val="none"/>
        </w:rPr>
        <w:t>一、项目名称：</w:t>
      </w:r>
      <w:r>
        <w:rPr>
          <w:rFonts w:hint="eastAsia" w:ascii="仿宋_GB2312" w:hAnsi="仿宋_GB2312" w:eastAsia="仿宋_GB2312" w:cs="仿宋_GB2312"/>
          <w:bCs/>
          <w:color w:val="auto"/>
          <w:sz w:val="24"/>
          <w:szCs w:val="24"/>
          <w:highlight w:val="none"/>
          <w:lang w:eastAsia="zh-CN"/>
        </w:rPr>
        <w:t>沣东新城安保服务采购项目</w:t>
      </w:r>
    </w:p>
    <w:p w14:paraId="623C46C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二、服务地点：采购人指定地点</w:t>
      </w:r>
    </w:p>
    <w:p w14:paraId="7A8C8BA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三、服务期限：</w:t>
      </w:r>
      <w:r>
        <w:rPr>
          <w:rFonts w:hint="eastAsia" w:ascii="仿宋_GB2312" w:hAnsi="仿宋_GB2312" w:eastAsia="仿宋_GB2312" w:cs="仿宋_GB2312"/>
          <w:i w:val="0"/>
          <w:iCs w:val="0"/>
          <w:caps w:val="0"/>
          <w:color w:val="auto"/>
          <w:spacing w:val="0"/>
          <w:sz w:val="24"/>
          <w:szCs w:val="24"/>
          <w:highlight w:val="none"/>
          <w:shd w:val="clear" w:fill="FFFFFF"/>
        </w:rPr>
        <w:t>自合同签订后1年</w:t>
      </w:r>
      <w:r>
        <w:rPr>
          <w:rFonts w:hint="eastAsia" w:ascii="仿宋_GB2312" w:hAnsi="仿宋_GB2312" w:eastAsia="仿宋_GB2312" w:cs="仿宋_GB2312"/>
          <w:bCs/>
          <w:color w:val="auto"/>
          <w:sz w:val="24"/>
          <w:szCs w:val="24"/>
          <w:highlight w:val="none"/>
        </w:rPr>
        <w:t>。</w:t>
      </w:r>
    </w:p>
    <w:p w14:paraId="0141073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四、安保服务范围</w:t>
      </w:r>
    </w:p>
    <w:p w14:paraId="7C51531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rPr>
        <w:t>根据平时、急时调配安保人员力量，选派5-10人专职安保人员参与重点场所周边安全稳定、预警信息落地防控、突发事件应急处置等事项，费用标准</w:t>
      </w:r>
      <w:r>
        <w:rPr>
          <w:rFonts w:hint="eastAsia" w:ascii="仿宋_GB2312" w:hAnsi="仿宋_GB2312" w:eastAsia="仿宋_GB2312" w:cs="仿宋_GB2312"/>
          <w:bCs/>
          <w:color w:val="auto"/>
          <w:sz w:val="24"/>
          <w:szCs w:val="24"/>
          <w:highlight w:val="none"/>
          <w:lang w:val="en-US" w:eastAsia="zh-CN"/>
        </w:rPr>
        <w:t>不超过</w:t>
      </w:r>
      <w:r>
        <w:rPr>
          <w:rFonts w:hint="eastAsia" w:ascii="仿宋_GB2312" w:hAnsi="仿宋_GB2312" w:eastAsia="仿宋_GB2312" w:cs="仿宋_GB2312"/>
          <w:bCs/>
          <w:color w:val="auto"/>
          <w:sz w:val="24"/>
          <w:szCs w:val="24"/>
          <w:highlight w:val="none"/>
        </w:rPr>
        <w:t>200元/天/人</w:t>
      </w:r>
      <w:r>
        <w:rPr>
          <w:rFonts w:hint="eastAsia" w:ascii="仿宋_GB2312" w:hAnsi="仿宋_GB2312" w:eastAsia="仿宋_GB2312" w:cs="仿宋_GB2312"/>
          <w:bCs/>
          <w:color w:val="auto"/>
          <w:sz w:val="24"/>
          <w:szCs w:val="24"/>
          <w:highlight w:val="none"/>
          <w:lang w:eastAsia="zh-CN"/>
        </w:rPr>
        <w:t>（</w:t>
      </w:r>
      <w:r>
        <w:rPr>
          <w:rFonts w:hint="eastAsia" w:ascii="仿宋_GB2312" w:hAnsi="仿宋_GB2312" w:eastAsia="仿宋_GB2312" w:cs="仿宋_GB2312"/>
          <w:bCs/>
          <w:color w:val="auto"/>
          <w:sz w:val="24"/>
          <w:szCs w:val="24"/>
          <w:highlight w:val="none"/>
        </w:rPr>
        <w:t>包含人员执勤值守费用、餐费、交通费、装备费等</w:t>
      </w:r>
      <w:r>
        <w:rPr>
          <w:rFonts w:hint="eastAsia" w:ascii="仿宋_GB2312" w:hAnsi="仿宋_GB2312" w:eastAsia="仿宋_GB2312" w:cs="仿宋_GB2312"/>
          <w:bCs/>
          <w:color w:val="auto"/>
          <w:sz w:val="24"/>
          <w:szCs w:val="24"/>
          <w:highlight w:val="none"/>
          <w:lang w:eastAsia="zh-CN"/>
        </w:rPr>
        <w:t>）</w:t>
      </w:r>
      <w:r>
        <w:rPr>
          <w:rFonts w:hint="eastAsia" w:ascii="仿宋_GB2312" w:hAnsi="仿宋_GB2312" w:eastAsia="仿宋_GB2312" w:cs="仿宋_GB2312"/>
          <w:bCs/>
          <w:color w:val="auto"/>
          <w:sz w:val="24"/>
          <w:szCs w:val="24"/>
          <w:highlight w:val="none"/>
        </w:rPr>
        <w:t>，确保服务中的人身和财产安全。采购人根据工作进度需要安排工作任务，不承诺最低工作量。</w:t>
      </w:r>
    </w:p>
    <w:p w14:paraId="657B967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五、安保人数及装备要求</w:t>
      </w:r>
    </w:p>
    <w:p w14:paraId="19836C2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1、</w:t>
      </w:r>
      <w:r>
        <w:rPr>
          <w:rFonts w:hint="eastAsia" w:ascii="仿宋_GB2312" w:hAnsi="仿宋_GB2312" w:eastAsia="仿宋_GB2312" w:cs="仿宋_GB2312"/>
          <w:bCs/>
          <w:color w:val="auto"/>
          <w:sz w:val="24"/>
          <w:szCs w:val="24"/>
          <w:highlight w:val="none"/>
          <w:lang w:val="en-US" w:eastAsia="zh-CN"/>
        </w:rPr>
        <w:t>配备安保</w:t>
      </w:r>
      <w:r>
        <w:rPr>
          <w:rFonts w:hint="eastAsia" w:ascii="仿宋_GB2312" w:hAnsi="仿宋_GB2312" w:eastAsia="仿宋_GB2312" w:cs="仿宋_GB2312"/>
          <w:bCs/>
          <w:color w:val="auto"/>
          <w:sz w:val="24"/>
          <w:szCs w:val="24"/>
          <w:highlight w:val="none"/>
        </w:rPr>
        <w:t>服务人数5-10人</w:t>
      </w:r>
      <w:r>
        <w:rPr>
          <w:rFonts w:hint="eastAsia" w:ascii="仿宋_GB2312" w:hAnsi="仿宋_GB2312" w:eastAsia="仿宋_GB2312" w:cs="仿宋_GB2312"/>
          <w:bCs/>
          <w:color w:val="auto"/>
          <w:sz w:val="24"/>
          <w:szCs w:val="24"/>
          <w:highlight w:val="none"/>
          <w:lang w:val="en-US" w:eastAsia="zh-CN"/>
        </w:rPr>
        <w:t>。</w:t>
      </w:r>
      <w:r>
        <w:rPr>
          <w:rFonts w:hint="eastAsia" w:ascii="仿宋_GB2312" w:hAnsi="仿宋_GB2312" w:eastAsia="仿宋_GB2312" w:cs="仿宋_GB2312"/>
          <w:bCs/>
          <w:color w:val="auto"/>
          <w:sz w:val="24"/>
          <w:szCs w:val="24"/>
          <w:highlight w:val="none"/>
        </w:rPr>
        <w:t>（</w:t>
      </w:r>
      <w:r>
        <w:rPr>
          <w:rFonts w:hint="eastAsia" w:ascii="仿宋_GB2312" w:hAnsi="仿宋_GB2312" w:eastAsia="仿宋_GB2312" w:cs="仿宋_GB2312"/>
          <w:bCs/>
          <w:color w:val="auto"/>
          <w:sz w:val="24"/>
          <w:szCs w:val="24"/>
          <w:highlight w:val="none"/>
          <w:lang w:val="en-US" w:eastAsia="zh-CN"/>
        </w:rPr>
        <w:t>根据采购人通知，有</w:t>
      </w:r>
      <w:r>
        <w:rPr>
          <w:rFonts w:hint="eastAsia" w:ascii="仿宋_GB2312" w:hAnsi="仿宋_GB2312" w:eastAsia="仿宋_GB2312" w:cs="仿宋_GB2312"/>
          <w:bCs/>
          <w:color w:val="auto"/>
          <w:sz w:val="24"/>
          <w:szCs w:val="24"/>
          <w:highlight w:val="none"/>
        </w:rPr>
        <w:t>工作需求</w:t>
      </w:r>
      <w:r>
        <w:rPr>
          <w:rFonts w:hint="eastAsia" w:ascii="仿宋_GB2312" w:hAnsi="仿宋_GB2312" w:eastAsia="仿宋_GB2312" w:cs="仿宋_GB2312"/>
          <w:bCs/>
          <w:color w:val="auto"/>
          <w:sz w:val="24"/>
          <w:szCs w:val="24"/>
          <w:highlight w:val="none"/>
          <w:lang w:val="en-US" w:eastAsia="zh-CN"/>
        </w:rPr>
        <w:t>时随时到岗。</w:t>
      </w:r>
      <w:r>
        <w:rPr>
          <w:rFonts w:hint="eastAsia" w:ascii="仿宋_GB2312" w:hAnsi="仿宋_GB2312" w:eastAsia="仿宋_GB2312" w:cs="仿宋_GB2312"/>
          <w:bCs/>
          <w:color w:val="auto"/>
          <w:sz w:val="24"/>
          <w:szCs w:val="24"/>
          <w:highlight w:val="none"/>
        </w:rPr>
        <w:t>）</w:t>
      </w:r>
    </w:p>
    <w:p w14:paraId="2888B83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2、安保服务公司配备巡逻车辆、被服、警棍、强光手电、对讲机、执法记录仪等装备。</w:t>
      </w:r>
    </w:p>
    <w:p w14:paraId="6695D47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六、安保人员要求：</w:t>
      </w:r>
    </w:p>
    <w:p w14:paraId="09CB0DA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(一)安保人员身高1.7</w:t>
      </w:r>
      <w:r>
        <w:rPr>
          <w:rFonts w:hint="eastAsia" w:ascii="仿宋_GB2312" w:hAnsi="仿宋_GB2312" w:eastAsia="仿宋_GB2312" w:cs="仿宋_GB2312"/>
          <w:bCs/>
          <w:color w:val="auto"/>
          <w:sz w:val="24"/>
          <w:szCs w:val="24"/>
          <w:highlight w:val="none"/>
          <w:lang w:val="en-US" w:eastAsia="zh-CN"/>
        </w:rPr>
        <w:t>5</w:t>
      </w:r>
      <w:r>
        <w:rPr>
          <w:rFonts w:hint="eastAsia" w:ascii="仿宋_GB2312" w:hAnsi="仿宋_GB2312" w:eastAsia="仿宋_GB2312" w:cs="仿宋_GB2312"/>
          <w:bCs/>
          <w:color w:val="auto"/>
          <w:sz w:val="24"/>
          <w:szCs w:val="24"/>
          <w:highlight w:val="none"/>
        </w:rPr>
        <w:t>米以上、初中及以上文化程度、年龄18至35周岁，身体健康、无违法犯罪记录、无纹身。警校毕业生及退伍军人、消防武警和从事过本行业的优先；</w:t>
      </w:r>
    </w:p>
    <w:p w14:paraId="37659C5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w:t>
      </w:r>
      <w:r>
        <w:rPr>
          <w:rFonts w:hint="eastAsia" w:ascii="仿宋_GB2312" w:hAnsi="仿宋_GB2312" w:eastAsia="仿宋_GB2312" w:cs="仿宋_GB2312"/>
          <w:bCs/>
          <w:color w:val="auto"/>
          <w:sz w:val="24"/>
          <w:szCs w:val="24"/>
          <w:highlight w:val="none"/>
          <w:lang w:val="en-US" w:eastAsia="zh-CN"/>
        </w:rPr>
        <w:t>二</w:t>
      </w:r>
      <w:r>
        <w:rPr>
          <w:rFonts w:hint="eastAsia" w:ascii="仿宋_GB2312" w:hAnsi="仿宋_GB2312" w:eastAsia="仿宋_GB2312" w:cs="仿宋_GB2312"/>
          <w:bCs/>
          <w:color w:val="auto"/>
          <w:sz w:val="24"/>
          <w:szCs w:val="24"/>
          <w:highlight w:val="none"/>
        </w:rPr>
        <w:t>）保安人员仪表端庄、品德兼优、政历清白，有一定责任心和爱岗敬业精神的有志青年，无不良记录、健康状况良好、无精神病史。</w:t>
      </w:r>
    </w:p>
    <w:p w14:paraId="641D510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w:t>
      </w:r>
      <w:r>
        <w:rPr>
          <w:rFonts w:hint="eastAsia" w:ascii="仿宋_GB2312" w:hAnsi="仿宋_GB2312" w:eastAsia="仿宋_GB2312" w:cs="仿宋_GB2312"/>
          <w:bCs/>
          <w:color w:val="auto"/>
          <w:sz w:val="24"/>
          <w:szCs w:val="24"/>
          <w:highlight w:val="none"/>
          <w:lang w:val="en-US" w:eastAsia="zh-CN"/>
        </w:rPr>
        <w:t>三</w:t>
      </w:r>
      <w:r>
        <w:rPr>
          <w:rFonts w:hint="eastAsia" w:ascii="仿宋_GB2312" w:hAnsi="仿宋_GB2312" w:eastAsia="仿宋_GB2312" w:cs="仿宋_GB2312"/>
          <w:bCs/>
          <w:color w:val="auto"/>
          <w:sz w:val="24"/>
          <w:szCs w:val="24"/>
          <w:highlight w:val="none"/>
        </w:rPr>
        <w:t>）工作要求</w:t>
      </w:r>
    </w:p>
    <w:p w14:paraId="204F61E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1、所有执勤人员必须服从命令、听从指挥。</w:t>
      </w:r>
    </w:p>
    <w:p w14:paraId="535E76B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2、上岗期间注意保容风纪、礼节礼貌、言行举止。</w:t>
      </w:r>
    </w:p>
    <w:p w14:paraId="1131D57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3、对将要发生或者已经发生的突发事件，及时做出反应。</w:t>
      </w:r>
    </w:p>
    <w:p w14:paraId="27CD04C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七、服务要求</w:t>
      </w:r>
    </w:p>
    <w:p w14:paraId="395119E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（一）工作职责</w:t>
      </w:r>
    </w:p>
    <w:p w14:paraId="66DDB50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1</w:t>
      </w:r>
      <w:r>
        <w:rPr>
          <w:rFonts w:hint="eastAsia" w:ascii="仿宋_GB2312" w:hAnsi="仿宋_GB2312" w:eastAsia="仿宋_GB2312" w:cs="仿宋_GB2312"/>
          <w:bCs/>
          <w:color w:val="auto"/>
          <w:sz w:val="24"/>
          <w:szCs w:val="24"/>
          <w:highlight w:val="none"/>
          <w:lang w:eastAsia="zh-CN"/>
        </w:rPr>
        <w:t>、</w:t>
      </w:r>
      <w:r>
        <w:rPr>
          <w:rFonts w:hint="eastAsia" w:ascii="仿宋_GB2312" w:hAnsi="仿宋_GB2312" w:eastAsia="仿宋_GB2312" w:cs="仿宋_GB2312"/>
          <w:bCs/>
          <w:color w:val="auto"/>
          <w:sz w:val="24"/>
          <w:szCs w:val="24"/>
          <w:highlight w:val="none"/>
        </w:rPr>
        <w:t>熟悉本岗位管理责任区城，发现问题及时上报，对一切不合管理规范的行为有效制止。</w:t>
      </w:r>
    </w:p>
    <w:p w14:paraId="2ED1C9C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2、按规定着装，佩带安全装备，注意仪态仪容及工作形象，文明礼貌，耐心热情的对待群众，并随时收集意见和建议及时汇报上级，做好相关记录。</w:t>
      </w:r>
    </w:p>
    <w:p w14:paraId="0ADE414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3、时刻保持通讯畅通，发现有闲杂或可疑人员及时知会其他岗位引起注意并做出反应。</w:t>
      </w:r>
    </w:p>
    <w:p w14:paraId="17BEAAD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lang w:val="en-US" w:eastAsia="zh-CN"/>
        </w:rPr>
        <w:t>4</w:t>
      </w:r>
      <w:r>
        <w:rPr>
          <w:rFonts w:hint="eastAsia" w:ascii="仿宋_GB2312" w:hAnsi="仿宋_GB2312" w:eastAsia="仿宋_GB2312" w:cs="仿宋_GB2312"/>
          <w:bCs/>
          <w:color w:val="auto"/>
          <w:sz w:val="24"/>
          <w:szCs w:val="24"/>
          <w:highlight w:val="none"/>
        </w:rPr>
        <w:t>、巡逻组队员进行安全巡查，发现有闲杂人员或可疑人员及时上前询问，并作出反应及处理。</w:t>
      </w:r>
    </w:p>
    <w:p w14:paraId="08C1824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lang w:val="en-US" w:eastAsia="zh-CN"/>
        </w:rPr>
        <w:t>5</w:t>
      </w:r>
      <w:r>
        <w:rPr>
          <w:rFonts w:hint="eastAsia" w:ascii="仿宋_GB2312" w:hAnsi="仿宋_GB2312" w:eastAsia="仿宋_GB2312" w:cs="仿宋_GB2312"/>
          <w:bCs/>
          <w:color w:val="auto"/>
          <w:sz w:val="24"/>
          <w:szCs w:val="24"/>
          <w:highlight w:val="none"/>
        </w:rPr>
        <w:t>、对情绪激动的群众进行劝离、安抚。对紧急情况上报领导进行沟通调解。</w:t>
      </w:r>
    </w:p>
    <w:p w14:paraId="582F444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lang w:val="en-US" w:eastAsia="zh-CN"/>
        </w:rPr>
        <w:t>6</w:t>
      </w:r>
      <w:r>
        <w:rPr>
          <w:rFonts w:hint="eastAsia" w:ascii="仿宋_GB2312" w:hAnsi="仿宋_GB2312" w:eastAsia="仿宋_GB2312" w:cs="仿宋_GB2312"/>
          <w:bCs/>
          <w:color w:val="auto"/>
          <w:sz w:val="24"/>
          <w:szCs w:val="24"/>
          <w:highlight w:val="none"/>
        </w:rPr>
        <w:t>、维护区域秩序，紧急情况下引导人员从紧急疏散通道疏散至空旷区域。</w:t>
      </w:r>
    </w:p>
    <w:p w14:paraId="7649B8E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lang w:val="en-US" w:eastAsia="zh-CN"/>
        </w:rPr>
        <w:t>7</w:t>
      </w:r>
      <w:r>
        <w:rPr>
          <w:rFonts w:hint="eastAsia" w:ascii="仿宋_GB2312" w:hAnsi="仿宋_GB2312" w:eastAsia="仿宋_GB2312" w:cs="仿宋_GB2312"/>
          <w:bCs/>
          <w:color w:val="auto"/>
          <w:sz w:val="24"/>
          <w:szCs w:val="24"/>
          <w:highlight w:val="none"/>
        </w:rPr>
        <w:t>、上岗前检查各个区域，确保各区域安全；清理周边，疏散、缓冲区无关人员、车辆及物品</w:t>
      </w:r>
      <w:r>
        <w:rPr>
          <w:rFonts w:hint="eastAsia" w:ascii="仿宋_GB2312" w:hAnsi="仿宋_GB2312" w:eastAsia="仿宋_GB2312" w:cs="仿宋_GB2312"/>
          <w:bCs/>
          <w:color w:val="auto"/>
          <w:sz w:val="24"/>
          <w:szCs w:val="24"/>
          <w:highlight w:val="none"/>
          <w:lang w:eastAsia="zh-CN"/>
        </w:rPr>
        <w:t>，</w:t>
      </w:r>
      <w:r>
        <w:rPr>
          <w:rFonts w:hint="eastAsia" w:ascii="仿宋_GB2312" w:hAnsi="仿宋_GB2312" w:eastAsia="仿宋_GB2312" w:cs="仿宋_GB2312"/>
          <w:bCs/>
          <w:color w:val="auto"/>
          <w:sz w:val="24"/>
          <w:szCs w:val="24"/>
          <w:highlight w:val="none"/>
        </w:rPr>
        <w:t>准备防暴及应急装备。</w:t>
      </w:r>
    </w:p>
    <w:p w14:paraId="22D041A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lang w:val="en-US" w:eastAsia="zh-CN"/>
        </w:rPr>
        <w:t>8</w:t>
      </w:r>
      <w:r>
        <w:rPr>
          <w:rFonts w:hint="eastAsia" w:ascii="仿宋_GB2312" w:hAnsi="仿宋_GB2312" w:eastAsia="仿宋_GB2312" w:cs="仿宋_GB2312"/>
          <w:bCs/>
          <w:color w:val="auto"/>
          <w:sz w:val="24"/>
          <w:szCs w:val="24"/>
          <w:highlight w:val="none"/>
        </w:rPr>
        <w:t>、防暴恐应急处置工作。</w:t>
      </w:r>
    </w:p>
    <w:p w14:paraId="03B12C4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lang w:val="en-US" w:eastAsia="zh-CN"/>
        </w:rPr>
        <w:t>9</w:t>
      </w:r>
      <w:r>
        <w:rPr>
          <w:rFonts w:hint="eastAsia" w:ascii="仿宋_GB2312" w:hAnsi="仿宋_GB2312" w:eastAsia="仿宋_GB2312" w:cs="仿宋_GB2312"/>
          <w:bCs/>
          <w:color w:val="auto"/>
          <w:sz w:val="24"/>
          <w:szCs w:val="24"/>
          <w:highlight w:val="none"/>
        </w:rPr>
        <w:t>、发生火灾、爆炸、人员踩踏等突发事件应急处置。</w:t>
      </w:r>
    </w:p>
    <w:p w14:paraId="4196C2C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eastAsia="仿宋_GB2312"/>
          <w:bCs/>
          <w:color w:val="auto"/>
          <w:highlight w:val="none"/>
        </w:rPr>
      </w:pPr>
      <w:r>
        <w:rPr>
          <w:rFonts w:hint="eastAsia" w:ascii="仿宋_GB2312" w:hAnsi="仿宋_GB2312" w:eastAsia="仿宋_GB2312" w:cs="仿宋_GB2312"/>
          <w:bCs/>
          <w:color w:val="auto"/>
          <w:sz w:val="24"/>
          <w:szCs w:val="24"/>
          <w:highlight w:val="none"/>
        </w:rPr>
        <w:t>1</w:t>
      </w:r>
      <w:r>
        <w:rPr>
          <w:rFonts w:hint="eastAsia" w:ascii="仿宋_GB2312" w:hAnsi="仿宋_GB2312" w:eastAsia="仿宋_GB2312" w:cs="仿宋_GB2312"/>
          <w:bCs/>
          <w:color w:val="auto"/>
          <w:sz w:val="24"/>
          <w:szCs w:val="24"/>
          <w:highlight w:val="none"/>
          <w:lang w:val="en-US" w:eastAsia="zh-CN"/>
        </w:rPr>
        <w:t>0</w:t>
      </w:r>
      <w:r>
        <w:rPr>
          <w:rFonts w:hint="eastAsia" w:ascii="仿宋_GB2312" w:hAnsi="仿宋_GB2312" w:eastAsia="仿宋_GB2312" w:cs="仿宋_GB2312"/>
          <w:bCs/>
          <w:color w:val="auto"/>
          <w:sz w:val="24"/>
          <w:szCs w:val="24"/>
          <w:highlight w:val="none"/>
        </w:rPr>
        <w:t>、应急处置。</w:t>
      </w:r>
      <w:r>
        <w:rPr>
          <w:rFonts w:eastAsia="仿宋_GB2312"/>
          <w:bCs/>
          <w:color w:val="auto"/>
          <w:highlight w:val="none"/>
        </w:rPr>
        <w:br w:type="page"/>
      </w:r>
    </w:p>
    <w:p w14:paraId="05E10CCF">
      <w:pPr>
        <w:pStyle w:val="46"/>
        <w:spacing w:line="360" w:lineRule="auto"/>
        <w:rPr>
          <w:rFonts w:ascii="Times New Roman" w:hAnsi="Times New Roman" w:eastAsiaTheme="minorEastAsia"/>
          <w:color w:val="auto"/>
          <w:highlight w:val="none"/>
        </w:rPr>
      </w:pPr>
      <w:bookmarkStart w:id="449" w:name="_Toc31008"/>
      <w:bookmarkStart w:id="450" w:name="_Toc415499899"/>
      <w:bookmarkStart w:id="451" w:name="_Toc385992401"/>
      <w:bookmarkStart w:id="452" w:name="_Toc58504449"/>
      <w:bookmarkStart w:id="453" w:name="_Toc389620241"/>
      <w:bookmarkStart w:id="454" w:name="_Toc5559"/>
      <w:r>
        <w:rPr>
          <w:rStyle w:val="207"/>
          <w:rFonts w:ascii="Times New Roman" w:hAnsi="Times New Roman" w:eastAsia="宋体"/>
          <w:color w:val="auto"/>
          <w:sz w:val="36"/>
          <w:szCs w:val="36"/>
          <w:highlight w:val="none"/>
        </w:rPr>
        <w:t>第六章  磋商响应文件格式</w:t>
      </w:r>
      <w:bookmarkEnd w:id="449"/>
      <w:bookmarkEnd w:id="450"/>
      <w:bookmarkEnd w:id="451"/>
      <w:bookmarkEnd w:id="452"/>
      <w:bookmarkEnd w:id="453"/>
      <w:r>
        <w:rPr>
          <w:rFonts w:ascii="Times New Roman" w:hAnsi="Times New Roman" w:eastAsiaTheme="minorEastAsia"/>
          <w:color w:val="auto"/>
          <w:highlight w:val="none"/>
        </w:rPr>
        <w:br w:type="page"/>
      </w:r>
      <w:bookmarkEnd w:id="454"/>
      <w:r>
        <w:rPr>
          <w:rFonts w:ascii="Times New Roman" w:hAnsi="Times New Roman" w:eastAsiaTheme="minorEastAsia"/>
          <w:color w:val="auto"/>
          <w:highlight w:val="none"/>
        </w:rPr>
        <w:t xml:space="preserve">  </w:t>
      </w:r>
    </w:p>
    <w:p w14:paraId="76EBAC32">
      <w:pPr>
        <w:autoSpaceDE w:val="0"/>
        <w:autoSpaceDN w:val="0"/>
        <w:adjustRightInd w:val="0"/>
        <w:snapToGrid w:val="0"/>
        <w:spacing w:line="360" w:lineRule="auto"/>
        <w:jc w:val="left"/>
        <w:rPr>
          <w:rFonts w:ascii="仿宋" w:hAnsi="仿宋" w:eastAsia="仿宋" w:cs="仿宋"/>
          <w:b/>
          <w:bCs/>
          <w:color w:val="auto"/>
          <w:sz w:val="32"/>
          <w:szCs w:val="32"/>
          <w:highlight w:val="none"/>
          <w:lang w:val="zh-CN"/>
        </w:rPr>
      </w:pPr>
    </w:p>
    <w:p w14:paraId="4DBF79BB">
      <w:pPr>
        <w:autoSpaceDE w:val="0"/>
        <w:autoSpaceDN w:val="0"/>
        <w:adjustRightInd w:val="0"/>
        <w:snapToGrid w:val="0"/>
        <w:spacing w:line="360" w:lineRule="auto"/>
        <w:jc w:val="left"/>
        <w:rPr>
          <w:rFonts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政府采购项目</w:t>
      </w:r>
    </w:p>
    <w:p w14:paraId="5CDB2D61">
      <w:pPr>
        <w:autoSpaceDE w:val="0"/>
        <w:autoSpaceDN w:val="0"/>
        <w:adjustRightInd w:val="0"/>
        <w:snapToGrid w:val="0"/>
        <w:spacing w:line="360" w:lineRule="auto"/>
        <w:jc w:val="left"/>
        <w:rPr>
          <w:rFonts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采购项目编号：SCZC2026-CS-1644/001</w:t>
      </w:r>
    </w:p>
    <w:p w14:paraId="118F9B4E">
      <w:pPr>
        <w:tabs>
          <w:tab w:val="left" w:pos="5670"/>
        </w:tabs>
        <w:autoSpaceDE w:val="0"/>
        <w:autoSpaceDN w:val="0"/>
        <w:adjustRightInd w:val="0"/>
        <w:snapToGrid w:val="0"/>
        <w:spacing w:line="360" w:lineRule="auto"/>
        <w:jc w:val="center"/>
        <w:rPr>
          <w:rFonts w:ascii="仿宋" w:hAnsi="仿宋" w:eastAsia="仿宋" w:cs="仿宋"/>
          <w:color w:val="auto"/>
          <w:sz w:val="19"/>
          <w:szCs w:val="19"/>
          <w:highlight w:val="none"/>
        </w:rPr>
      </w:pPr>
    </w:p>
    <w:p w14:paraId="719DF0A4">
      <w:pPr>
        <w:tabs>
          <w:tab w:val="left" w:pos="5670"/>
        </w:tabs>
        <w:autoSpaceDE w:val="0"/>
        <w:autoSpaceDN w:val="0"/>
        <w:adjustRightInd w:val="0"/>
        <w:snapToGrid w:val="0"/>
        <w:spacing w:line="360" w:lineRule="auto"/>
        <w:jc w:val="center"/>
        <w:rPr>
          <w:rFonts w:ascii="仿宋" w:hAnsi="仿宋" w:eastAsia="仿宋" w:cs="仿宋"/>
          <w:color w:val="auto"/>
          <w:sz w:val="19"/>
          <w:szCs w:val="19"/>
          <w:highlight w:val="none"/>
        </w:rPr>
      </w:pPr>
    </w:p>
    <w:p w14:paraId="1042EBCD">
      <w:pPr>
        <w:tabs>
          <w:tab w:val="left" w:pos="5670"/>
        </w:tabs>
        <w:autoSpaceDE w:val="0"/>
        <w:autoSpaceDN w:val="0"/>
        <w:adjustRightInd w:val="0"/>
        <w:snapToGrid w:val="0"/>
        <w:spacing w:line="360" w:lineRule="auto"/>
        <w:jc w:val="center"/>
        <w:rPr>
          <w:rFonts w:ascii="仿宋" w:hAnsi="仿宋" w:eastAsia="仿宋" w:cs="仿宋"/>
          <w:color w:val="auto"/>
          <w:sz w:val="19"/>
          <w:szCs w:val="19"/>
          <w:highlight w:val="none"/>
        </w:rPr>
      </w:pPr>
    </w:p>
    <w:p w14:paraId="43CB78CF">
      <w:pPr>
        <w:autoSpaceDE w:val="0"/>
        <w:autoSpaceDN w:val="0"/>
        <w:adjustRightInd w:val="0"/>
        <w:snapToGrid w:val="0"/>
        <w:spacing w:line="360" w:lineRule="auto"/>
        <w:jc w:val="center"/>
        <w:rPr>
          <w:rFonts w:hint="eastAsia" w:ascii="仿宋" w:hAnsi="仿宋" w:eastAsia="仿宋" w:cs="仿宋"/>
          <w:b/>
          <w:bCs/>
          <w:color w:val="auto"/>
          <w:sz w:val="44"/>
          <w:szCs w:val="44"/>
          <w:highlight w:val="none"/>
          <w:lang w:eastAsia="zh-CN"/>
        </w:rPr>
      </w:pPr>
      <w:r>
        <w:rPr>
          <w:rFonts w:hint="eastAsia" w:ascii="仿宋" w:hAnsi="仿宋" w:eastAsia="仿宋" w:cs="仿宋"/>
          <w:b/>
          <w:bCs/>
          <w:color w:val="auto"/>
          <w:sz w:val="44"/>
          <w:szCs w:val="44"/>
          <w:highlight w:val="none"/>
          <w:lang w:eastAsia="zh-CN"/>
        </w:rPr>
        <w:t>沣东新城安保服务采购项目</w:t>
      </w:r>
    </w:p>
    <w:p w14:paraId="7D86A16B">
      <w:pPr>
        <w:tabs>
          <w:tab w:val="left" w:pos="5670"/>
        </w:tabs>
        <w:autoSpaceDE w:val="0"/>
        <w:autoSpaceDN w:val="0"/>
        <w:adjustRightInd w:val="0"/>
        <w:snapToGrid w:val="0"/>
        <w:spacing w:line="360" w:lineRule="auto"/>
        <w:jc w:val="center"/>
        <w:rPr>
          <w:rFonts w:ascii="仿宋" w:hAnsi="仿宋" w:eastAsia="仿宋" w:cs="仿宋"/>
          <w:b/>
          <w:bCs/>
          <w:color w:val="auto"/>
          <w:sz w:val="52"/>
          <w:szCs w:val="52"/>
          <w:highlight w:val="none"/>
          <w:lang w:val="zh-CN"/>
        </w:rPr>
      </w:pPr>
    </w:p>
    <w:p w14:paraId="5F5E0281">
      <w:pPr>
        <w:tabs>
          <w:tab w:val="left" w:pos="5670"/>
        </w:tabs>
        <w:autoSpaceDE w:val="0"/>
        <w:autoSpaceDN w:val="0"/>
        <w:adjustRightInd w:val="0"/>
        <w:snapToGrid w:val="0"/>
        <w:spacing w:line="360" w:lineRule="auto"/>
        <w:jc w:val="center"/>
        <w:rPr>
          <w:rFonts w:ascii="仿宋" w:hAnsi="仿宋" w:eastAsia="仿宋" w:cs="仿宋"/>
          <w:b/>
          <w:bCs/>
          <w:color w:val="auto"/>
          <w:sz w:val="52"/>
          <w:szCs w:val="52"/>
          <w:highlight w:val="none"/>
          <w:lang w:val="zh-CN"/>
        </w:rPr>
      </w:pPr>
      <w:r>
        <w:rPr>
          <w:rFonts w:hint="eastAsia" w:ascii="仿宋" w:hAnsi="仿宋" w:eastAsia="仿宋" w:cs="仿宋"/>
          <w:b/>
          <w:bCs/>
          <w:color w:val="auto"/>
          <w:sz w:val="52"/>
          <w:szCs w:val="52"/>
          <w:highlight w:val="none"/>
          <w:lang w:val="zh-CN"/>
        </w:rPr>
        <w:t>磋商响应文件</w:t>
      </w:r>
    </w:p>
    <w:p w14:paraId="60D57B91">
      <w:pPr>
        <w:pStyle w:val="199"/>
        <w:ind w:firstLine="2891" w:firstLineChars="1200"/>
        <w:rPr>
          <w:rFonts w:ascii="仿宋" w:hAnsi="仿宋" w:eastAsia="仿宋" w:cs="仿宋"/>
          <w:b/>
          <w:color w:val="auto"/>
          <w:sz w:val="30"/>
          <w:szCs w:val="30"/>
          <w:highlight w:val="none"/>
        </w:rPr>
      </w:pPr>
      <w:r>
        <w:rPr>
          <w:rFonts w:hint="eastAsia" w:ascii="仿宋" w:hAnsi="仿宋" w:eastAsia="仿宋" w:cs="仿宋"/>
          <w:b/>
          <w:bCs/>
          <w:color w:val="auto"/>
          <w:highlight w:val="none"/>
          <w:lang w:val="zh-CN"/>
        </w:rPr>
        <w:t xml:space="preserve"> </w:t>
      </w:r>
      <w:r>
        <w:rPr>
          <w:rFonts w:hint="eastAsia" w:ascii="仿宋" w:hAnsi="仿宋" w:eastAsia="仿宋" w:cs="仿宋"/>
          <w:b/>
          <w:bCs/>
          <w:color w:val="auto"/>
          <w:highlight w:val="none"/>
          <w:lang w:val="en-US" w:eastAsia="zh-CN"/>
        </w:rPr>
        <w:t xml:space="preserve">   </w:t>
      </w:r>
      <w:r>
        <w:rPr>
          <w:rFonts w:hint="eastAsia" w:ascii="仿宋" w:hAnsi="仿宋" w:eastAsia="仿宋" w:cs="仿宋"/>
          <w:b/>
          <w:color w:val="auto"/>
          <w:sz w:val="30"/>
          <w:szCs w:val="30"/>
          <w:highlight w:val="none"/>
        </w:rPr>
        <w:t>（资格证明文件）</w:t>
      </w:r>
    </w:p>
    <w:p w14:paraId="51DB5761">
      <w:pPr>
        <w:rPr>
          <w:rFonts w:ascii="仿宋" w:hAnsi="仿宋" w:eastAsia="仿宋" w:cs="仿宋"/>
          <w:color w:val="auto"/>
          <w:highlight w:val="none"/>
        </w:rPr>
      </w:pPr>
    </w:p>
    <w:p w14:paraId="0CDF751F">
      <w:pPr>
        <w:pStyle w:val="22"/>
        <w:rPr>
          <w:rFonts w:ascii="仿宋" w:hAnsi="仿宋" w:eastAsia="仿宋" w:cs="仿宋"/>
          <w:color w:val="auto"/>
          <w:highlight w:val="none"/>
        </w:rPr>
      </w:pPr>
    </w:p>
    <w:p w14:paraId="59D97614">
      <w:pPr>
        <w:pStyle w:val="22"/>
        <w:rPr>
          <w:rFonts w:ascii="仿宋" w:hAnsi="仿宋" w:eastAsia="仿宋" w:cs="仿宋"/>
          <w:color w:val="auto"/>
          <w:highlight w:val="none"/>
        </w:rPr>
      </w:pPr>
    </w:p>
    <w:p w14:paraId="5F337C81">
      <w:pPr>
        <w:pStyle w:val="22"/>
        <w:rPr>
          <w:rFonts w:ascii="仿宋" w:hAnsi="仿宋" w:eastAsia="仿宋" w:cs="仿宋"/>
          <w:color w:val="auto"/>
          <w:highlight w:val="none"/>
        </w:rPr>
      </w:pPr>
    </w:p>
    <w:p w14:paraId="6251AA7B">
      <w:pPr>
        <w:autoSpaceDE w:val="0"/>
        <w:autoSpaceDN w:val="0"/>
        <w:adjustRightInd w:val="0"/>
        <w:snapToGrid w:val="0"/>
        <w:spacing w:line="360" w:lineRule="auto"/>
        <w:ind w:firstLine="964" w:firstLineChars="300"/>
        <w:rPr>
          <w:rFonts w:hint="eastAsia" w:ascii="仿宋" w:hAnsi="仿宋" w:eastAsia="仿宋" w:cs="仿宋"/>
          <w:b/>
          <w:bCs/>
          <w:color w:val="auto"/>
          <w:sz w:val="32"/>
          <w:szCs w:val="32"/>
          <w:highlight w:val="none"/>
          <w:lang w:val="en-US" w:eastAsia="zh-CN"/>
        </w:rPr>
      </w:pPr>
    </w:p>
    <w:p w14:paraId="195096DE">
      <w:pPr>
        <w:autoSpaceDE w:val="0"/>
        <w:autoSpaceDN w:val="0"/>
        <w:adjustRightInd w:val="0"/>
        <w:snapToGrid w:val="0"/>
        <w:spacing w:line="360" w:lineRule="auto"/>
        <w:ind w:firstLine="964" w:firstLineChars="300"/>
        <w:rPr>
          <w:rFonts w:hint="eastAsia" w:ascii="仿宋" w:hAnsi="仿宋" w:eastAsia="仿宋" w:cs="仿宋"/>
          <w:b/>
          <w:bCs/>
          <w:color w:val="auto"/>
          <w:sz w:val="32"/>
          <w:szCs w:val="32"/>
          <w:highlight w:val="none"/>
          <w:lang w:val="en-US" w:eastAsia="zh-CN"/>
        </w:rPr>
      </w:pPr>
    </w:p>
    <w:p w14:paraId="22360A6F">
      <w:pPr>
        <w:autoSpaceDE w:val="0"/>
        <w:autoSpaceDN w:val="0"/>
        <w:adjustRightInd w:val="0"/>
        <w:snapToGrid w:val="0"/>
        <w:spacing w:line="360" w:lineRule="auto"/>
        <w:ind w:firstLine="964" w:firstLineChars="300"/>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供应商：</w:t>
      </w:r>
    </w:p>
    <w:p w14:paraId="7E876BBB">
      <w:pPr>
        <w:autoSpaceDE w:val="0"/>
        <w:autoSpaceDN w:val="0"/>
        <w:adjustRightInd w:val="0"/>
        <w:snapToGrid w:val="0"/>
        <w:spacing w:line="360" w:lineRule="auto"/>
        <w:ind w:firstLine="964" w:firstLineChars="300"/>
        <w:rPr>
          <w:rFonts w:ascii="仿宋" w:hAnsi="仿宋" w:eastAsia="仿宋" w:cs="仿宋"/>
          <w:b/>
          <w:bCs/>
          <w:color w:val="auto"/>
          <w:sz w:val="32"/>
          <w:szCs w:val="32"/>
          <w:highlight w:val="none"/>
          <w:u w:val="single"/>
        </w:rPr>
      </w:pPr>
      <w:r>
        <w:rPr>
          <w:rFonts w:hint="eastAsia" w:ascii="仿宋" w:hAnsi="仿宋" w:eastAsia="仿宋" w:cs="仿宋"/>
          <w:b/>
          <w:bCs/>
          <w:color w:val="auto"/>
          <w:sz w:val="32"/>
          <w:szCs w:val="32"/>
          <w:highlight w:val="none"/>
          <w:lang w:val="zh-CN"/>
        </w:rPr>
        <w:t>时</w:t>
      </w:r>
      <w:r>
        <w:rPr>
          <w:rFonts w:hint="eastAsia" w:ascii="仿宋" w:hAnsi="仿宋" w:eastAsia="仿宋" w:cs="仿宋"/>
          <w:b/>
          <w:bCs/>
          <w:color w:val="auto"/>
          <w:sz w:val="32"/>
          <w:szCs w:val="32"/>
          <w:highlight w:val="none"/>
        </w:rPr>
        <w:t xml:space="preserve">  </w:t>
      </w:r>
      <w:r>
        <w:rPr>
          <w:rFonts w:hint="eastAsia" w:ascii="仿宋" w:hAnsi="仿宋" w:eastAsia="仿宋" w:cs="仿宋"/>
          <w:b/>
          <w:bCs/>
          <w:color w:val="auto"/>
          <w:sz w:val="32"/>
          <w:szCs w:val="32"/>
          <w:highlight w:val="none"/>
          <w:lang w:val="zh-CN"/>
        </w:rPr>
        <w:t>间：</w:t>
      </w:r>
      <w:r>
        <w:rPr>
          <w:rFonts w:hint="eastAsia" w:ascii="仿宋" w:hAnsi="仿宋" w:eastAsia="仿宋" w:cs="仿宋"/>
          <w:b/>
          <w:bCs/>
          <w:color w:val="auto"/>
          <w:sz w:val="32"/>
          <w:szCs w:val="32"/>
          <w:highlight w:val="none"/>
          <w:u w:val="single"/>
        </w:rPr>
        <w:t xml:space="preserve">  </w:t>
      </w:r>
    </w:p>
    <w:p w14:paraId="412D6618">
      <w:pPr>
        <w:rPr>
          <w:rFonts w:ascii="仿宋" w:hAnsi="仿宋" w:eastAsia="仿宋" w:cs="仿宋"/>
          <w:b/>
          <w:bCs/>
          <w:color w:val="auto"/>
          <w:highlight w:val="none"/>
        </w:rPr>
      </w:pPr>
      <w:r>
        <w:rPr>
          <w:rFonts w:hint="eastAsia" w:ascii="仿宋" w:hAnsi="仿宋" w:eastAsia="仿宋" w:cs="仿宋"/>
          <w:b/>
          <w:bCs/>
          <w:color w:val="auto"/>
          <w:highlight w:val="none"/>
        </w:rPr>
        <w:br w:type="page"/>
      </w:r>
    </w:p>
    <w:p w14:paraId="5F3E9D2B">
      <w:pPr>
        <w:pStyle w:val="3"/>
        <w:jc w:val="center"/>
        <w:rPr>
          <w:rFonts w:ascii="仿宋" w:hAnsi="仿宋" w:eastAsia="仿宋" w:cs="仿宋"/>
          <w:b/>
          <w:bCs/>
          <w:color w:val="auto"/>
          <w:highlight w:val="none"/>
        </w:rPr>
      </w:pPr>
      <w:bookmarkStart w:id="455" w:name="_Toc30711"/>
      <w:bookmarkStart w:id="456" w:name="_Toc1894"/>
      <w:bookmarkStart w:id="457" w:name="_Toc30912"/>
      <w:r>
        <w:rPr>
          <w:rFonts w:hint="eastAsia" w:ascii="仿宋" w:hAnsi="仿宋" w:eastAsia="仿宋" w:cs="仿宋"/>
          <w:b/>
          <w:bCs/>
          <w:color w:val="auto"/>
          <w:highlight w:val="none"/>
        </w:rPr>
        <w:t>第一部分  身份证明文件</w:t>
      </w:r>
      <w:bookmarkEnd w:id="455"/>
      <w:bookmarkEnd w:id="456"/>
      <w:bookmarkEnd w:id="457"/>
    </w:p>
    <w:p w14:paraId="2385F308">
      <w:pPr>
        <w:spacing w:after="120"/>
        <w:rPr>
          <w:rFonts w:ascii="仿宋" w:hAnsi="仿宋" w:eastAsia="仿宋" w:cs="仿宋"/>
          <w:color w:val="auto"/>
          <w:highlight w:val="none"/>
        </w:rPr>
      </w:pPr>
    </w:p>
    <w:p w14:paraId="0DA62537">
      <w:pPr>
        <w:widowControl/>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zh-CN"/>
        </w:rPr>
        <w:t>1、法定代表人（或单位负责人）授权</w:t>
      </w:r>
      <w:r>
        <w:rPr>
          <w:rFonts w:hint="eastAsia" w:ascii="仿宋" w:hAnsi="仿宋" w:eastAsia="仿宋" w:cs="仿宋"/>
          <w:b/>
          <w:bCs/>
          <w:color w:val="auto"/>
          <w:sz w:val="28"/>
          <w:szCs w:val="28"/>
          <w:highlight w:val="none"/>
        </w:rPr>
        <w:t>委托</w:t>
      </w:r>
      <w:r>
        <w:rPr>
          <w:rFonts w:hint="eastAsia" w:ascii="仿宋" w:hAnsi="仿宋" w:eastAsia="仿宋" w:cs="仿宋"/>
          <w:b/>
          <w:bCs/>
          <w:color w:val="auto"/>
          <w:sz w:val="28"/>
          <w:szCs w:val="28"/>
          <w:highlight w:val="none"/>
          <w:lang w:val="zh-CN"/>
        </w:rPr>
        <w:t>书</w:t>
      </w:r>
    </w:p>
    <w:p w14:paraId="44559A1D">
      <w:pPr>
        <w:autoSpaceDE w:val="0"/>
        <w:autoSpaceDN w:val="0"/>
        <w:adjustRightInd w:val="0"/>
        <w:spacing w:line="348" w:lineRule="auto"/>
        <w:ind w:firstLine="400"/>
        <w:rPr>
          <w:rFonts w:ascii="仿宋" w:hAnsi="仿宋" w:eastAsia="仿宋" w:cs="仿宋"/>
          <w:b/>
          <w:bCs/>
          <w:color w:val="auto"/>
          <w:sz w:val="20"/>
          <w:highlight w:val="none"/>
        </w:rPr>
      </w:pPr>
    </w:p>
    <w:p w14:paraId="43446598">
      <w:pPr>
        <w:autoSpaceDE w:val="0"/>
        <w:autoSpaceDN w:val="0"/>
        <w:adjustRightInd w:val="0"/>
        <w:spacing w:line="348" w:lineRule="auto"/>
        <w:rPr>
          <w:rFonts w:ascii="仿宋" w:hAnsi="仿宋" w:eastAsia="仿宋" w:cs="仿宋"/>
          <w:color w:val="auto"/>
          <w:sz w:val="24"/>
          <w:highlight w:val="none"/>
        </w:rPr>
      </w:pPr>
      <w:r>
        <w:rPr>
          <w:rFonts w:hint="eastAsia" w:ascii="仿宋" w:hAnsi="仿宋" w:eastAsia="仿宋" w:cs="仿宋"/>
          <w:color w:val="auto"/>
          <w:sz w:val="24"/>
          <w:highlight w:val="none"/>
          <w:lang w:val="zh-CN"/>
        </w:rPr>
        <w:t>陕西省采购招标有限责任公司：</w:t>
      </w:r>
    </w:p>
    <w:p w14:paraId="31134E7A">
      <w:pPr>
        <w:autoSpaceDE w:val="0"/>
        <w:autoSpaceDN w:val="0"/>
        <w:adjustRightInd w:val="0"/>
        <w:spacing w:line="348" w:lineRule="auto"/>
        <w:ind w:firstLine="640"/>
        <w:rPr>
          <w:rFonts w:ascii="仿宋" w:hAnsi="仿宋" w:eastAsia="仿宋" w:cs="仿宋"/>
          <w:color w:val="auto"/>
          <w:sz w:val="24"/>
          <w:highlight w:val="none"/>
        </w:rPr>
      </w:pPr>
      <w:r>
        <w:rPr>
          <w:rFonts w:hint="eastAsia" w:ascii="仿宋" w:hAnsi="仿宋" w:eastAsia="仿宋" w:cs="仿宋"/>
          <w:color w:val="auto"/>
          <w:sz w:val="24"/>
          <w:highlight w:val="none"/>
          <w:lang w:val="zh-CN"/>
        </w:rPr>
        <w:t>注册于</w:t>
      </w:r>
      <w:r>
        <w:rPr>
          <w:rFonts w:hint="eastAsia" w:ascii="仿宋" w:hAnsi="仿宋" w:eastAsia="仿宋" w:cs="仿宋"/>
          <w:color w:val="auto"/>
          <w:sz w:val="24"/>
          <w:highlight w:val="none"/>
          <w:u w:val="single"/>
          <w:lang w:val="zh-CN"/>
        </w:rPr>
        <w:t>（工商行政管理局名称）</w:t>
      </w:r>
      <w:r>
        <w:rPr>
          <w:rFonts w:hint="eastAsia" w:ascii="仿宋" w:hAnsi="仿宋" w:eastAsia="仿宋" w:cs="仿宋"/>
          <w:color w:val="auto"/>
          <w:sz w:val="24"/>
          <w:highlight w:val="none"/>
          <w:lang w:val="zh-CN"/>
        </w:rPr>
        <w:t>之</w:t>
      </w:r>
      <w:r>
        <w:rPr>
          <w:rFonts w:hint="eastAsia" w:ascii="仿宋" w:hAnsi="仿宋" w:eastAsia="仿宋" w:cs="仿宋"/>
          <w:color w:val="auto"/>
          <w:sz w:val="24"/>
          <w:highlight w:val="none"/>
          <w:u w:val="single"/>
          <w:lang w:val="zh-CN"/>
        </w:rPr>
        <w:t>（供应商全称）</w:t>
      </w:r>
      <w:r>
        <w:rPr>
          <w:rFonts w:hint="eastAsia" w:ascii="仿宋" w:hAnsi="仿宋" w:eastAsia="仿宋" w:cs="仿宋"/>
          <w:color w:val="auto"/>
          <w:sz w:val="24"/>
          <w:highlight w:val="none"/>
          <w:lang w:val="zh-CN"/>
        </w:rPr>
        <w:t>法人代表</w:t>
      </w:r>
      <w:r>
        <w:rPr>
          <w:rFonts w:hint="eastAsia" w:ascii="仿宋" w:hAnsi="仿宋" w:eastAsia="仿宋" w:cs="仿宋"/>
          <w:color w:val="auto"/>
          <w:sz w:val="24"/>
          <w:highlight w:val="none"/>
          <w:u w:val="single"/>
          <w:lang w:val="zh-CN"/>
        </w:rPr>
        <w:t>（姓名、职务）</w:t>
      </w:r>
      <w:r>
        <w:rPr>
          <w:rFonts w:hint="eastAsia" w:ascii="仿宋" w:hAnsi="仿宋" w:eastAsia="仿宋" w:cs="仿宋"/>
          <w:color w:val="auto"/>
          <w:sz w:val="24"/>
          <w:highlight w:val="none"/>
          <w:lang w:val="zh-CN"/>
        </w:rPr>
        <w:t>授权</w:t>
      </w:r>
      <w:r>
        <w:rPr>
          <w:rFonts w:hint="eastAsia" w:ascii="仿宋" w:hAnsi="仿宋" w:eastAsia="仿宋" w:cs="仿宋"/>
          <w:color w:val="auto"/>
          <w:sz w:val="24"/>
          <w:highlight w:val="none"/>
          <w:u w:val="single"/>
          <w:lang w:val="zh-CN"/>
        </w:rPr>
        <w:t>（被授权人姓名、职务）</w:t>
      </w:r>
      <w:r>
        <w:rPr>
          <w:rFonts w:hint="eastAsia" w:ascii="仿宋" w:hAnsi="仿宋" w:eastAsia="仿宋" w:cs="仿宋"/>
          <w:color w:val="auto"/>
          <w:sz w:val="24"/>
          <w:highlight w:val="none"/>
          <w:lang w:val="zh-CN"/>
        </w:rPr>
        <w:t>为本公司的合法代理人，就</w:t>
      </w:r>
      <w:r>
        <w:rPr>
          <w:rFonts w:hint="eastAsia" w:ascii="仿宋" w:hAnsi="仿宋" w:eastAsia="仿宋" w:cs="仿宋"/>
          <w:color w:val="auto"/>
          <w:sz w:val="24"/>
          <w:highlight w:val="none"/>
          <w:u w:val="single"/>
          <w:lang w:val="zh-CN"/>
        </w:rPr>
        <w:t>沣东新城安保服务采购项目（项目编号：SCZC2026-CS-1644/001）</w:t>
      </w:r>
      <w:r>
        <w:rPr>
          <w:rFonts w:hint="eastAsia" w:ascii="仿宋" w:hAnsi="仿宋" w:eastAsia="仿宋" w:cs="仿宋"/>
          <w:color w:val="auto"/>
          <w:sz w:val="24"/>
          <w:highlight w:val="none"/>
          <w:lang w:val="zh-CN"/>
        </w:rPr>
        <w:t>的磋商及合同的执行和完成，以本公司的名义处理一切与之有关的事宜。</w:t>
      </w:r>
    </w:p>
    <w:p w14:paraId="3648AA35">
      <w:pPr>
        <w:snapToGrid w:val="0"/>
        <w:spacing w:line="360" w:lineRule="auto"/>
        <w:ind w:firstLine="480" w:firstLineChars="200"/>
        <w:rPr>
          <w:rFonts w:ascii="仿宋" w:hAnsi="仿宋" w:eastAsia="仿宋" w:cs="仿宋"/>
          <w:b/>
          <w:bCs/>
          <w:color w:val="auto"/>
          <w:sz w:val="24"/>
          <w:highlight w:val="none"/>
          <w:lang w:val="zh-CN"/>
        </w:rPr>
      </w:pPr>
      <w:r>
        <w:rPr>
          <w:rFonts w:hint="eastAsia" w:ascii="仿宋" w:hAnsi="仿宋" w:eastAsia="仿宋" w:cs="仿宋"/>
          <w:color w:val="auto"/>
          <w:sz w:val="24"/>
          <w:highlight w:val="none"/>
          <w:lang w:val="zh-CN"/>
        </w:rPr>
        <w:t>本授权自    年   月  日起生效。（</w:t>
      </w:r>
      <w:r>
        <w:rPr>
          <w:rFonts w:hint="eastAsia" w:ascii="仿宋" w:hAnsi="仿宋" w:eastAsia="仿宋" w:cs="仿宋"/>
          <w:b/>
          <w:color w:val="auto"/>
          <w:sz w:val="24"/>
          <w:highlight w:val="none"/>
          <w:lang w:val="zh-CN"/>
        </w:rPr>
        <w:t>提示：此日期不应晚于磋商响应函签署日期</w:t>
      </w:r>
      <w:r>
        <w:rPr>
          <w:rFonts w:hint="eastAsia" w:ascii="仿宋" w:hAnsi="仿宋" w:eastAsia="仿宋" w:cs="仿宋"/>
          <w:color w:val="auto"/>
          <w:sz w:val="24"/>
          <w:highlight w:val="none"/>
          <w:lang w:val="zh-CN"/>
        </w:rPr>
        <w:t>）</w:t>
      </w:r>
    </w:p>
    <w:p w14:paraId="5E0ECF0F">
      <w:pPr>
        <w:autoSpaceDE w:val="0"/>
        <w:autoSpaceDN w:val="0"/>
        <w:adjustRightInd w:val="0"/>
        <w:spacing w:line="348" w:lineRule="auto"/>
        <w:rPr>
          <w:rFonts w:ascii="仿宋" w:hAnsi="仿宋" w:eastAsia="仿宋" w:cs="仿宋"/>
          <w:color w:val="auto"/>
          <w:sz w:val="24"/>
          <w:highlight w:val="none"/>
        </w:rPr>
      </w:pPr>
    </w:p>
    <w:p w14:paraId="20FD3E72">
      <w:pPr>
        <w:autoSpaceDE w:val="0"/>
        <w:autoSpaceDN w:val="0"/>
        <w:adjustRightInd w:val="0"/>
        <w:spacing w:line="348"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lang w:val="zh-CN"/>
        </w:rPr>
        <w:t>附：被授权人姓名：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lang w:val="zh-CN"/>
        </w:rPr>
        <w:t>性别：</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lang w:val="zh-CN"/>
        </w:rPr>
        <w:t>年龄：</w:t>
      </w:r>
      <w:r>
        <w:rPr>
          <w:rFonts w:hint="eastAsia" w:ascii="仿宋" w:hAnsi="仿宋" w:eastAsia="仿宋" w:cs="仿宋"/>
          <w:color w:val="auto"/>
          <w:sz w:val="24"/>
          <w:highlight w:val="none"/>
          <w:u w:val="single"/>
        </w:rPr>
        <w:t xml:space="preserve">        </w:t>
      </w:r>
    </w:p>
    <w:p w14:paraId="786F4697">
      <w:pPr>
        <w:autoSpaceDE w:val="0"/>
        <w:autoSpaceDN w:val="0"/>
        <w:adjustRightInd w:val="0"/>
        <w:spacing w:line="348" w:lineRule="auto"/>
        <w:ind w:firstLine="630"/>
        <w:rPr>
          <w:rFonts w:ascii="仿宋" w:hAnsi="仿宋" w:eastAsia="仿宋" w:cs="仿宋"/>
          <w:color w:val="auto"/>
          <w:sz w:val="24"/>
          <w:highlight w:val="none"/>
        </w:rPr>
      </w:pPr>
      <w:r>
        <w:rPr>
          <w:rFonts w:hint="eastAsia" w:ascii="仿宋" w:hAnsi="仿宋" w:eastAsia="仿宋" w:cs="仿宋"/>
          <w:color w:val="auto"/>
          <w:sz w:val="24"/>
          <w:highlight w:val="none"/>
          <w:lang w:val="zh-CN"/>
        </w:rPr>
        <w:t>职</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zh-CN"/>
        </w:rPr>
        <w:t>务：</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lang w:val="zh-CN"/>
        </w:rPr>
        <w:t>身份证号码：</w:t>
      </w:r>
      <w:r>
        <w:rPr>
          <w:rFonts w:hint="eastAsia" w:ascii="仿宋" w:hAnsi="仿宋" w:eastAsia="仿宋" w:cs="仿宋"/>
          <w:color w:val="auto"/>
          <w:sz w:val="24"/>
          <w:highlight w:val="none"/>
          <w:u w:val="single"/>
        </w:rPr>
        <w:t xml:space="preserve">             </w:t>
      </w:r>
    </w:p>
    <w:p w14:paraId="2FA37D2B">
      <w:pPr>
        <w:autoSpaceDE w:val="0"/>
        <w:autoSpaceDN w:val="0"/>
        <w:adjustRightInd w:val="0"/>
        <w:spacing w:line="348" w:lineRule="auto"/>
        <w:ind w:firstLine="630"/>
        <w:rPr>
          <w:rFonts w:ascii="仿宋" w:hAnsi="仿宋" w:eastAsia="仿宋" w:cs="仿宋"/>
          <w:color w:val="auto"/>
          <w:sz w:val="24"/>
          <w:highlight w:val="none"/>
          <w:u w:val="single"/>
        </w:rPr>
      </w:pPr>
      <w:r>
        <w:rPr>
          <w:rFonts w:hint="eastAsia" w:ascii="仿宋" w:hAnsi="仿宋" w:eastAsia="仿宋" w:cs="仿宋"/>
          <w:color w:val="auto"/>
          <w:sz w:val="24"/>
          <w:highlight w:val="none"/>
          <w:lang w:val="zh-CN"/>
        </w:rPr>
        <w:t>通讯地址：</w:t>
      </w:r>
      <w:r>
        <w:rPr>
          <w:rFonts w:hint="eastAsia" w:ascii="仿宋" w:hAnsi="仿宋" w:eastAsia="仿宋" w:cs="仿宋"/>
          <w:color w:val="auto"/>
          <w:sz w:val="24"/>
          <w:highlight w:val="none"/>
          <w:u w:val="single"/>
        </w:rPr>
        <w:t xml:space="preserve">                                      </w:t>
      </w:r>
    </w:p>
    <w:p w14:paraId="0CD835F6">
      <w:pPr>
        <w:autoSpaceDE w:val="0"/>
        <w:autoSpaceDN w:val="0"/>
        <w:adjustRightInd w:val="0"/>
        <w:spacing w:line="348" w:lineRule="auto"/>
        <w:ind w:firstLine="630"/>
        <w:rPr>
          <w:rFonts w:ascii="仿宋" w:hAnsi="仿宋" w:eastAsia="仿宋" w:cs="仿宋"/>
          <w:color w:val="auto"/>
          <w:sz w:val="24"/>
          <w:highlight w:val="none"/>
          <w:u w:val="single"/>
        </w:rPr>
      </w:pPr>
      <w:r>
        <w:rPr>
          <w:rFonts w:hint="eastAsia" w:ascii="仿宋" w:hAnsi="仿宋" w:eastAsia="仿宋" w:cs="仿宋"/>
          <w:color w:val="auto"/>
          <w:sz w:val="24"/>
          <w:highlight w:val="none"/>
          <w:lang w:val="zh-CN"/>
        </w:rPr>
        <w:t>邮政编码：</w:t>
      </w:r>
      <w:r>
        <w:rPr>
          <w:rFonts w:hint="eastAsia" w:ascii="仿宋" w:hAnsi="仿宋" w:eastAsia="仿宋" w:cs="仿宋"/>
          <w:color w:val="auto"/>
          <w:sz w:val="24"/>
          <w:highlight w:val="none"/>
          <w:u w:val="single"/>
        </w:rPr>
        <w:t xml:space="preserve">                                      </w:t>
      </w:r>
    </w:p>
    <w:p w14:paraId="739FD2EC">
      <w:pPr>
        <w:autoSpaceDE w:val="0"/>
        <w:autoSpaceDN w:val="0"/>
        <w:adjustRightInd w:val="0"/>
        <w:spacing w:line="348" w:lineRule="auto"/>
        <w:ind w:firstLine="630"/>
        <w:rPr>
          <w:rFonts w:ascii="仿宋" w:hAnsi="仿宋" w:eastAsia="仿宋" w:cs="仿宋"/>
          <w:color w:val="auto"/>
          <w:sz w:val="24"/>
          <w:highlight w:val="none"/>
          <w:u w:val="single"/>
        </w:rPr>
      </w:pPr>
      <w:r>
        <w:rPr>
          <w:rFonts w:hint="eastAsia" w:ascii="仿宋" w:hAnsi="仿宋" w:eastAsia="仿宋" w:cs="仿宋"/>
          <w:color w:val="auto"/>
          <w:sz w:val="24"/>
          <w:highlight w:val="none"/>
          <w:lang w:val="zh-CN"/>
        </w:rPr>
        <w:t>电</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zh-CN"/>
        </w:rPr>
        <w:t>话：</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lang w:val="zh-CN"/>
        </w:rPr>
        <w:t>传真：</w:t>
      </w:r>
      <w:r>
        <w:rPr>
          <w:rFonts w:hint="eastAsia" w:ascii="仿宋" w:hAnsi="仿宋" w:eastAsia="仿宋" w:cs="仿宋"/>
          <w:color w:val="auto"/>
          <w:sz w:val="24"/>
          <w:highlight w:val="none"/>
          <w:u w:val="single"/>
        </w:rPr>
        <w:t xml:space="preserve">           </w:t>
      </w:r>
    </w:p>
    <w:p w14:paraId="4505964C">
      <w:pPr>
        <w:autoSpaceDE w:val="0"/>
        <w:autoSpaceDN w:val="0"/>
        <w:adjustRightInd w:val="0"/>
        <w:spacing w:line="348" w:lineRule="auto"/>
        <w:rPr>
          <w:rFonts w:ascii="仿宋" w:hAnsi="仿宋" w:eastAsia="仿宋" w:cs="仿宋"/>
          <w:color w:val="auto"/>
          <w:sz w:val="24"/>
          <w:highlight w:val="none"/>
        </w:rPr>
      </w:pPr>
    </w:p>
    <w:p w14:paraId="512A101F">
      <w:pPr>
        <w:autoSpaceDE w:val="0"/>
        <w:autoSpaceDN w:val="0"/>
        <w:adjustRightInd w:val="0"/>
        <w:spacing w:line="348" w:lineRule="auto"/>
        <w:ind w:firstLine="480" w:firstLineChars="200"/>
        <w:rPr>
          <w:rFonts w:ascii="仿宋" w:hAnsi="仿宋" w:eastAsia="仿宋" w:cs="仿宋"/>
          <w:color w:val="auto"/>
          <w:sz w:val="24"/>
          <w:highlight w:val="none"/>
        </w:rPr>
      </w:pPr>
      <w:r>
        <w:rPr>
          <w:rFonts w:ascii="仿宋" w:hAnsi="仿宋" w:eastAsia="仿宋" w:cs="仿宋"/>
          <w:color w:val="auto"/>
          <w:sz w:val="24"/>
          <w:highlight w:val="none"/>
          <w:lang w:val="zh-CN"/>
        </w:rPr>
        <w:t>法定代表人</w:t>
      </w:r>
      <w:r>
        <w:rPr>
          <w:rFonts w:ascii="仿宋" w:hAnsi="仿宋" w:eastAsia="仿宋" w:cs="仿宋"/>
          <w:color w:val="auto"/>
          <w:sz w:val="24"/>
          <w:highlight w:val="none"/>
        </w:rPr>
        <w:t>及</w:t>
      </w:r>
      <w:r>
        <w:rPr>
          <w:rFonts w:hint="eastAsia" w:ascii="仿宋" w:hAnsi="仿宋" w:eastAsia="仿宋" w:cs="仿宋"/>
          <w:color w:val="auto"/>
          <w:sz w:val="24"/>
          <w:highlight w:val="none"/>
          <w:lang w:val="zh-CN"/>
        </w:rPr>
        <w:t>委托代理人</w:t>
      </w:r>
      <w:r>
        <w:rPr>
          <w:rFonts w:ascii="仿宋" w:hAnsi="仿宋" w:eastAsia="仿宋" w:cs="仿宋"/>
          <w:color w:val="auto"/>
          <w:sz w:val="24"/>
          <w:highlight w:val="none"/>
          <w:lang w:val="zh-CN"/>
        </w:rPr>
        <w:t>身份证复印件</w:t>
      </w:r>
    </w:p>
    <w:p w14:paraId="6D118245">
      <w:pPr>
        <w:autoSpaceDE w:val="0"/>
        <w:autoSpaceDN w:val="0"/>
        <w:adjustRightInd w:val="0"/>
        <w:spacing w:line="348" w:lineRule="auto"/>
        <w:ind w:firstLine="480" w:firstLineChars="200"/>
        <w:rPr>
          <w:rFonts w:ascii="仿宋" w:hAnsi="仿宋" w:eastAsia="仿宋" w:cs="仿宋"/>
          <w:color w:val="auto"/>
          <w:sz w:val="24"/>
          <w:highlight w:val="none"/>
        </w:rPr>
      </w:pPr>
    </w:p>
    <w:tbl>
      <w:tblPr>
        <w:tblStyle w:val="50"/>
        <w:tblW w:w="0" w:type="auto"/>
        <w:tblInd w:w="679" w:type="dxa"/>
        <w:tblLayout w:type="fixed"/>
        <w:tblCellMar>
          <w:top w:w="0" w:type="dxa"/>
          <w:left w:w="108" w:type="dxa"/>
          <w:bottom w:w="0" w:type="dxa"/>
          <w:right w:w="108" w:type="dxa"/>
        </w:tblCellMar>
      </w:tblPr>
      <w:tblGrid>
        <w:gridCol w:w="4049"/>
        <w:gridCol w:w="3885"/>
      </w:tblGrid>
      <w:tr w14:paraId="6F540B1C">
        <w:tblPrEx>
          <w:tblCellMar>
            <w:top w:w="0" w:type="dxa"/>
            <w:left w:w="108" w:type="dxa"/>
            <w:bottom w:w="0" w:type="dxa"/>
            <w:right w:w="108" w:type="dxa"/>
          </w:tblCellMar>
        </w:tblPrEx>
        <w:trPr>
          <w:trHeight w:val="2100" w:hRule="atLeast"/>
        </w:trPr>
        <w:tc>
          <w:tcPr>
            <w:tcW w:w="4049" w:type="dxa"/>
            <w:tcBorders>
              <w:top w:val="single" w:color="auto" w:sz="6" w:space="0"/>
              <w:left w:val="single" w:color="auto" w:sz="6" w:space="0"/>
              <w:bottom w:val="single" w:color="auto" w:sz="6" w:space="0"/>
              <w:right w:val="single" w:color="auto" w:sz="6" w:space="0"/>
            </w:tcBorders>
            <w:vAlign w:val="center"/>
          </w:tcPr>
          <w:p w14:paraId="5F9B60BF">
            <w:pPr>
              <w:autoSpaceDE w:val="0"/>
              <w:autoSpaceDN w:val="0"/>
              <w:adjustRightInd w:val="0"/>
              <w:spacing w:line="348" w:lineRule="auto"/>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法定代表人</w:t>
            </w:r>
            <w:r>
              <w:rPr>
                <w:rFonts w:hint="eastAsia" w:ascii="仿宋" w:hAnsi="仿宋" w:eastAsia="仿宋" w:cs="仿宋"/>
                <w:color w:val="auto"/>
                <w:sz w:val="24"/>
                <w:highlight w:val="none"/>
              </w:rPr>
              <w:t>（或单位负责人）</w:t>
            </w:r>
            <w:r>
              <w:rPr>
                <w:rFonts w:hint="eastAsia" w:ascii="仿宋" w:hAnsi="仿宋" w:eastAsia="仿宋" w:cs="仿宋"/>
                <w:color w:val="auto"/>
                <w:sz w:val="24"/>
                <w:highlight w:val="none"/>
                <w:lang w:val="zh-CN"/>
              </w:rPr>
              <w:t>身份证复印件</w:t>
            </w:r>
          </w:p>
          <w:p w14:paraId="161B2217">
            <w:pPr>
              <w:autoSpaceDE w:val="0"/>
              <w:autoSpaceDN w:val="0"/>
              <w:adjustRightInd w:val="0"/>
              <w:spacing w:line="348" w:lineRule="auto"/>
              <w:jc w:val="center"/>
              <w:rPr>
                <w:rFonts w:ascii="仿宋" w:hAnsi="仿宋" w:eastAsia="仿宋" w:cs="仿宋"/>
                <w:color w:val="auto"/>
                <w:sz w:val="24"/>
                <w:highlight w:val="none"/>
                <w:u w:val="single"/>
              </w:rPr>
            </w:pPr>
            <w:r>
              <w:rPr>
                <w:rFonts w:hint="eastAsia" w:ascii="仿宋" w:hAnsi="仿宋" w:eastAsia="仿宋" w:cs="仿宋"/>
                <w:color w:val="auto"/>
                <w:sz w:val="24"/>
                <w:highlight w:val="none"/>
                <w:lang w:val="zh-CN"/>
              </w:rPr>
              <w:t>（正反面）</w:t>
            </w:r>
          </w:p>
        </w:tc>
        <w:tc>
          <w:tcPr>
            <w:tcW w:w="3885" w:type="dxa"/>
            <w:tcBorders>
              <w:top w:val="single" w:color="auto" w:sz="6" w:space="0"/>
              <w:left w:val="single" w:color="auto" w:sz="6" w:space="0"/>
              <w:bottom w:val="single" w:color="auto" w:sz="6" w:space="0"/>
              <w:right w:val="single" w:color="auto" w:sz="6" w:space="0"/>
            </w:tcBorders>
            <w:vAlign w:val="center"/>
          </w:tcPr>
          <w:p w14:paraId="3DD7CBE8">
            <w:pPr>
              <w:autoSpaceDE w:val="0"/>
              <w:autoSpaceDN w:val="0"/>
              <w:adjustRightInd w:val="0"/>
              <w:spacing w:line="348" w:lineRule="auto"/>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委托代理人</w:t>
            </w:r>
            <w:r>
              <w:rPr>
                <w:rFonts w:ascii="仿宋" w:hAnsi="仿宋" w:eastAsia="仿宋" w:cs="仿宋"/>
                <w:color w:val="auto"/>
                <w:sz w:val="24"/>
                <w:highlight w:val="none"/>
                <w:lang w:val="zh-CN"/>
              </w:rPr>
              <w:t>身份证复印件</w:t>
            </w:r>
          </w:p>
          <w:p w14:paraId="4E6F5B62">
            <w:pPr>
              <w:autoSpaceDE w:val="0"/>
              <w:autoSpaceDN w:val="0"/>
              <w:adjustRightInd w:val="0"/>
              <w:spacing w:line="348" w:lineRule="auto"/>
              <w:jc w:val="center"/>
              <w:rPr>
                <w:rFonts w:ascii="仿宋" w:hAnsi="仿宋" w:eastAsia="仿宋" w:cs="仿宋"/>
                <w:color w:val="auto"/>
                <w:sz w:val="24"/>
                <w:highlight w:val="none"/>
                <w:u w:val="single"/>
              </w:rPr>
            </w:pPr>
            <w:r>
              <w:rPr>
                <w:rFonts w:hint="eastAsia" w:ascii="仿宋" w:hAnsi="仿宋" w:eastAsia="仿宋" w:cs="仿宋"/>
                <w:color w:val="auto"/>
                <w:sz w:val="24"/>
                <w:highlight w:val="none"/>
                <w:lang w:val="zh-CN"/>
              </w:rPr>
              <w:t>（正反面）</w:t>
            </w:r>
          </w:p>
        </w:tc>
      </w:tr>
    </w:tbl>
    <w:p w14:paraId="129BEAF1">
      <w:pPr>
        <w:adjustRightInd w:val="0"/>
        <w:snapToGrid w:val="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p>
    <w:p w14:paraId="16F9E7C9">
      <w:pPr>
        <w:adjustRightInd w:val="0"/>
        <w:snapToGrid w:val="0"/>
        <w:spacing w:line="360" w:lineRule="auto"/>
        <w:rPr>
          <w:rFonts w:ascii="仿宋" w:hAnsi="仿宋" w:eastAsia="仿宋" w:cs="仿宋"/>
          <w:color w:val="auto"/>
          <w:sz w:val="24"/>
          <w:highlight w:val="none"/>
        </w:rPr>
      </w:pPr>
    </w:p>
    <w:p w14:paraId="081EB04A">
      <w:pPr>
        <w:adjustRightInd w:val="0"/>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供应商                         法定代表人（或单位负责人）</w:t>
      </w:r>
    </w:p>
    <w:p w14:paraId="7F208E7E">
      <w:pPr>
        <w:adjustRightInd w:val="0"/>
        <w:snapToGrid w:val="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（公章）：                  （签字或盖章）：</w:t>
      </w:r>
    </w:p>
    <w:p w14:paraId="7C983350">
      <w:pPr>
        <w:spacing w:after="120"/>
        <w:rPr>
          <w:rFonts w:ascii="仿宋" w:hAnsi="仿宋" w:eastAsia="仿宋" w:cs="仿宋"/>
          <w:color w:val="auto"/>
          <w:highlight w:val="none"/>
        </w:rPr>
      </w:pPr>
      <w:r>
        <w:rPr>
          <w:rFonts w:hint="eastAsia" w:ascii="仿宋" w:hAnsi="仿宋" w:eastAsia="仿宋" w:cs="仿宋"/>
          <w:b/>
          <w:bCs/>
          <w:i/>
          <w:iCs/>
          <w:color w:val="auto"/>
          <w:sz w:val="24"/>
          <w:highlight w:val="none"/>
        </w:rPr>
        <w:t>注：</w:t>
      </w:r>
      <w:r>
        <w:rPr>
          <w:rFonts w:hint="eastAsia" w:ascii="仿宋" w:hAnsi="仿宋" w:eastAsia="仿宋" w:cs="仿宋"/>
          <w:b/>
          <w:bCs/>
          <w:i/>
          <w:iCs/>
          <w:color w:val="auto"/>
          <w:sz w:val="24"/>
          <w:highlight w:val="none"/>
          <w:lang w:val="zh-CN"/>
        </w:rPr>
        <w:t>法定代表人（或单位负责人）直接参加磋商时，无需提供此授权</w:t>
      </w:r>
      <w:r>
        <w:rPr>
          <w:rFonts w:hint="eastAsia" w:ascii="仿宋" w:hAnsi="仿宋" w:eastAsia="仿宋" w:cs="仿宋"/>
          <w:b/>
          <w:bCs/>
          <w:i/>
          <w:iCs/>
          <w:color w:val="auto"/>
          <w:sz w:val="24"/>
          <w:highlight w:val="none"/>
        </w:rPr>
        <w:t>委托</w:t>
      </w:r>
      <w:r>
        <w:rPr>
          <w:rFonts w:hint="eastAsia" w:ascii="仿宋" w:hAnsi="仿宋" w:eastAsia="仿宋" w:cs="仿宋"/>
          <w:b/>
          <w:bCs/>
          <w:i/>
          <w:iCs/>
          <w:color w:val="auto"/>
          <w:sz w:val="24"/>
          <w:highlight w:val="none"/>
          <w:lang w:val="zh-CN"/>
        </w:rPr>
        <w:t>书，只需提供法定代表人（或单位负责人）身份证明。</w:t>
      </w:r>
      <w:r>
        <w:rPr>
          <w:rFonts w:hint="eastAsia" w:ascii="仿宋" w:hAnsi="仿宋" w:eastAsia="仿宋" w:cs="仿宋"/>
          <w:color w:val="auto"/>
          <w:highlight w:val="none"/>
        </w:rPr>
        <w:br w:type="page"/>
      </w:r>
    </w:p>
    <w:p w14:paraId="57C4C4D1">
      <w:pPr>
        <w:widowControl/>
        <w:jc w:val="center"/>
        <w:rPr>
          <w:rFonts w:hint="eastAsia"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lang w:val="en-US" w:eastAsia="zh-CN"/>
        </w:rPr>
        <w:t>2</w:t>
      </w:r>
      <w:r>
        <w:rPr>
          <w:rFonts w:hint="eastAsia" w:ascii="仿宋" w:hAnsi="仿宋" w:eastAsia="仿宋" w:cs="仿宋"/>
          <w:b/>
          <w:bCs/>
          <w:color w:val="auto"/>
          <w:sz w:val="28"/>
          <w:szCs w:val="28"/>
          <w:highlight w:val="none"/>
          <w:lang w:val="zh-CN"/>
        </w:rPr>
        <w:t>、</w:t>
      </w:r>
      <w:r>
        <w:rPr>
          <w:rFonts w:hint="eastAsia" w:ascii="仿宋" w:hAnsi="仿宋" w:eastAsia="仿宋" w:cs="仿宋"/>
          <w:b/>
          <w:bCs/>
          <w:color w:val="auto"/>
          <w:sz w:val="28"/>
          <w:szCs w:val="28"/>
          <w:highlight w:val="none"/>
          <w:lang w:val="zh-CN" w:eastAsia="zh-CN"/>
        </w:rPr>
        <w:t>委托代理人</w:t>
      </w:r>
      <w:r>
        <w:rPr>
          <w:rFonts w:hint="eastAsia" w:ascii="仿宋" w:hAnsi="仿宋" w:eastAsia="仿宋" w:cs="仿宋"/>
          <w:b/>
          <w:bCs/>
          <w:color w:val="auto"/>
          <w:sz w:val="28"/>
          <w:szCs w:val="28"/>
          <w:highlight w:val="none"/>
          <w:lang w:val="zh-CN"/>
        </w:rPr>
        <w:t>本单位证明</w:t>
      </w:r>
    </w:p>
    <w:p w14:paraId="24DA1EA6">
      <w:pPr>
        <w:jc w:val="center"/>
        <w:rPr>
          <w:rFonts w:hint="eastAsia" w:ascii="仿宋" w:hAnsi="仿宋" w:eastAsia="仿宋"/>
          <w:sz w:val="28"/>
          <w:szCs w:val="28"/>
          <w:highlight w:val="none"/>
          <w:lang w:val="zh-CN"/>
        </w:rPr>
      </w:pPr>
    </w:p>
    <w:p w14:paraId="42AA9B3B">
      <w:pPr>
        <w:jc w:val="center"/>
        <w:rPr>
          <w:rFonts w:hint="eastAsia" w:ascii="仿宋" w:hAnsi="仿宋" w:eastAsia="仿宋" w:cs="仿宋"/>
          <w:b/>
          <w:color w:val="auto"/>
          <w:kern w:val="0"/>
          <w:sz w:val="28"/>
          <w:szCs w:val="28"/>
          <w:highlight w:val="none"/>
        </w:rPr>
      </w:pPr>
      <w:r>
        <w:rPr>
          <w:rFonts w:hint="eastAsia" w:ascii="仿宋" w:hAnsi="仿宋" w:eastAsia="仿宋"/>
          <w:sz w:val="28"/>
          <w:szCs w:val="28"/>
          <w:highlight w:val="none"/>
          <w:lang w:val="zh-CN"/>
        </w:rPr>
        <w:t>（</w:t>
      </w:r>
      <w:r>
        <w:rPr>
          <w:rFonts w:hint="eastAsia" w:ascii="仿宋" w:hAnsi="仿宋" w:eastAsia="仿宋"/>
          <w:sz w:val="28"/>
          <w:szCs w:val="28"/>
          <w:highlight w:val="none"/>
          <w:lang w:val="en-US" w:eastAsia="zh-CN"/>
        </w:rPr>
        <w:t>提供委托代理人在本单位</w:t>
      </w:r>
      <w:r>
        <w:rPr>
          <w:rFonts w:hint="eastAsia" w:ascii="仿宋" w:hAnsi="仿宋" w:eastAsia="仿宋"/>
          <w:sz w:val="28"/>
          <w:szCs w:val="28"/>
          <w:highlight w:val="none"/>
        </w:rPr>
        <w:t>养老保险缴纳证明</w:t>
      </w:r>
      <w:r>
        <w:rPr>
          <w:rFonts w:hint="eastAsia" w:ascii="仿宋" w:hAnsi="仿宋" w:eastAsia="仿宋"/>
          <w:sz w:val="28"/>
          <w:szCs w:val="28"/>
          <w:highlight w:val="none"/>
          <w:lang w:val="zh-CN"/>
        </w:rPr>
        <w:t>）</w:t>
      </w:r>
    </w:p>
    <w:p w14:paraId="479CB0C5">
      <w:pPr>
        <w:rPr>
          <w:rFonts w:hint="eastAsia" w:ascii="仿宋" w:hAnsi="仿宋" w:eastAsia="仿宋" w:cs="仿宋"/>
          <w:b/>
          <w:color w:val="auto"/>
          <w:kern w:val="0"/>
          <w:sz w:val="28"/>
          <w:szCs w:val="28"/>
          <w:highlight w:val="none"/>
          <w:lang w:val="en-US" w:eastAsia="zh-CN"/>
        </w:rPr>
      </w:pPr>
      <w:r>
        <w:rPr>
          <w:rFonts w:hint="eastAsia" w:ascii="仿宋" w:hAnsi="仿宋" w:eastAsia="仿宋" w:cs="仿宋"/>
          <w:b/>
          <w:color w:val="auto"/>
          <w:kern w:val="0"/>
          <w:sz w:val="28"/>
          <w:szCs w:val="28"/>
          <w:highlight w:val="none"/>
          <w:lang w:val="en-US" w:eastAsia="zh-CN"/>
        </w:rPr>
        <w:br w:type="page"/>
      </w:r>
    </w:p>
    <w:p w14:paraId="53F89133">
      <w:pPr>
        <w:autoSpaceDE w:val="0"/>
        <w:autoSpaceDN w:val="0"/>
        <w:adjustRightInd w:val="0"/>
        <w:jc w:val="center"/>
        <w:rPr>
          <w:rFonts w:ascii="仿宋" w:hAnsi="仿宋" w:eastAsia="仿宋" w:cs="仿宋"/>
          <w:b/>
          <w:color w:val="auto"/>
          <w:kern w:val="0"/>
          <w:sz w:val="28"/>
          <w:szCs w:val="28"/>
          <w:highlight w:val="none"/>
        </w:rPr>
      </w:pPr>
      <w:r>
        <w:rPr>
          <w:rFonts w:hint="eastAsia" w:ascii="仿宋" w:hAnsi="仿宋" w:eastAsia="仿宋" w:cs="仿宋"/>
          <w:b/>
          <w:color w:val="auto"/>
          <w:kern w:val="0"/>
          <w:sz w:val="28"/>
          <w:szCs w:val="28"/>
          <w:highlight w:val="none"/>
          <w:lang w:val="en-US" w:eastAsia="zh-CN"/>
        </w:rPr>
        <w:t>3</w:t>
      </w:r>
      <w:r>
        <w:rPr>
          <w:rFonts w:hint="eastAsia" w:ascii="仿宋" w:hAnsi="仿宋" w:eastAsia="仿宋" w:cs="仿宋"/>
          <w:b/>
          <w:color w:val="auto"/>
          <w:kern w:val="0"/>
          <w:sz w:val="28"/>
          <w:szCs w:val="28"/>
          <w:highlight w:val="none"/>
        </w:rPr>
        <w:t>、法定代表人（或单位负责人）身份证明</w:t>
      </w:r>
    </w:p>
    <w:p w14:paraId="14B7DD23">
      <w:pPr>
        <w:autoSpaceDE w:val="0"/>
        <w:autoSpaceDN w:val="0"/>
        <w:adjustRightInd w:val="0"/>
        <w:spacing w:line="360" w:lineRule="auto"/>
        <w:jc w:val="left"/>
        <w:rPr>
          <w:rFonts w:ascii="仿宋" w:hAnsi="仿宋" w:eastAsia="仿宋" w:cs="仿宋"/>
          <w:color w:val="auto"/>
          <w:kern w:val="0"/>
          <w:sz w:val="24"/>
          <w:highlight w:val="none"/>
        </w:rPr>
      </w:pPr>
    </w:p>
    <w:p w14:paraId="3481C2A8">
      <w:pPr>
        <w:autoSpaceDE w:val="0"/>
        <w:autoSpaceDN w:val="0"/>
        <w:adjustRightInd w:val="0"/>
        <w:spacing w:line="360" w:lineRule="auto"/>
        <w:jc w:val="left"/>
        <w:rPr>
          <w:rFonts w:ascii="仿宋" w:hAnsi="仿宋" w:eastAsia="仿宋" w:cs="仿宋"/>
          <w:color w:val="auto"/>
          <w:kern w:val="0"/>
          <w:sz w:val="24"/>
          <w:highlight w:val="none"/>
        </w:rPr>
      </w:pPr>
    </w:p>
    <w:p w14:paraId="71F00E88">
      <w:pPr>
        <w:autoSpaceDE w:val="0"/>
        <w:autoSpaceDN w:val="0"/>
        <w:adjustRightInd w:val="0"/>
        <w:spacing w:line="360"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供应商名称：</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 </w:t>
      </w:r>
    </w:p>
    <w:p w14:paraId="218AE3F5">
      <w:pPr>
        <w:autoSpaceDE w:val="0"/>
        <w:autoSpaceDN w:val="0"/>
        <w:adjustRightInd w:val="0"/>
        <w:spacing w:line="360"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单位性质： </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 </w:t>
      </w:r>
    </w:p>
    <w:p w14:paraId="5759AD3D">
      <w:pPr>
        <w:autoSpaceDE w:val="0"/>
        <w:autoSpaceDN w:val="0"/>
        <w:adjustRightInd w:val="0"/>
        <w:spacing w:line="360"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地    址： </w:t>
      </w:r>
      <w:r>
        <w:rPr>
          <w:rFonts w:hint="eastAsia" w:ascii="仿宋" w:hAnsi="仿宋" w:eastAsia="仿宋" w:cs="仿宋"/>
          <w:color w:val="auto"/>
          <w:kern w:val="0"/>
          <w:sz w:val="24"/>
          <w:highlight w:val="none"/>
          <w:u w:val="single"/>
        </w:rPr>
        <w:t xml:space="preserve">                       </w:t>
      </w:r>
    </w:p>
    <w:p w14:paraId="7A4E9492">
      <w:pPr>
        <w:autoSpaceDE w:val="0"/>
        <w:autoSpaceDN w:val="0"/>
        <w:adjustRightInd w:val="0"/>
        <w:spacing w:line="360"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成立时间：</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 年</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月</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日</w:t>
      </w:r>
    </w:p>
    <w:p w14:paraId="4E060C3F">
      <w:pPr>
        <w:autoSpaceDE w:val="0"/>
        <w:autoSpaceDN w:val="0"/>
        <w:adjustRightInd w:val="0"/>
        <w:spacing w:line="360"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经营期限：</w:t>
      </w:r>
    </w:p>
    <w:p w14:paraId="3D3E447E">
      <w:pPr>
        <w:autoSpaceDE w:val="0"/>
        <w:autoSpaceDN w:val="0"/>
        <w:adjustRightInd w:val="0"/>
        <w:spacing w:line="360" w:lineRule="auto"/>
        <w:jc w:val="left"/>
        <w:rPr>
          <w:rFonts w:ascii="仿宋" w:hAnsi="仿宋" w:eastAsia="仿宋" w:cs="仿宋"/>
          <w:color w:val="auto"/>
          <w:kern w:val="0"/>
          <w:sz w:val="24"/>
          <w:highlight w:val="none"/>
        </w:rPr>
      </w:pPr>
    </w:p>
    <w:p w14:paraId="08107001">
      <w:pPr>
        <w:autoSpaceDE w:val="0"/>
        <w:autoSpaceDN w:val="0"/>
        <w:adjustRightInd w:val="0"/>
        <w:spacing w:line="360" w:lineRule="auto"/>
        <w:jc w:val="left"/>
        <w:rPr>
          <w:rFonts w:ascii="仿宋" w:hAnsi="仿宋" w:eastAsia="仿宋" w:cs="仿宋"/>
          <w:color w:val="auto"/>
          <w:kern w:val="0"/>
          <w:sz w:val="24"/>
          <w:highlight w:val="none"/>
        </w:rPr>
      </w:pPr>
    </w:p>
    <w:p w14:paraId="6AA75CFE">
      <w:pPr>
        <w:autoSpaceDE w:val="0"/>
        <w:autoSpaceDN w:val="0"/>
        <w:adjustRightInd w:val="0"/>
        <w:spacing w:line="360"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姓名：</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性别：</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年龄：</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 职务：</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系</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（供应商名称）的法定代表人</w:t>
      </w:r>
      <w:r>
        <w:rPr>
          <w:rFonts w:hint="eastAsia" w:ascii="仿宋" w:hAnsi="仿宋" w:eastAsia="仿宋" w:cs="仿宋"/>
          <w:color w:val="auto"/>
          <w:sz w:val="24"/>
          <w:highlight w:val="none"/>
        </w:rPr>
        <w:t>（或单位负责人）</w:t>
      </w:r>
      <w:r>
        <w:rPr>
          <w:rFonts w:hint="eastAsia" w:ascii="仿宋" w:hAnsi="仿宋" w:eastAsia="仿宋" w:cs="仿宋"/>
          <w:color w:val="auto"/>
          <w:kern w:val="0"/>
          <w:sz w:val="24"/>
          <w:highlight w:val="none"/>
        </w:rPr>
        <w:t>。</w:t>
      </w:r>
    </w:p>
    <w:p w14:paraId="2C2410DC">
      <w:pPr>
        <w:autoSpaceDE w:val="0"/>
        <w:autoSpaceDN w:val="0"/>
        <w:adjustRightInd w:val="0"/>
        <w:spacing w:line="360"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特此证明。</w:t>
      </w:r>
    </w:p>
    <w:p w14:paraId="435C2A35">
      <w:pPr>
        <w:autoSpaceDE w:val="0"/>
        <w:autoSpaceDN w:val="0"/>
        <w:adjustRightInd w:val="0"/>
        <w:spacing w:line="360" w:lineRule="auto"/>
        <w:jc w:val="lef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附：法定代表人（或单位负责人）身份证复印件</w:t>
      </w:r>
    </w:p>
    <w:tbl>
      <w:tblPr>
        <w:tblStyle w:val="50"/>
        <w:tblW w:w="0" w:type="auto"/>
        <w:tblInd w:w="679" w:type="dxa"/>
        <w:tblLayout w:type="fixed"/>
        <w:tblCellMar>
          <w:top w:w="0" w:type="dxa"/>
          <w:left w:w="108" w:type="dxa"/>
          <w:bottom w:w="0" w:type="dxa"/>
          <w:right w:w="108" w:type="dxa"/>
        </w:tblCellMar>
      </w:tblPr>
      <w:tblGrid>
        <w:gridCol w:w="4049"/>
      </w:tblGrid>
      <w:tr w14:paraId="3838D70C">
        <w:tblPrEx>
          <w:tblCellMar>
            <w:top w:w="0" w:type="dxa"/>
            <w:left w:w="108" w:type="dxa"/>
            <w:bottom w:w="0" w:type="dxa"/>
            <w:right w:w="108" w:type="dxa"/>
          </w:tblCellMar>
        </w:tblPrEx>
        <w:trPr>
          <w:trHeight w:val="2100" w:hRule="atLeast"/>
        </w:trPr>
        <w:tc>
          <w:tcPr>
            <w:tcW w:w="4049" w:type="dxa"/>
            <w:tcBorders>
              <w:top w:val="single" w:color="auto" w:sz="6" w:space="0"/>
              <w:left w:val="single" w:color="auto" w:sz="6" w:space="0"/>
              <w:bottom w:val="single" w:color="auto" w:sz="6" w:space="0"/>
              <w:right w:val="single" w:color="auto" w:sz="6" w:space="0"/>
            </w:tcBorders>
            <w:vAlign w:val="center"/>
          </w:tcPr>
          <w:p w14:paraId="3ED9FE29">
            <w:pPr>
              <w:autoSpaceDE w:val="0"/>
              <w:autoSpaceDN w:val="0"/>
              <w:adjustRightInd w:val="0"/>
              <w:spacing w:line="348" w:lineRule="auto"/>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法定代表人（或单位负责人）身份证复印件</w:t>
            </w:r>
          </w:p>
          <w:p w14:paraId="796E02E1">
            <w:pPr>
              <w:autoSpaceDE w:val="0"/>
              <w:autoSpaceDN w:val="0"/>
              <w:adjustRightInd w:val="0"/>
              <w:spacing w:line="348" w:lineRule="auto"/>
              <w:jc w:val="center"/>
              <w:rPr>
                <w:rFonts w:ascii="仿宋" w:hAnsi="仿宋" w:eastAsia="仿宋" w:cs="仿宋"/>
                <w:color w:val="auto"/>
                <w:sz w:val="24"/>
                <w:highlight w:val="none"/>
                <w:u w:val="single"/>
              </w:rPr>
            </w:pPr>
            <w:r>
              <w:rPr>
                <w:rFonts w:hint="eastAsia" w:ascii="仿宋" w:hAnsi="仿宋" w:eastAsia="仿宋" w:cs="仿宋"/>
                <w:color w:val="auto"/>
                <w:sz w:val="24"/>
                <w:highlight w:val="none"/>
                <w:lang w:val="zh-CN"/>
              </w:rPr>
              <w:t>（正反面）</w:t>
            </w:r>
          </w:p>
        </w:tc>
      </w:tr>
    </w:tbl>
    <w:p w14:paraId="43188B6A">
      <w:pPr>
        <w:autoSpaceDE w:val="0"/>
        <w:autoSpaceDN w:val="0"/>
        <w:adjustRightInd w:val="0"/>
        <w:spacing w:line="360" w:lineRule="auto"/>
        <w:jc w:val="left"/>
        <w:rPr>
          <w:rFonts w:ascii="仿宋" w:hAnsi="仿宋" w:eastAsia="仿宋" w:cs="仿宋"/>
          <w:color w:val="auto"/>
          <w:kern w:val="0"/>
          <w:sz w:val="24"/>
          <w:highlight w:val="none"/>
        </w:rPr>
      </w:pPr>
    </w:p>
    <w:p w14:paraId="6B969F25">
      <w:pPr>
        <w:autoSpaceDE w:val="0"/>
        <w:autoSpaceDN w:val="0"/>
        <w:adjustRightInd w:val="0"/>
        <w:spacing w:line="360" w:lineRule="auto"/>
        <w:jc w:val="left"/>
        <w:rPr>
          <w:rFonts w:ascii="仿宋" w:hAnsi="仿宋" w:eastAsia="仿宋" w:cs="仿宋"/>
          <w:color w:val="auto"/>
          <w:kern w:val="0"/>
          <w:sz w:val="24"/>
          <w:highlight w:val="none"/>
        </w:rPr>
      </w:pPr>
    </w:p>
    <w:p w14:paraId="2D8DA854">
      <w:pPr>
        <w:autoSpaceDE w:val="0"/>
        <w:autoSpaceDN w:val="0"/>
        <w:adjustRightInd w:val="0"/>
        <w:spacing w:line="360" w:lineRule="auto"/>
        <w:jc w:val="left"/>
        <w:rPr>
          <w:rFonts w:ascii="仿宋" w:hAnsi="仿宋" w:eastAsia="仿宋" w:cs="仿宋"/>
          <w:color w:val="auto"/>
          <w:kern w:val="0"/>
          <w:sz w:val="24"/>
          <w:highlight w:val="none"/>
        </w:rPr>
      </w:pPr>
    </w:p>
    <w:p w14:paraId="3CC2D5EB">
      <w:pPr>
        <w:autoSpaceDE w:val="0"/>
        <w:autoSpaceDN w:val="0"/>
        <w:adjustRightInd w:val="0"/>
        <w:spacing w:line="360" w:lineRule="auto"/>
        <w:jc w:val="left"/>
        <w:rPr>
          <w:rFonts w:ascii="仿宋" w:hAnsi="仿宋" w:eastAsia="仿宋" w:cs="仿宋"/>
          <w:color w:val="auto"/>
          <w:kern w:val="0"/>
          <w:sz w:val="24"/>
          <w:highlight w:val="none"/>
        </w:rPr>
      </w:pPr>
    </w:p>
    <w:p w14:paraId="3823AE7E">
      <w:pPr>
        <w:autoSpaceDE w:val="0"/>
        <w:autoSpaceDN w:val="0"/>
        <w:adjustRightInd w:val="0"/>
        <w:spacing w:line="360" w:lineRule="auto"/>
        <w:ind w:left="5399" w:leftChars="2571"/>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供应商：</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（公章）</w:t>
      </w:r>
    </w:p>
    <w:p w14:paraId="3ABE414E">
      <w:pPr>
        <w:autoSpaceDE w:val="0"/>
        <w:autoSpaceDN w:val="0"/>
        <w:adjustRightInd w:val="0"/>
        <w:spacing w:line="360" w:lineRule="auto"/>
        <w:ind w:left="5399" w:leftChars="2571"/>
        <w:jc w:val="left"/>
        <w:rPr>
          <w:rFonts w:ascii="仿宋" w:hAnsi="仿宋" w:eastAsia="仿宋" w:cs="仿宋"/>
          <w:color w:val="auto"/>
          <w:kern w:val="0"/>
          <w:sz w:val="24"/>
          <w:highlight w:val="none"/>
        </w:rPr>
      </w:pPr>
    </w:p>
    <w:p w14:paraId="172D2E26">
      <w:pPr>
        <w:autoSpaceDE w:val="0"/>
        <w:autoSpaceDN w:val="0"/>
        <w:adjustRightInd w:val="0"/>
        <w:spacing w:line="360" w:lineRule="auto"/>
        <w:ind w:left="6659" w:leftChars="3171"/>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年  月  日</w:t>
      </w:r>
    </w:p>
    <w:p w14:paraId="3AC45714">
      <w:pPr>
        <w:rPr>
          <w:rFonts w:ascii="仿宋" w:hAnsi="仿宋" w:eastAsia="仿宋" w:cs="仿宋"/>
          <w:color w:val="auto"/>
          <w:highlight w:val="none"/>
        </w:rPr>
      </w:pPr>
      <w:r>
        <w:rPr>
          <w:rFonts w:hint="eastAsia" w:ascii="仿宋" w:hAnsi="仿宋" w:eastAsia="仿宋" w:cs="仿宋"/>
          <w:color w:val="auto"/>
          <w:highlight w:val="none"/>
        </w:rPr>
        <w:br w:type="page"/>
      </w:r>
    </w:p>
    <w:p w14:paraId="49EF8E07">
      <w:pPr>
        <w:pStyle w:val="3"/>
        <w:jc w:val="center"/>
        <w:rPr>
          <w:rFonts w:ascii="仿宋" w:hAnsi="仿宋" w:eastAsia="仿宋" w:cs="仿宋"/>
          <w:b/>
          <w:bCs/>
          <w:color w:val="auto"/>
          <w:highlight w:val="none"/>
        </w:rPr>
      </w:pPr>
      <w:bookmarkStart w:id="458" w:name="_Toc5421"/>
      <w:bookmarkStart w:id="459" w:name="_Toc8054"/>
      <w:bookmarkStart w:id="460" w:name="_Toc32256"/>
      <w:r>
        <w:rPr>
          <w:rFonts w:hint="eastAsia" w:ascii="仿宋" w:hAnsi="仿宋" w:eastAsia="仿宋" w:cs="仿宋"/>
          <w:b/>
          <w:bCs/>
          <w:color w:val="auto"/>
          <w:highlight w:val="none"/>
        </w:rPr>
        <w:t>第二部分  资格证明文件</w:t>
      </w:r>
      <w:bookmarkEnd w:id="458"/>
      <w:bookmarkEnd w:id="459"/>
      <w:bookmarkEnd w:id="460"/>
    </w:p>
    <w:p w14:paraId="0AAF55EE">
      <w:pPr>
        <w:spacing w:after="120"/>
        <w:rPr>
          <w:rFonts w:ascii="仿宋" w:hAnsi="仿宋" w:eastAsia="仿宋" w:cs="仿宋"/>
          <w:color w:val="auto"/>
          <w:highlight w:val="none"/>
        </w:rPr>
      </w:pPr>
    </w:p>
    <w:p w14:paraId="42F3CCE4">
      <w:pPr>
        <w:keepNext w:val="0"/>
        <w:keepLines w:val="0"/>
        <w:pageBreakBefore w:val="0"/>
        <w:widowControl w:val="0"/>
        <w:numPr>
          <w:ilvl w:val="0"/>
          <w:numId w:val="13"/>
        </w:numPr>
        <w:tabs>
          <w:tab w:val="left" w:pos="993"/>
          <w:tab w:val="left" w:pos="1030"/>
          <w:tab w:val="left" w:pos="8364"/>
          <w:tab w:val="clear" w:pos="0"/>
        </w:tabs>
        <w:kinsoku/>
        <w:wordWrap/>
        <w:overflowPunct/>
        <w:topLinePunct w:val="0"/>
        <w:autoSpaceDE/>
        <w:autoSpaceDN/>
        <w:bidi w:val="0"/>
        <w:snapToGrid w:val="0"/>
        <w:spacing w:line="360" w:lineRule="auto"/>
        <w:ind w:right="-57" w:rightChars="-27"/>
        <w:jc w:val="left"/>
        <w:rPr>
          <w:rFonts w:ascii="仿宋" w:hAnsi="仿宋" w:eastAsia="仿宋" w:cs="仿宋"/>
          <w:color w:val="auto"/>
          <w:sz w:val="24"/>
          <w:highlight w:val="none"/>
        </w:rPr>
      </w:pPr>
      <w:r>
        <w:rPr>
          <w:rFonts w:hint="eastAsia" w:ascii="仿宋" w:hAnsi="仿宋" w:eastAsia="仿宋" w:cs="仿宋"/>
          <w:color w:val="auto"/>
          <w:sz w:val="24"/>
          <w:highlight w:val="none"/>
        </w:rPr>
        <w:t>供应商的企业法人营业执照复印件（格式要求见附件1）；</w:t>
      </w:r>
    </w:p>
    <w:p w14:paraId="531B9509">
      <w:pPr>
        <w:keepNext w:val="0"/>
        <w:keepLines w:val="0"/>
        <w:pageBreakBefore w:val="0"/>
        <w:widowControl w:val="0"/>
        <w:numPr>
          <w:ilvl w:val="0"/>
          <w:numId w:val="13"/>
        </w:numPr>
        <w:tabs>
          <w:tab w:val="left" w:pos="993"/>
          <w:tab w:val="left" w:pos="1030"/>
          <w:tab w:val="left" w:pos="8364"/>
          <w:tab w:val="clear" w:pos="0"/>
        </w:tabs>
        <w:kinsoku/>
        <w:wordWrap/>
        <w:overflowPunct/>
        <w:topLinePunct w:val="0"/>
        <w:autoSpaceDE/>
        <w:autoSpaceDN/>
        <w:bidi w:val="0"/>
        <w:snapToGrid w:val="0"/>
        <w:spacing w:line="360" w:lineRule="auto"/>
        <w:ind w:right="-57" w:rightChars="-27"/>
        <w:jc w:val="left"/>
        <w:rPr>
          <w:rFonts w:ascii="仿宋" w:hAnsi="仿宋" w:eastAsia="仿宋" w:cs="仿宋"/>
          <w:color w:val="auto"/>
          <w:sz w:val="24"/>
          <w:highlight w:val="none"/>
        </w:rPr>
      </w:pPr>
      <w:r>
        <w:rPr>
          <w:rFonts w:hint="eastAsia" w:ascii="仿宋" w:hAnsi="仿宋" w:eastAsia="仿宋" w:cs="仿宋"/>
          <w:color w:val="auto"/>
          <w:sz w:val="24"/>
          <w:highlight w:val="none"/>
        </w:rPr>
        <w:t>供应商提供</w:t>
      </w:r>
      <w:r>
        <w:rPr>
          <w:rFonts w:hint="eastAsia" w:ascii="仿宋" w:hAnsi="仿宋" w:eastAsia="仿宋" w:cs="仿宋"/>
          <w:color w:val="auto"/>
          <w:sz w:val="24"/>
          <w:highlight w:val="none"/>
          <w:lang w:val="en-US" w:eastAsia="zh-CN"/>
        </w:rPr>
        <w:t>基本资格条件承诺函</w:t>
      </w:r>
      <w:r>
        <w:rPr>
          <w:rFonts w:hint="eastAsia" w:ascii="仿宋" w:hAnsi="仿宋" w:eastAsia="仿宋" w:cs="仿宋"/>
          <w:color w:val="auto"/>
          <w:sz w:val="24"/>
          <w:highlight w:val="none"/>
        </w:rPr>
        <w:t>（格式见附件</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w:t>
      </w:r>
    </w:p>
    <w:p w14:paraId="6313BDC4">
      <w:pPr>
        <w:keepNext w:val="0"/>
        <w:keepLines w:val="0"/>
        <w:pageBreakBefore w:val="0"/>
        <w:widowControl w:val="0"/>
        <w:numPr>
          <w:ilvl w:val="0"/>
          <w:numId w:val="13"/>
        </w:numPr>
        <w:tabs>
          <w:tab w:val="left" w:pos="200"/>
          <w:tab w:val="left" w:pos="8364"/>
          <w:tab w:val="clear" w:pos="0"/>
        </w:tabs>
        <w:kinsoku/>
        <w:wordWrap/>
        <w:overflowPunct/>
        <w:topLinePunct w:val="0"/>
        <w:autoSpaceDE/>
        <w:autoSpaceDN/>
        <w:bidi w:val="0"/>
        <w:snapToGrid w:val="0"/>
        <w:spacing w:line="360" w:lineRule="auto"/>
        <w:ind w:right="-57" w:rightChars="-27"/>
        <w:jc w:val="left"/>
        <w:rPr>
          <w:rFonts w:ascii="仿宋" w:hAnsi="仿宋" w:eastAsia="仿宋" w:cs="仿宋"/>
          <w:color w:val="auto"/>
          <w:sz w:val="24"/>
          <w:highlight w:val="none"/>
        </w:rPr>
      </w:pPr>
      <w:r>
        <w:rPr>
          <w:rFonts w:hint="eastAsia" w:ascii="仿宋" w:hAnsi="仿宋" w:eastAsia="仿宋" w:cs="仿宋"/>
          <w:color w:val="auto"/>
          <w:sz w:val="24"/>
          <w:highlight w:val="none"/>
        </w:rPr>
        <w:t>供应商控股股东名称、控股公司的名称和存在管理、被管理关系的单位名称说明（格式见附件</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w:t>
      </w:r>
    </w:p>
    <w:p w14:paraId="3C57CC87">
      <w:pPr>
        <w:keepNext w:val="0"/>
        <w:keepLines w:val="0"/>
        <w:pageBreakBefore w:val="0"/>
        <w:widowControl w:val="0"/>
        <w:numPr>
          <w:ilvl w:val="0"/>
          <w:numId w:val="13"/>
        </w:numPr>
        <w:tabs>
          <w:tab w:val="left" w:pos="220"/>
          <w:tab w:val="left" w:pos="420"/>
          <w:tab w:val="left" w:pos="8364"/>
          <w:tab w:val="clear" w:pos="0"/>
        </w:tabs>
        <w:kinsoku/>
        <w:wordWrap/>
        <w:overflowPunct/>
        <w:topLinePunct w:val="0"/>
        <w:autoSpaceDE/>
        <w:autoSpaceDN/>
        <w:bidi w:val="0"/>
        <w:snapToGrid w:val="0"/>
        <w:spacing w:line="360" w:lineRule="auto"/>
        <w:ind w:right="-57" w:rightChars="-27"/>
        <w:jc w:val="left"/>
        <w:rPr>
          <w:rFonts w:ascii="仿宋" w:hAnsi="仿宋" w:eastAsia="仿宋" w:cs="仿宋"/>
          <w:color w:val="auto"/>
          <w:sz w:val="24"/>
          <w:highlight w:val="none"/>
        </w:rPr>
      </w:pPr>
      <w:r>
        <w:rPr>
          <w:rFonts w:hint="eastAsia" w:ascii="仿宋" w:hAnsi="仿宋" w:eastAsia="仿宋" w:cs="仿宋"/>
          <w:color w:val="auto"/>
          <w:sz w:val="24"/>
          <w:highlight w:val="none"/>
        </w:rPr>
        <w:t>供应商是否属于为本项目提供整体设计、规范编制或者项目管理、监理、检测等服务的供应商声明原件（格式见附件</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w:t>
      </w:r>
    </w:p>
    <w:p w14:paraId="1EA27529">
      <w:pPr>
        <w:keepNext w:val="0"/>
        <w:keepLines w:val="0"/>
        <w:pageBreakBefore w:val="0"/>
        <w:widowControl w:val="0"/>
        <w:numPr>
          <w:ilvl w:val="0"/>
          <w:numId w:val="13"/>
        </w:numPr>
        <w:tabs>
          <w:tab w:val="left" w:pos="220"/>
          <w:tab w:val="left" w:pos="8364"/>
          <w:tab w:val="clear" w:pos="0"/>
        </w:tabs>
        <w:kinsoku/>
        <w:wordWrap/>
        <w:overflowPunct/>
        <w:topLinePunct w:val="0"/>
        <w:autoSpaceDE/>
        <w:autoSpaceDN/>
        <w:bidi w:val="0"/>
        <w:snapToGrid w:val="0"/>
        <w:spacing w:line="360" w:lineRule="auto"/>
        <w:ind w:right="-57" w:rightChars="-27"/>
        <w:jc w:val="left"/>
        <w:rPr>
          <w:rFonts w:ascii="仿宋" w:hAnsi="仿宋" w:eastAsia="仿宋" w:cs="仿宋"/>
          <w:color w:val="auto"/>
          <w:sz w:val="24"/>
          <w:highlight w:val="none"/>
        </w:rPr>
      </w:pPr>
      <w:r>
        <w:rPr>
          <w:rFonts w:hint="eastAsia" w:ascii="仿宋" w:hAnsi="仿宋" w:eastAsia="仿宋" w:cs="仿宋"/>
          <w:color w:val="auto"/>
          <w:sz w:val="24"/>
          <w:highlight w:val="none"/>
        </w:rPr>
        <w:t>证明供应商符合特定资格条件的证明材料（格式见附件</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w:t>
      </w:r>
    </w:p>
    <w:p w14:paraId="5E127707">
      <w:pPr>
        <w:keepNext w:val="0"/>
        <w:keepLines w:val="0"/>
        <w:pageBreakBefore w:val="0"/>
        <w:widowControl w:val="0"/>
        <w:kinsoku/>
        <w:wordWrap/>
        <w:overflowPunct/>
        <w:topLinePunct w:val="0"/>
        <w:autoSpaceDE/>
        <w:autoSpaceDN/>
        <w:bidi w:val="0"/>
        <w:adjustRightInd w:val="0"/>
        <w:spacing w:line="360" w:lineRule="auto"/>
        <w:jc w:val="left"/>
        <w:textAlignment w:val="baseline"/>
        <w:rPr>
          <w:rFonts w:hint="eastAsia" w:ascii="仿宋" w:hAnsi="仿宋" w:eastAsia="仿宋" w:cs="仿宋"/>
          <w:color w:val="auto"/>
          <w:sz w:val="24"/>
          <w:highlight w:val="none"/>
        </w:rPr>
      </w:pPr>
    </w:p>
    <w:p w14:paraId="5A27E23E">
      <w:pPr>
        <w:keepNext w:val="0"/>
        <w:keepLines w:val="0"/>
        <w:pageBreakBefore w:val="0"/>
        <w:widowControl w:val="0"/>
        <w:kinsoku/>
        <w:wordWrap/>
        <w:overflowPunct/>
        <w:topLinePunct w:val="0"/>
        <w:autoSpaceDE/>
        <w:autoSpaceDN/>
        <w:bidi w:val="0"/>
        <w:adjustRightInd w:val="0"/>
        <w:spacing w:line="360" w:lineRule="auto"/>
        <w:jc w:val="left"/>
        <w:textAlignment w:val="baseline"/>
        <w:rPr>
          <w:rFonts w:ascii="仿宋" w:hAnsi="仿宋" w:eastAsia="仿宋" w:cs="仿宋"/>
          <w:color w:val="auto"/>
          <w:sz w:val="24"/>
          <w:highlight w:val="none"/>
        </w:rPr>
      </w:pPr>
      <w:r>
        <w:rPr>
          <w:rFonts w:hint="eastAsia" w:ascii="仿宋" w:hAnsi="仿宋" w:eastAsia="仿宋" w:cs="仿宋"/>
          <w:color w:val="auto"/>
          <w:sz w:val="24"/>
          <w:highlight w:val="none"/>
        </w:rPr>
        <w:t>以上提供的扫描件、复印件必须加盖供应商公章。</w:t>
      </w:r>
    </w:p>
    <w:p w14:paraId="5EBECC24">
      <w:pPr>
        <w:spacing w:after="120"/>
        <w:rPr>
          <w:rFonts w:ascii="仿宋" w:hAnsi="仿宋" w:eastAsia="仿宋" w:cs="仿宋"/>
          <w:color w:val="auto"/>
          <w:highlight w:val="none"/>
        </w:rPr>
      </w:pPr>
      <w:r>
        <w:rPr>
          <w:rFonts w:hint="eastAsia" w:ascii="仿宋" w:hAnsi="仿宋" w:eastAsia="仿宋" w:cs="仿宋"/>
          <w:color w:val="auto"/>
          <w:highlight w:val="none"/>
        </w:rPr>
        <w:br w:type="page"/>
      </w:r>
    </w:p>
    <w:p w14:paraId="5EE56CE1">
      <w:pPr>
        <w:adjustRightInd w:val="0"/>
        <w:spacing w:line="360" w:lineRule="auto"/>
        <w:ind w:firstLine="480" w:firstLineChars="200"/>
        <w:jc w:val="left"/>
        <w:textAlignment w:val="baseline"/>
        <w:rPr>
          <w:rFonts w:ascii="仿宋" w:hAnsi="仿宋" w:eastAsia="仿宋" w:cs="仿宋"/>
          <w:color w:val="auto"/>
          <w:sz w:val="24"/>
          <w:highlight w:val="none"/>
        </w:rPr>
      </w:pPr>
    </w:p>
    <w:p w14:paraId="25052B5F">
      <w:pPr>
        <w:jc w:val="left"/>
        <w:outlineLvl w:val="9"/>
        <w:rPr>
          <w:rFonts w:ascii="仿宋" w:hAnsi="仿宋" w:eastAsia="仿宋" w:cs="仿宋"/>
          <w:b/>
          <w:color w:val="auto"/>
          <w:sz w:val="24"/>
          <w:highlight w:val="none"/>
        </w:rPr>
      </w:pPr>
      <w:bookmarkStart w:id="461" w:name="_Toc7005120"/>
      <w:r>
        <w:rPr>
          <w:rFonts w:hint="eastAsia" w:ascii="仿宋" w:hAnsi="仿宋" w:eastAsia="仿宋" w:cs="仿宋"/>
          <w:b/>
          <w:color w:val="auto"/>
          <w:sz w:val="24"/>
          <w:highlight w:val="none"/>
        </w:rPr>
        <w:t>1  供应商的企业法人营业执照复印件（加盖公章）</w:t>
      </w:r>
      <w:bookmarkEnd w:id="461"/>
    </w:p>
    <w:p w14:paraId="6864DCA7">
      <w:pPr>
        <w:jc w:val="left"/>
        <w:rPr>
          <w:rFonts w:ascii="仿宋" w:hAnsi="仿宋" w:eastAsia="仿宋" w:cs="仿宋"/>
          <w:color w:val="auto"/>
          <w:sz w:val="24"/>
          <w:highlight w:val="none"/>
        </w:rPr>
      </w:pPr>
    </w:p>
    <w:p w14:paraId="42320042">
      <w:pPr>
        <w:tabs>
          <w:tab w:val="left" w:pos="993"/>
          <w:tab w:val="left" w:pos="1030"/>
          <w:tab w:val="left" w:pos="8364"/>
        </w:tabs>
        <w:snapToGrid w:val="0"/>
        <w:spacing w:after="120" w:afterLines="50"/>
        <w:ind w:right="-57" w:rightChars="-27"/>
        <w:rPr>
          <w:rFonts w:ascii="仿宋" w:hAnsi="仿宋" w:eastAsia="仿宋" w:cs="仿宋"/>
          <w:color w:val="auto"/>
          <w:sz w:val="24"/>
          <w:highlight w:val="none"/>
        </w:rPr>
      </w:pPr>
      <w:r>
        <w:rPr>
          <w:rFonts w:hint="eastAsia" w:ascii="仿宋" w:hAnsi="仿宋" w:eastAsia="仿宋" w:cs="仿宋"/>
          <w:color w:val="auto"/>
          <w:sz w:val="24"/>
          <w:highlight w:val="none"/>
        </w:rPr>
        <w:t>（注：根据项目实际情况，本项内容可能要求提供“事业单位法人证书”、自然人身份证明等证明材料）</w:t>
      </w:r>
    </w:p>
    <w:p w14:paraId="69B1C32D">
      <w:pPr>
        <w:adjustRightInd w:val="0"/>
        <w:spacing w:line="360" w:lineRule="atLeast"/>
        <w:jc w:val="left"/>
        <w:textAlignment w:val="baseline"/>
        <w:rPr>
          <w:rFonts w:ascii="仿宋" w:hAnsi="仿宋" w:eastAsia="仿宋" w:cs="仿宋"/>
          <w:b/>
          <w:color w:val="auto"/>
          <w:sz w:val="28"/>
          <w:highlight w:val="none"/>
        </w:rPr>
      </w:pPr>
    </w:p>
    <w:p w14:paraId="3DBC49DF">
      <w:pPr>
        <w:adjustRightInd w:val="0"/>
        <w:spacing w:line="360" w:lineRule="atLeast"/>
        <w:jc w:val="left"/>
        <w:textAlignment w:val="baseline"/>
        <w:rPr>
          <w:rFonts w:ascii="仿宋" w:hAnsi="仿宋" w:eastAsia="仿宋" w:cs="仿宋"/>
          <w:b/>
          <w:color w:val="auto"/>
          <w:sz w:val="28"/>
          <w:highlight w:val="none"/>
        </w:rPr>
      </w:pPr>
      <w:r>
        <w:rPr>
          <w:rFonts w:hint="eastAsia" w:ascii="仿宋" w:hAnsi="仿宋" w:eastAsia="仿宋" w:cs="仿宋"/>
          <w:b/>
          <w:color w:val="auto"/>
          <w:sz w:val="28"/>
          <w:highlight w:val="none"/>
        </w:rPr>
        <w:t xml:space="preserve"> </w:t>
      </w:r>
    </w:p>
    <w:p w14:paraId="3D8C7F99">
      <w:pPr>
        <w:rPr>
          <w:rFonts w:hint="eastAsia" w:ascii="仿宋" w:hAnsi="仿宋" w:eastAsia="仿宋" w:cs="仿宋"/>
          <w:b/>
          <w:color w:val="auto"/>
          <w:sz w:val="24"/>
          <w:highlight w:val="none"/>
          <w:lang w:val="en-US" w:eastAsia="zh-CN"/>
        </w:rPr>
      </w:pPr>
      <w:bookmarkStart w:id="462" w:name="_Toc7005121"/>
      <w:bookmarkStart w:id="463" w:name="_Ref527015333"/>
      <w:r>
        <w:rPr>
          <w:rFonts w:hint="eastAsia" w:ascii="仿宋" w:hAnsi="仿宋" w:eastAsia="仿宋" w:cs="仿宋"/>
          <w:b/>
          <w:color w:val="auto"/>
          <w:sz w:val="24"/>
          <w:highlight w:val="none"/>
        </w:rPr>
        <w:t xml:space="preserve">2  </w:t>
      </w:r>
      <w:bookmarkEnd w:id="462"/>
      <w:bookmarkEnd w:id="463"/>
      <w:r>
        <w:rPr>
          <w:rFonts w:hint="eastAsia" w:ascii="仿宋" w:hAnsi="仿宋" w:eastAsia="仿宋" w:cs="仿宋"/>
          <w:b/>
          <w:color w:val="auto"/>
          <w:sz w:val="24"/>
          <w:highlight w:val="none"/>
          <w:lang w:val="en-US" w:eastAsia="zh-CN"/>
        </w:rPr>
        <w:t>基本资格条件承诺函</w:t>
      </w:r>
    </w:p>
    <w:p w14:paraId="453BE283">
      <w:pPr>
        <w:pStyle w:val="306"/>
        <w:keepNext w:val="0"/>
        <w:keepLines w:val="0"/>
        <w:pageBreakBefore w:val="0"/>
        <w:widowControl w:val="0"/>
        <w:shd w:val="clear" w:color="auto" w:fill="auto"/>
        <w:tabs>
          <w:tab w:val="left" w:pos="2851"/>
        </w:tabs>
        <w:kinsoku/>
        <w:wordWrap/>
        <w:overflowPunct/>
        <w:topLinePunct w:val="0"/>
        <w:autoSpaceDE/>
        <w:autoSpaceDN/>
        <w:bidi w:val="0"/>
        <w:adjustRightInd/>
        <w:snapToGrid/>
        <w:spacing w:before="0" w:line="360" w:lineRule="auto"/>
        <w:ind w:left="0" w:right="0" w:firstLine="480" w:firstLineChars="200"/>
        <w:jc w:val="left"/>
        <w:textAlignment w:val="auto"/>
        <w:rPr>
          <w:rFonts w:hint="eastAsia" w:ascii="仿宋" w:hAnsi="仿宋" w:eastAsia="仿宋" w:cs="仿宋"/>
          <w:color w:val="auto"/>
          <w:spacing w:val="0"/>
          <w:w w:val="100"/>
          <w:position w:val="0"/>
          <w:sz w:val="24"/>
          <w:szCs w:val="24"/>
          <w:highlight w:val="none"/>
        </w:rPr>
      </w:pPr>
    </w:p>
    <w:p w14:paraId="0A291F5D">
      <w:pPr>
        <w:pStyle w:val="306"/>
        <w:keepNext w:val="0"/>
        <w:keepLines w:val="0"/>
        <w:pageBreakBefore w:val="0"/>
        <w:widowControl w:val="0"/>
        <w:shd w:val="clear" w:color="auto" w:fill="auto"/>
        <w:tabs>
          <w:tab w:val="left" w:pos="2851"/>
        </w:tabs>
        <w:kinsoku/>
        <w:wordWrap/>
        <w:overflowPunct/>
        <w:topLinePunct w:val="0"/>
        <w:autoSpaceDE/>
        <w:autoSpaceDN/>
        <w:bidi w:val="0"/>
        <w:adjustRightInd/>
        <w:snapToGrid/>
        <w:spacing w:before="0" w:line="480" w:lineRule="auto"/>
        <w:ind w:left="0" w:leftChars="0" w:right="0" w:firstLine="0" w:firstLineChars="0"/>
        <w:jc w:val="left"/>
        <w:textAlignment w:val="auto"/>
        <w:rPr>
          <w:rFonts w:hint="eastAsia" w:ascii="仿宋" w:hAnsi="仿宋" w:eastAsia="仿宋" w:cs="仿宋"/>
          <w:color w:val="auto"/>
          <w:spacing w:val="0"/>
          <w:w w:val="100"/>
          <w:position w:val="0"/>
          <w:sz w:val="24"/>
          <w:szCs w:val="24"/>
          <w:highlight w:val="none"/>
        </w:rPr>
      </w:pPr>
      <w:r>
        <w:rPr>
          <w:rFonts w:hint="eastAsia" w:ascii="仿宋" w:hAnsi="仿宋" w:eastAsia="仿宋" w:cs="仿宋"/>
          <w:color w:val="auto"/>
          <w:spacing w:val="0"/>
          <w:w w:val="100"/>
          <w:position w:val="0"/>
          <w:sz w:val="24"/>
          <w:szCs w:val="24"/>
          <w:highlight w:val="none"/>
        </w:rPr>
        <w:t>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pacing w:val="0"/>
          <w:w w:val="100"/>
          <w:position w:val="0"/>
          <w:sz w:val="24"/>
          <w:szCs w:val="24"/>
          <w:highlight w:val="none"/>
        </w:rPr>
        <w:t>（采购代理机构名称）：</w:t>
      </w:r>
    </w:p>
    <w:p w14:paraId="38B50D9A">
      <w:pPr>
        <w:pStyle w:val="306"/>
        <w:keepNext w:val="0"/>
        <w:keepLines w:val="0"/>
        <w:pageBreakBefore w:val="0"/>
        <w:widowControl w:val="0"/>
        <w:shd w:val="clear" w:color="auto" w:fill="auto"/>
        <w:tabs>
          <w:tab w:val="left" w:pos="2851"/>
        </w:tabs>
        <w:kinsoku/>
        <w:wordWrap/>
        <w:overflowPunct/>
        <w:topLinePunct w:val="0"/>
        <w:autoSpaceDE/>
        <w:autoSpaceDN/>
        <w:bidi w:val="0"/>
        <w:adjustRightInd/>
        <w:snapToGrid/>
        <w:spacing w:before="0" w:line="48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pacing w:val="0"/>
          <w:w w:val="100"/>
          <w:position w:val="0"/>
          <w:sz w:val="24"/>
          <w:szCs w:val="24"/>
          <w:highlight w:val="none"/>
        </w:rPr>
        <w:t>（</w:t>
      </w:r>
      <w:r>
        <w:rPr>
          <w:rFonts w:hint="eastAsia" w:ascii="仿宋" w:hAnsi="仿宋" w:eastAsia="仿宋" w:cs="仿宋"/>
          <w:color w:val="auto"/>
          <w:spacing w:val="0"/>
          <w:w w:val="100"/>
          <w:position w:val="0"/>
          <w:sz w:val="24"/>
          <w:szCs w:val="24"/>
          <w:highlight w:val="none"/>
          <w:lang w:val="en-US" w:eastAsia="zh-CN"/>
        </w:rPr>
        <w:t>供应商</w:t>
      </w:r>
      <w:r>
        <w:rPr>
          <w:rFonts w:hint="eastAsia" w:ascii="仿宋" w:hAnsi="仿宋" w:eastAsia="仿宋" w:cs="仿宋"/>
          <w:color w:val="auto"/>
          <w:spacing w:val="0"/>
          <w:w w:val="100"/>
          <w:position w:val="0"/>
          <w:sz w:val="24"/>
          <w:szCs w:val="24"/>
          <w:highlight w:val="none"/>
        </w:rPr>
        <w:t>名称）郑重承诺：</w:t>
      </w:r>
    </w:p>
    <w:p w14:paraId="41649E30">
      <w:pPr>
        <w:pStyle w:val="306"/>
        <w:keepNext w:val="0"/>
        <w:keepLines w:val="0"/>
        <w:pageBreakBefore w:val="0"/>
        <w:widowControl w:val="0"/>
        <w:numPr>
          <w:ilvl w:val="0"/>
          <w:numId w:val="0"/>
        </w:numPr>
        <w:shd w:val="clear" w:color="auto" w:fill="auto"/>
        <w:tabs>
          <w:tab w:val="left" w:pos="1045"/>
        </w:tabs>
        <w:kinsoku/>
        <w:wordWrap/>
        <w:overflowPunct/>
        <w:topLinePunct w:val="0"/>
        <w:autoSpaceDE/>
        <w:autoSpaceDN/>
        <w:bidi w:val="0"/>
        <w:adjustRightInd/>
        <w:snapToGrid/>
        <w:spacing w:before="0" w:line="480" w:lineRule="auto"/>
        <w:ind w:left="0" w:leftChars="0" w:right="0" w:rightChars="0" w:firstLine="480" w:firstLineChars="200"/>
        <w:jc w:val="left"/>
        <w:textAlignment w:val="auto"/>
        <w:rPr>
          <w:rFonts w:hint="eastAsia" w:ascii="仿宋" w:hAnsi="仿宋" w:eastAsia="仿宋" w:cs="仿宋"/>
          <w:color w:val="auto"/>
          <w:sz w:val="24"/>
          <w:szCs w:val="24"/>
          <w:highlight w:val="none"/>
        </w:rPr>
      </w:pPr>
      <w:bookmarkStart w:id="464" w:name="bookmark0"/>
      <w:bookmarkEnd w:id="464"/>
      <w:r>
        <w:rPr>
          <w:rFonts w:hint="eastAsia" w:ascii="仿宋" w:hAnsi="仿宋" w:eastAsia="仿宋" w:cs="仿宋"/>
          <w:b w:val="0"/>
          <w:bCs w:val="0"/>
          <w:i w:val="0"/>
          <w:iCs w:val="0"/>
          <w:smallCaps w:val="0"/>
          <w:strike w:val="0"/>
          <w:color w:val="auto"/>
          <w:spacing w:val="0"/>
          <w:w w:val="100"/>
          <w:kern w:val="2"/>
          <w:position w:val="0"/>
          <w:sz w:val="24"/>
          <w:szCs w:val="24"/>
          <w:highlight w:val="none"/>
          <w:u w:val="none"/>
          <w:shd w:val="clear" w:color="auto" w:fill="auto"/>
          <w:lang w:val="zh-TW" w:eastAsia="zh-TW" w:bidi="zh-TW"/>
        </w:rPr>
        <w:t>1.</w:t>
      </w:r>
      <w:r>
        <w:rPr>
          <w:rFonts w:hint="eastAsia" w:ascii="仿宋" w:hAnsi="仿宋" w:eastAsia="仿宋" w:cs="仿宋"/>
          <w:color w:val="auto"/>
          <w:spacing w:val="0"/>
          <w:w w:val="100"/>
          <w:position w:val="0"/>
          <w:sz w:val="24"/>
          <w:szCs w:val="24"/>
          <w:highlight w:val="none"/>
        </w:rPr>
        <w:t>我方具有良好的商业信誉和健全的财务会计制度，具有 履行合同所必需的设备和专业技术能力，具有依法缴纳税收和社会保障金的良好记录，参加本项目采购活动前三年内无重大违法活动记录。</w:t>
      </w:r>
    </w:p>
    <w:p w14:paraId="25E0A3B9">
      <w:pPr>
        <w:pStyle w:val="306"/>
        <w:keepNext w:val="0"/>
        <w:keepLines w:val="0"/>
        <w:pageBreakBefore w:val="0"/>
        <w:widowControl w:val="0"/>
        <w:numPr>
          <w:ilvl w:val="0"/>
          <w:numId w:val="0"/>
        </w:numPr>
        <w:shd w:val="clear" w:color="auto" w:fill="auto"/>
        <w:tabs>
          <w:tab w:val="left" w:pos="1042"/>
        </w:tabs>
        <w:kinsoku/>
        <w:wordWrap/>
        <w:overflowPunct/>
        <w:topLinePunct w:val="0"/>
        <w:autoSpaceDE/>
        <w:autoSpaceDN/>
        <w:bidi w:val="0"/>
        <w:adjustRightInd/>
        <w:snapToGrid/>
        <w:spacing w:before="0" w:line="480" w:lineRule="auto"/>
        <w:ind w:left="0" w:leftChars="0" w:right="0" w:rightChars="0" w:firstLine="480" w:firstLineChars="200"/>
        <w:jc w:val="left"/>
        <w:textAlignment w:val="auto"/>
        <w:rPr>
          <w:rFonts w:hint="eastAsia" w:ascii="仿宋" w:hAnsi="仿宋" w:eastAsia="仿宋" w:cs="仿宋"/>
          <w:color w:val="auto"/>
          <w:sz w:val="24"/>
          <w:szCs w:val="24"/>
          <w:highlight w:val="none"/>
        </w:rPr>
      </w:pPr>
      <w:bookmarkStart w:id="465" w:name="bookmark1"/>
      <w:bookmarkEnd w:id="465"/>
      <w:r>
        <w:rPr>
          <w:rFonts w:hint="eastAsia" w:ascii="仿宋" w:hAnsi="仿宋" w:eastAsia="仿宋" w:cs="仿宋"/>
          <w:b w:val="0"/>
          <w:bCs w:val="0"/>
          <w:i w:val="0"/>
          <w:iCs w:val="0"/>
          <w:smallCaps w:val="0"/>
          <w:strike w:val="0"/>
          <w:color w:val="auto"/>
          <w:spacing w:val="0"/>
          <w:w w:val="100"/>
          <w:kern w:val="2"/>
          <w:position w:val="0"/>
          <w:sz w:val="24"/>
          <w:szCs w:val="24"/>
          <w:highlight w:val="none"/>
          <w:u w:val="none"/>
          <w:shd w:val="clear" w:color="auto" w:fill="auto"/>
          <w:lang w:val="zh-TW" w:eastAsia="zh-TW" w:bidi="zh-TW"/>
        </w:rPr>
        <w:t>2.</w:t>
      </w:r>
      <w:r>
        <w:rPr>
          <w:rFonts w:hint="eastAsia" w:ascii="仿宋" w:hAnsi="仿宋" w:eastAsia="仿宋" w:cs="仿宋"/>
          <w:color w:val="auto"/>
          <w:spacing w:val="0"/>
          <w:w w:val="100"/>
          <w:position w:val="0"/>
          <w:sz w:val="24"/>
          <w:szCs w:val="24"/>
          <w:highlight w:val="none"/>
        </w:rPr>
        <w:t>我方未列入在信用中国网站（</w:t>
      </w:r>
      <w:r>
        <w:rPr>
          <w:rFonts w:hint="eastAsia" w:ascii="仿宋" w:hAnsi="仿宋" w:eastAsia="仿宋" w:cs="仿宋"/>
          <w:color w:val="auto"/>
          <w:spacing w:val="0"/>
          <w:w w:val="100"/>
          <w:position w:val="0"/>
          <w:sz w:val="24"/>
          <w:szCs w:val="24"/>
          <w:highlight w:val="none"/>
          <w:lang w:val="en-US" w:eastAsia="en-US" w:bidi="en-US"/>
        </w:rPr>
        <w:t>www</w:t>
      </w:r>
      <w:r>
        <w:rPr>
          <w:rFonts w:hint="eastAsia" w:ascii="仿宋" w:hAnsi="仿宋" w:eastAsia="仿宋" w:cs="仿宋"/>
          <w:color w:val="auto"/>
          <w:spacing w:val="0"/>
          <w:w w:val="100"/>
          <w:position w:val="0"/>
          <w:sz w:val="24"/>
          <w:szCs w:val="24"/>
          <w:highlight w:val="none"/>
          <w:lang w:val="en-US" w:eastAsia="zh-CN" w:bidi="en-US"/>
        </w:rPr>
        <w:t>.</w:t>
      </w:r>
      <w:r>
        <w:rPr>
          <w:rFonts w:hint="eastAsia" w:ascii="仿宋" w:hAnsi="仿宋" w:eastAsia="仿宋" w:cs="仿宋"/>
          <w:color w:val="auto"/>
          <w:spacing w:val="0"/>
          <w:w w:val="100"/>
          <w:position w:val="0"/>
          <w:sz w:val="24"/>
          <w:szCs w:val="24"/>
          <w:highlight w:val="none"/>
          <w:lang w:val="en-US" w:eastAsia="en-US" w:bidi="en-US"/>
        </w:rPr>
        <w:t xml:space="preserve"> Creditchina</w:t>
      </w:r>
      <w:r>
        <w:rPr>
          <w:rFonts w:hint="eastAsia" w:ascii="仿宋" w:hAnsi="仿宋" w:eastAsia="仿宋" w:cs="仿宋"/>
          <w:color w:val="auto"/>
          <w:spacing w:val="0"/>
          <w:w w:val="100"/>
          <w:position w:val="0"/>
          <w:sz w:val="24"/>
          <w:szCs w:val="24"/>
          <w:highlight w:val="none"/>
          <w:lang w:val="en-US" w:eastAsia="zh-CN" w:bidi="en-US"/>
        </w:rPr>
        <w:t>.</w:t>
      </w:r>
      <w:r>
        <w:rPr>
          <w:rFonts w:hint="eastAsia" w:ascii="仿宋" w:hAnsi="仿宋" w:eastAsia="仿宋" w:cs="仿宋"/>
          <w:color w:val="auto"/>
          <w:spacing w:val="0"/>
          <w:w w:val="100"/>
          <w:position w:val="0"/>
          <w:sz w:val="24"/>
          <w:szCs w:val="24"/>
          <w:highlight w:val="none"/>
          <w:lang w:val="en-US" w:eastAsia="en-US" w:bidi="en-US"/>
        </w:rPr>
        <w:t>gov</w:t>
      </w:r>
      <w:r>
        <w:rPr>
          <w:rFonts w:hint="eastAsia" w:ascii="仿宋" w:hAnsi="仿宋" w:eastAsia="仿宋" w:cs="仿宋"/>
          <w:color w:val="auto"/>
          <w:spacing w:val="0"/>
          <w:w w:val="100"/>
          <w:position w:val="0"/>
          <w:sz w:val="24"/>
          <w:szCs w:val="24"/>
          <w:highlight w:val="none"/>
          <w:lang w:val="en-US" w:eastAsia="zh-CN" w:bidi="en-US"/>
        </w:rPr>
        <w:t>.</w:t>
      </w:r>
      <w:r>
        <w:rPr>
          <w:rFonts w:hint="eastAsia" w:ascii="仿宋" w:hAnsi="仿宋" w:eastAsia="仿宋" w:cs="仿宋"/>
          <w:color w:val="auto"/>
          <w:spacing w:val="0"/>
          <w:w w:val="100"/>
          <w:position w:val="0"/>
          <w:sz w:val="24"/>
          <w:szCs w:val="24"/>
          <w:highlight w:val="none"/>
          <w:lang w:val="en-US" w:eastAsia="en-US" w:bidi="en-US"/>
        </w:rPr>
        <w:t xml:space="preserve"> cn）</w:t>
      </w:r>
      <w:r>
        <w:rPr>
          <w:rFonts w:hint="eastAsia" w:ascii="仿宋" w:hAnsi="仿宋" w:eastAsia="仿宋" w:cs="仿宋"/>
          <w:color w:val="auto"/>
          <w:spacing w:val="0"/>
          <w:w w:val="100"/>
          <w:position w:val="0"/>
          <w:sz w:val="24"/>
          <w:szCs w:val="24"/>
          <w:highlight w:val="none"/>
          <w:lang w:val="zh-CN" w:eastAsia="zh-CN" w:bidi="zh-CN"/>
        </w:rPr>
        <w:t>“失信</w:t>
      </w:r>
      <w:r>
        <w:rPr>
          <w:rFonts w:hint="eastAsia" w:ascii="仿宋" w:hAnsi="仿宋" w:eastAsia="仿宋" w:cs="仿宋"/>
          <w:color w:val="auto"/>
          <w:spacing w:val="0"/>
          <w:w w:val="100"/>
          <w:position w:val="0"/>
          <w:sz w:val="24"/>
          <w:szCs w:val="24"/>
          <w:highlight w:val="none"/>
        </w:rPr>
        <w:t>被执行人”、</w:t>
      </w:r>
      <w:r>
        <w:rPr>
          <w:rFonts w:hint="eastAsia" w:ascii="仿宋" w:hAnsi="仿宋" w:eastAsia="仿宋" w:cs="仿宋"/>
          <w:color w:val="auto"/>
          <w:spacing w:val="0"/>
          <w:w w:val="100"/>
          <w:position w:val="0"/>
          <w:sz w:val="24"/>
          <w:szCs w:val="24"/>
          <w:highlight w:val="none"/>
          <w:lang w:val="zh-CN" w:eastAsia="zh-CN" w:bidi="zh-CN"/>
        </w:rPr>
        <w:t>“重大</w:t>
      </w:r>
      <w:r>
        <w:rPr>
          <w:rFonts w:hint="eastAsia" w:ascii="仿宋" w:hAnsi="仿宋" w:eastAsia="仿宋" w:cs="仿宋"/>
          <w:color w:val="auto"/>
          <w:spacing w:val="0"/>
          <w:w w:val="100"/>
          <w:position w:val="0"/>
          <w:sz w:val="24"/>
          <w:szCs w:val="24"/>
          <w:highlight w:val="none"/>
        </w:rPr>
        <w:t>税收违法案件当事人名单”中，也未列入中国政府采购网</w:t>
      </w:r>
      <w:r>
        <w:rPr>
          <w:rFonts w:hint="eastAsia" w:ascii="仿宋" w:hAnsi="仿宋" w:eastAsia="仿宋" w:cs="仿宋"/>
          <w:color w:val="auto"/>
          <w:spacing w:val="0"/>
          <w:w w:val="100"/>
          <w:position w:val="0"/>
          <w:sz w:val="24"/>
          <w:szCs w:val="24"/>
          <w:highlight w:val="none"/>
          <w:lang w:val="en-US" w:eastAsia="en-US" w:bidi="en-US"/>
        </w:rPr>
        <w:t>（www</w:t>
      </w:r>
      <w:r>
        <w:rPr>
          <w:rFonts w:hint="eastAsia" w:ascii="仿宋" w:hAnsi="仿宋" w:eastAsia="仿宋" w:cs="仿宋"/>
          <w:color w:val="auto"/>
          <w:spacing w:val="0"/>
          <w:w w:val="100"/>
          <w:position w:val="0"/>
          <w:sz w:val="24"/>
          <w:szCs w:val="24"/>
          <w:highlight w:val="none"/>
          <w:lang w:val="en-US" w:eastAsia="zh-CN" w:bidi="en-US"/>
        </w:rPr>
        <w:t>.</w:t>
      </w:r>
      <w:r>
        <w:rPr>
          <w:rFonts w:hint="eastAsia" w:ascii="仿宋" w:hAnsi="仿宋" w:eastAsia="仿宋" w:cs="仿宋"/>
          <w:color w:val="auto"/>
          <w:spacing w:val="0"/>
          <w:w w:val="100"/>
          <w:position w:val="0"/>
          <w:sz w:val="24"/>
          <w:szCs w:val="24"/>
          <w:highlight w:val="none"/>
          <w:lang w:val="en-US" w:eastAsia="en-US" w:bidi="en-US"/>
        </w:rPr>
        <w:t>ccgp</w:t>
      </w:r>
      <w:r>
        <w:rPr>
          <w:rFonts w:hint="eastAsia" w:ascii="仿宋" w:hAnsi="仿宋" w:eastAsia="仿宋" w:cs="仿宋"/>
          <w:color w:val="auto"/>
          <w:spacing w:val="0"/>
          <w:w w:val="100"/>
          <w:position w:val="0"/>
          <w:sz w:val="24"/>
          <w:szCs w:val="24"/>
          <w:highlight w:val="none"/>
          <w:lang w:val="en-US" w:eastAsia="zh-CN" w:bidi="en-US"/>
        </w:rPr>
        <w:t>.</w:t>
      </w:r>
      <w:r>
        <w:rPr>
          <w:rFonts w:hint="eastAsia" w:ascii="仿宋" w:hAnsi="仿宋" w:eastAsia="仿宋" w:cs="仿宋"/>
          <w:color w:val="auto"/>
          <w:spacing w:val="0"/>
          <w:w w:val="100"/>
          <w:position w:val="0"/>
          <w:sz w:val="24"/>
          <w:szCs w:val="24"/>
          <w:highlight w:val="none"/>
          <w:lang w:val="en-US" w:eastAsia="en-US" w:bidi="en-US"/>
        </w:rPr>
        <w:t>gov</w:t>
      </w:r>
      <w:r>
        <w:rPr>
          <w:rFonts w:hint="eastAsia" w:ascii="仿宋" w:hAnsi="仿宋" w:eastAsia="仿宋" w:cs="仿宋"/>
          <w:color w:val="auto"/>
          <w:spacing w:val="0"/>
          <w:w w:val="100"/>
          <w:position w:val="0"/>
          <w:sz w:val="24"/>
          <w:szCs w:val="24"/>
          <w:highlight w:val="none"/>
          <w:lang w:val="en-US" w:eastAsia="zh-CN" w:bidi="en-US"/>
        </w:rPr>
        <w:t>.</w:t>
      </w:r>
      <w:r>
        <w:rPr>
          <w:rFonts w:hint="eastAsia" w:ascii="仿宋" w:hAnsi="仿宋" w:eastAsia="仿宋" w:cs="仿宋"/>
          <w:color w:val="auto"/>
          <w:spacing w:val="0"/>
          <w:w w:val="100"/>
          <w:position w:val="0"/>
          <w:sz w:val="24"/>
          <w:szCs w:val="24"/>
          <w:highlight w:val="none"/>
          <w:lang w:val="en-US" w:eastAsia="en-US" w:bidi="en-US"/>
        </w:rPr>
        <w:t>cn）</w:t>
      </w:r>
      <w:r>
        <w:rPr>
          <w:rFonts w:hint="eastAsia" w:ascii="仿宋" w:hAnsi="仿宋" w:eastAsia="仿宋" w:cs="仿宋"/>
          <w:color w:val="auto"/>
          <w:spacing w:val="0"/>
          <w:w w:val="100"/>
          <w:position w:val="0"/>
          <w:sz w:val="24"/>
          <w:szCs w:val="24"/>
          <w:highlight w:val="none"/>
        </w:rPr>
        <w:t>"政府采购严重违法失信行为记录名单”中。</w:t>
      </w:r>
    </w:p>
    <w:p w14:paraId="1B42CAEE">
      <w:pPr>
        <w:pStyle w:val="306"/>
        <w:keepNext w:val="0"/>
        <w:keepLines w:val="0"/>
        <w:pageBreakBefore w:val="0"/>
        <w:widowControl w:val="0"/>
        <w:numPr>
          <w:ilvl w:val="0"/>
          <w:numId w:val="0"/>
        </w:numPr>
        <w:shd w:val="clear" w:color="auto" w:fill="auto"/>
        <w:tabs>
          <w:tab w:val="left" w:pos="1050"/>
        </w:tabs>
        <w:kinsoku/>
        <w:wordWrap/>
        <w:overflowPunct/>
        <w:topLinePunct w:val="0"/>
        <w:autoSpaceDE/>
        <w:autoSpaceDN/>
        <w:bidi w:val="0"/>
        <w:adjustRightInd/>
        <w:snapToGrid/>
        <w:spacing w:before="0" w:line="480" w:lineRule="auto"/>
        <w:ind w:left="0" w:leftChars="0" w:right="0" w:rightChars="0" w:firstLine="480" w:firstLineChars="200"/>
        <w:jc w:val="left"/>
        <w:textAlignment w:val="auto"/>
        <w:rPr>
          <w:rFonts w:hint="eastAsia" w:ascii="仿宋" w:hAnsi="仿宋" w:eastAsia="仿宋" w:cs="仿宋"/>
          <w:color w:val="auto"/>
          <w:sz w:val="24"/>
          <w:szCs w:val="24"/>
          <w:highlight w:val="none"/>
        </w:rPr>
      </w:pPr>
      <w:bookmarkStart w:id="466" w:name="bookmark2"/>
      <w:bookmarkEnd w:id="466"/>
      <w:r>
        <w:rPr>
          <w:rFonts w:hint="eastAsia" w:ascii="仿宋" w:hAnsi="仿宋" w:eastAsia="仿宋" w:cs="仿宋"/>
          <w:b w:val="0"/>
          <w:bCs w:val="0"/>
          <w:i w:val="0"/>
          <w:iCs w:val="0"/>
          <w:smallCaps w:val="0"/>
          <w:strike w:val="0"/>
          <w:color w:val="auto"/>
          <w:spacing w:val="0"/>
          <w:w w:val="100"/>
          <w:kern w:val="2"/>
          <w:position w:val="0"/>
          <w:sz w:val="24"/>
          <w:szCs w:val="24"/>
          <w:highlight w:val="none"/>
          <w:u w:val="none"/>
          <w:shd w:val="clear" w:color="auto" w:fill="auto"/>
          <w:lang w:val="zh-TW" w:eastAsia="zh-TW" w:bidi="zh-TW"/>
        </w:rPr>
        <w:t>3.</w:t>
      </w:r>
      <w:r>
        <w:rPr>
          <w:rFonts w:hint="eastAsia" w:ascii="仿宋" w:hAnsi="仿宋" w:eastAsia="仿宋" w:cs="仿宋"/>
          <w:color w:val="auto"/>
          <w:spacing w:val="0"/>
          <w:w w:val="100"/>
          <w:position w:val="0"/>
          <w:sz w:val="24"/>
          <w:szCs w:val="24"/>
          <w:highlight w:val="none"/>
        </w:rPr>
        <w:t>我方在采购项目评审（评标）环节结束后，随时接受采购人、采购代理机构的检查验证，配合提供相关证明材料，证明符合《中华人民共和国政府采购法》规定的</w:t>
      </w:r>
      <w:r>
        <w:rPr>
          <w:rFonts w:hint="eastAsia" w:ascii="仿宋" w:hAnsi="仿宋" w:eastAsia="仿宋" w:cs="仿宋"/>
          <w:color w:val="auto"/>
          <w:spacing w:val="0"/>
          <w:w w:val="100"/>
          <w:position w:val="0"/>
          <w:sz w:val="24"/>
          <w:szCs w:val="24"/>
          <w:highlight w:val="none"/>
          <w:lang w:eastAsia="zh-CN"/>
        </w:rPr>
        <w:t>供应商</w:t>
      </w:r>
      <w:r>
        <w:rPr>
          <w:rFonts w:hint="eastAsia" w:ascii="仿宋" w:hAnsi="仿宋" w:eastAsia="仿宋" w:cs="仿宋"/>
          <w:color w:val="auto"/>
          <w:spacing w:val="0"/>
          <w:w w:val="100"/>
          <w:position w:val="0"/>
          <w:sz w:val="24"/>
          <w:szCs w:val="24"/>
          <w:highlight w:val="none"/>
        </w:rPr>
        <w:t>基本资格条件。</w:t>
      </w:r>
    </w:p>
    <w:p w14:paraId="21290A24">
      <w:pPr>
        <w:pStyle w:val="306"/>
        <w:keepNext w:val="0"/>
        <w:keepLines w:val="0"/>
        <w:pageBreakBefore w:val="0"/>
        <w:widowControl w:val="0"/>
        <w:shd w:val="clear" w:color="auto" w:fill="auto"/>
        <w:kinsoku/>
        <w:wordWrap/>
        <w:overflowPunct/>
        <w:topLinePunct w:val="0"/>
        <w:autoSpaceDE/>
        <w:autoSpaceDN/>
        <w:bidi w:val="0"/>
        <w:adjustRightInd/>
        <w:snapToGrid/>
        <w:spacing w:before="0" w:line="480" w:lineRule="auto"/>
        <w:ind w:left="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0"/>
          <w:w w:val="100"/>
          <w:position w:val="0"/>
          <w:sz w:val="24"/>
          <w:szCs w:val="24"/>
          <w:highlight w:val="none"/>
        </w:rPr>
        <w:t>我方对以上承诺负全部法律责任。</w:t>
      </w:r>
    </w:p>
    <w:p w14:paraId="175043FB">
      <w:pPr>
        <w:pStyle w:val="306"/>
        <w:keepNext w:val="0"/>
        <w:keepLines w:val="0"/>
        <w:pageBreakBefore w:val="0"/>
        <w:widowControl w:val="0"/>
        <w:shd w:val="clear" w:color="auto" w:fill="auto"/>
        <w:kinsoku/>
        <w:wordWrap/>
        <w:overflowPunct/>
        <w:topLinePunct w:val="0"/>
        <w:autoSpaceDE/>
        <w:autoSpaceDN/>
        <w:bidi w:val="0"/>
        <w:adjustRightInd/>
        <w:snapToGrid/>
        <w:spacing w:before="0" w:line="480" w:lineRule="auto"/>
        <w:ind w:left="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0"/>
          <w:w w:val="100"/>
          <w:position w:val="0"/>
          <w:sz w:val="24"/>
          <w:szCs w:val="24"/>
          <w:highlight w:val="none"/>
        </w:rPr>
        <w:t>特此承诺。</w:t>
      </w:r>
    </w:p>
    <w:p w14:paraId="1A42A4C4">
      <w:pPr>
        <w:pStyle w:val="306"/>
        <w:keepNext w:val="0"/>
        <w:keepLines w:val="0"/>
        <w:pageBreakBefore w:val="0"/>
        <w:widowControl w:val="0"/>
        <w:shd w:val="clear" w:color="auto" w:fill="auto"/>
        <w:kinsoku/>
        <w:wordWrap/>
        <w:overflowPunct/>
        <w:topLinePunct w:val="0"/>
        <w:autoSpaceDE/>
        <w:autoSpaceDN/>
        <w:bidi w:val="0"/>
        <w:adjustRightInd/>
        <w:snapToGrid/>
        <w:spacing w:before="0" w:line="480" w:lineRule="auto"/>
        <w:ind w:left="0" w:right="0" w:firstLine="5760" w:firstLineChars="24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0"/>
          <w:w w:val="100"/>
          <w:position w:val="0"/>
          <w:sz w:val="24"/>
          <w:szCs w:val="24"/>
          <w:highlight w:val="none"/>
        </w:rPr>
        <w:t>（</w:t>
      </w:r>
      <w:r>
        <w:rPr>
          <w:rFonts w:hint="eastAsia" w:ascii="仿宋" w:hAnsi="仿宋" w:eastAsia="仿宋" w:cs="仿宋"/>
          <w:color w:val="auto"/>
          <w:spacing w:val="0"/>
          <w:w w:val="100"/>
          <w:position w:val="0"/>
          <w:sz w:val="24"/>
          <w:szCs w:val="24"/>
          <w:highlight w:val="none"/>
          <w:lang w:val="en-US" w:eastAsia="zh-CN"/>
        </w:rPr>
        <w:t>供应商</w:t>
      </w:r>
      <w:r>
        <w:rPr>
          <w:rFonts w:hint="eastAsia" w:ascii="仿宋" w:hAnsi="仿宋" w:eastAsia="仿宋" w:cs="仿宋"/>
          <w:color w:val="auto"/>
          <w:spacing w:val="0"/>
          <w:w w:val="100"/>
          <w:position w:val="0"/>
          <w:sz w:val="24"/>
          <w:szCs w:val="24"/>
          <w:highlight w:val="none"/>
        </w:rPr>
        <w:t>公章）</w:t>
      </w:r>
    </w:p>
    <w:p w14:paraId="0841ADAC">
      <w:pPr>
        <w:pStyle w:val="22"/>
        <w:keepNext w:val="0"/>
        <w:keepLines w:val="0"/>
        <w:pageBreakBefore w:val="0"/>
        <w:widowControl w:val="0"/>
        <w:kinsoku/>
        <w:wordWrap/>
        <w:overflowPunct/>
        <w:topLinePunct w:val="0"/>
        <w:autoSpaceDE/>
        <w:autoSpaceDN/>
        <w:bidi w:val="0"/>
        <w:adjustRightInd/>
        <w:snapToGrid/>
        <w:spacing w:line="480" w:lineRule="auto"/>
        <w:ind w:right="0" w:firstLine="5520" w:firstLineChars="23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4BDBE3CD">
      <w:pPr>
        <w:rPr>
          <w:rFonts w:hint="eastAsia" w:ascii="仿宋" w:hAnsi="仿宋" w:eastAsia="仿宋" w:cs="仿宋"/>
          <w:b/>
          <w:color w:val="auto"/>
          <w:sz w:val="24"/>
          <w:highlight w:val="none"/>
        </w:rPr>
      </w:pPr>
      <w:r>
        <w:rPr>
          <w:rFonts w:hint="eastAsia" w:ascii="仿宋" w:hAnsi="仿宋" w:eastAsia="仿宋" w:cs="仿宋"/>
          <w:b/>
          <w:color w:val="auto"/>
          <w:sz w:val="24"/>
          <w:highlight w:val="none"/>
        </w:rPr>
        <w:br w:type="page"/>
      </w:r>
    </w:p>
    <w:p w14:paraId="64CF6D1A">
      <w:pPr>
        <w:pStyle w:val="22"/>
        <w:rPr>
          <w:color w:val="auto"/>
          <w:highlight w:val="none"/>
        </w:rPr>
      </w:pPr>
    </w:p>
    <w:p w14:paraId="676924E0">
      <w:pPr>
        <w:numPr>
          <w:ilvl w:val="1"/>
          <w:numId w:val="0"/>
        </w:numPr>
        <w:ind w:left="720" w:leftChars="0" w:hanging="720" w:firstLineChars="0"/>
        <w:jc w:val="left"/>
        <w:outlineLvl w:val="9"/>
        <w:rPr>
          <w:rFonts w:ascii="仿宋" w:hAnsi="仿宋" w:eastAsia="仿宋" w:cs="仿宋"/>
          <w:b/>
          <w:color w:val="auto"/>
          <w:sz w:val="24"/>
          <w:szCs w:val="22"/>
          <w:highlight w:val="none"/>
        </w:rPr>
      </w:pPr>
      <w:bookmarkStart w:id="467" w:name="_Toc7005127"/>
      <w:r>
        <w:rPr>
          <w:rFonts w:hint="eastAsia" w:ascii="仿宋" w:hAnsi="仿宋" w:eastAsia="仿宋" w:cs="仿宋"/>
          <w:b/>
          <w:color w:val="auto"/>
          <w:kern w:val="2"/>
          <w:sz w:val="24"/>
          <w:szCs w:val="22"/>
          <w:highlight w:val="none"/>
          <w:lang w:val="en-US" w:eastAsia="zh-CN" w:bidi="ar-SA"/>
        </w:rPr>
        <w:t>3</w:t>
      </w:r>
      <w:r>
        <w:rPr>
          <w:rFonts w:hint="eastAsia" w:ascii="仿宋" w:hAnsi="仿宋" w:eastAsia="仿宋" w:cs="仿宋"/>
          <w:b/>
          <w:color w:val="auto"/>
          <w:sz w:val="24"/>
          <w:szCs w:val="22"/>
          <w:highlight w:val="none"/>
        </w:rPr>
        <w:t xml:space="preserve"> 供应商控股股东名称、控股公司的名称和存在管理、被管理关系的单位名称说明</w:t>
      </w:r>
      <w:bookmarkEnd w:id="467"/>
    </w:p>
    <w:p w14:paraId="061B152F">
      <w:pPr>
        <w:ind w:firstLine="420"/>
        <w:rPr>
          <w:rFonts w:ascii="仿宋" w:hAnsi="仿宋" w:eastAsia="仿宋" w:cs="仿宋"/>
          <w:color w:val="auto"/>
          <w:szCs w:val="21"/>
          <w:highlight w:val="none"/>
        </w:rPr>
      </w:pPr>
    </w:p>
    <w:p w14:paraId="09F877EE">
      <w:pPr>
        <w:rPr>
          <w:rFonts w:ascii="仿宋" w:hAnsi="仿宋" w:eastAsia="仿宋" w:cs="仿宋"/>
          <w:color w:val="auto"/>
          <w:sz w:val="24"/>
          <w:highlight w:val="none"/>
        </w:rPr>
      </w:pPr>
    </w:p>
    <w:p w14:paraId="5BA38CE9">
      <w:pPr>
        <w:rPr>
          <w:rFonts w:ascii="仿宋" w:hAnsi="仿宋" w:eastAsia="仿宋" w:cs="仿宋"/>
          <w:color w:val="auto"/>
          <w:sz w:val="24"/>
          <w:highlight w:val="none"/>
        </w:rPr>
      </w:pPr>
      <w:r>
        <w:rPr>
          <w:rFonts w:hint="eastAsia" w:ascii="仿宋" w:hAnsi="仿宋" w:eastAsia="仿宋" w:cs="仿宋"/>
          <w:color w:val="auto"/>
          <w:sz w:val="24"/>
          <w:highlight w:val="none"/>
        </w:rPr>
        <w:t>陕西省采购招标有限责任公司：</w:t>
      </w:r>
    </w:p>
    <w:p w14:paraId="4FA7311D">
      <w:pPr>
        <w:spacing w:after="120"/>
        <w:rPr>
          <w:rFonts w:ascii="仿宋" w:hAnsi="仿宋" w:eastAsia="仿宋" w:cs="仿宋"/>
          <w:color w:val="auto"/>
          <w:highlight w:val="none"/>
        </w:rPr>
      </w:pPr>
    </w:p>
    <w:p w14:paraId="34A1B22C">
      <w:pPr>
        <w:ind w:firstLine="426"/>
        <w:rPr>
          <w:rFonts w:ascii="仿宋" w:hAnsi="仿宋" w:eastAsia="仿宋" w:cs="仿宋"/>
          <w:color w:val="auto"/>
          <w:sz w:val="24"/>
          <w:highlight w:val="none"/>
        </w:rPr>
      </w:pPr>
      <w:r>
        <w:rPr>
          <w:rFonts w:hint="eastAsia" w:ascii="仿宋" w:hAnsi="仿宋" w:eastAsia="仿宋" w:cs="仿宋"/>
          <w:color w:val="auto"/>
          <w:sz w:val="24"/>
          <w:highlight w:val="none"/>
        </w:rPr>
        <w:t>与我方的法定代表人（或单位负责人）为同一人的企业如下：</w:t>
      </w:r>
    </w:p>
    <w:p w14:paraId="62A2CF51">
      <w:pPr>
        <w:ind w:firstLine="426"/>
        <w:rPr>
          <w:rFonts w:ascii="仿宋" w:hAnsi="仿宋" w:eastAsia="仿宋" w:cs="仿宋"/>
          <w:color w:val="auto"/>
          <w:sz w:val="24"/>
          <w:highlight w:val="none"/>
        </w:rPr>
      </w:pPr>
    </w:p>
    <w:p w14:paraId="404F9962">
      <w:pPr>
        <w:ind w:firstLine="426"/>
        <w:rPr>
          <w:rFonts w:ascii="仿宋" w:hAnsi="仿宋" w:eastAsia="仿宋" w:cs="仿宋"/>
          <w:color w:val="auto"/>
          <w:sz w:val="24"/>
          <w:highlight w:val="none"/>
        </w:rPr>
      </w:pPr>
      <w:r>
        <w:rPr>
          <w:rFonts w:hint="eastAsia" w:ascii="仿宋" w:hAnsi="仿宋" w:eastAsia="仿宋" w:cs="仿宋"/>
          <w:color w:val="auto"/>
          <w:sz w:val="24"/>
          <w:highlight w:val="none"/>
        </w:rPr>
        <w:t>我方的控股股东如下：</w:t>
      </w:r>
    </w:p>
    <w:p w14:paraId="34CC8E11">
      <w:pPr>
        <w:ind w:firstLine="426"/>
        <w:rPr>
          <w:rFonts w:ascii="仿宋" w:hAnsi="仿宋" w:eastAsia="仿宋" w:cs="仿宋"/>
          <w:color w:val="auto"/>
          <w:sz w:val="24"/>
          <w:highlight w:val="none"/>
        </w:rPr>
      </w:pPr>
    </w:p>
    <w:p w14:paraId="12601757">
      <w:pPr>
        <w:ind w:firstLine="426"/>
        <w:rPr>
          <w:rFonts w:ascii="仿宋" w:hAnsi="仿宋" w:eastAsia="仿宋" w:cs="仿宋"/>
          <w:color w:val="auto"/>
          <w:sz w:val="24"/>
          <w:highlight w:val="none"/>
        </w:rPr>
      </w:pPr>
      <w:r>
        <w:rPr>
          <w:rFonts w:hint="eastAsia" w:ascii="仿宋" w:hAnsi="仿宋" w:eastAsia="仿宋" w:cs="仿宋"/>
          <w:color w:val="auto"/>
          <w:sz w:val="24"/>
          <w:highlight w:val="none"/>
        </w:rPr>
        <w:t>我方直接控股的企业如下：</w:t>
      </w:r>
    </w:p>
    <w:p w14:paraId="0468D05E">
      <w:pPr>
        <w:ind w:firstLine="426"/>
        <w:rPr>
          <w:rFonts w:ascii="仿宋" w:hAnsi="仿宋" w:eastAsia="仿宋" w:cs="仿宋"/>
          <w:color w:val="auto"/>
          <w:sz w:val="24"/>
          <w:highlight w:val="none"/>
        </w:rPr>
      </w:pPr>
    </w:p>
    <w:p w14:paraId="54C8AD45">
      <w:pPr>
        <w:ind w:firstLine="426"/>
        <w:rPr>
          <w:rFonts w:ascii="仿宋" w:hAnsi="仿宋" w:eastAsia="仿宋" w:cs="仿宋"/>
          <w:color w:val="auto"/>
          <w:sz w:val="24"/>
          <w:highlight w:val="none"/>
        </w:rPr>
      </w:pPr>
      <w:r>
        <w:rPr>
          <w:rFonts w:hint="eastAsia" w:ascii="仿宋" w:hAnsi="仿宋" w:eastAsia="仿宋" w:cs="仿宋"/>
          <w:color w:val="auto"/>
          <w:sz w:val="24"/>
          <w:highlight w:val="none"/>
        </w:rPr>
        <w:t>与我方存在管理、被管理关系的单位名称如下：</w:t>
      </w:r>
    </w:p>
    <w:p w14:paraId="329D23E7">
      <w:pPr>
        <w:ind w:firstLine="426"/>
        <w:rPr>
          <w:rFonts w:ascii="仿宋" w:hAnsi="仿宋" w:eastAsia="仿宋" w:cs="仿宋"/>
          <w:color w:val="auto"/>
          <w:sz w:val="24"/>
          <w:highlight w:val="none"/>
        </w:rPr>
      </w:pPr>
    </w:p>
    <w:p w14:paraId="1254340B">
      <w:pPr>
        <w:ind w:firstLine="426"/>
        <w:rPr>
          <w:rFonts w:ascii="仿宋" w:hAnsi="仿宋" w:eastAsia="仿宋" w:cs="仿宋"/>
          <w:color w:val="auto"/>
          <w:szCs w:val="21"/>
          <w:highlight w:val="none"/>
        </w:rPr>
      </w:pPr>
    </w:p>
    <w:p w14:paraId="4F4C8372">
      <w:pPr>
        <w:spacing w:before="120" w:after="120" w:line="360" w:lineRule="auto"/>
        <w:ind w:firstLine="480" w:firstLineChars="200"/>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供应商名称（公章）： </w:t>
      </w:r>
      <w:r>
        <w:rPr>
          <w:rFonts w:hint="eastAsia" w:ascii="仿宋" w:hAnsi="仿宋" w:eastAsia="仿宋" w:cs="仿宋"/>
          <w:color w:val="auto"/>
          <w:sz w:val="24"/>
          <w:highlight w:val="none"/>
          <w:u w:val="single"/>
        </w:rPr>
        <w:t xml:space="preserve">              </w:t>
      </w:r>
    </w:p>
    <w:p w14:paraId="1486B760">
      <w:pPr>
        <w:spacing w:before="120" w:after="120" w:line="360" w:lineRule="auto"/>
        <w:ind w:firstLine="480" w:firstLineChars="200"/>
        <w:rPr>
          <w:rFonts w:ascii="仿宋" w:hAnsi="仿宋" w:eastAsia="仿宋" w:cs="仿宋"/>
          <w:color w:val="auto"/>
          <w:sz w:val="24"/>
          <w:highlight w:val="none"/>
          <w:u w:val="single"/>
        </w:rPr>
      </w:pPr>
      <w:r>
        <w:rPr>
          <w:rFonts w:hint="eastAsia" w:ascii="仿宋" w:hAnsi="仿宋" w:eastAsia="仿宋" w:cs="仿宋"/>
          <w:color w:val="auto"/>
          <w:sz w:val="24"/>
          <w:highlight w:val="none"/>
        </w:rPr>
        <w:t>法定代表人（或单位负责人）或其授权代表（签字或盖章）：</w:t>
      </w:r>
      <w:r>
        <w:rPr>
          <w:rFonts w:hint="eastAsia" w:ascii="仿宋" w:hAnsi="仿宋" w:eastAsia="仿宋" w:cs="仿宋"/>
          <w:color w:val="auto"/>
          <w:sz w:val="24"/>
          <w:highlight w:val="none"/>
          <w:u w:val="single"/>
        </w:rPr>
        <w:t xml:space="preserve">                  </w:t>
      </w:r>
    </w:p>
    <w:p w14:paraId="65E77512">
      <w:pPr>
        <w:spacing w:before="120" w:after="120"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0F597023">
      <w:pPr>
        <w:ind w:firstLine="420" w:firstLineChars="200"/>
        <w:rPr>
          <w:rFonts w:ascii="仿宋" w:hAnsi="仿宋" w:eastAsia="仿宋" w:cs="仿宋"/>
          <w:color w:val="auto"/>
          <w:szCs w:val="21"/>
          <w:highlight w:val="none"/>
        </w:rPr>
      </w:pPr>
    </w:p>
    <w:p w14:paraId="67006DFD">
      <w:pPr>
        <w:ind w:firstLine="420" w:firstLineChars="200"/>
        <w:rPr>
          <w:rFonts w:ascii="仿宋" w:hAnsi="仿宋" w:eastAsia="仿宋" w:cs="仿宋"/>
          <w:color w:val="auto"/>
          <w:szCs w:val="21"/>
          <w:highlight w:val="none"/>
        </w:rPr>
      </w:pPr>
    </w:p>
    <w:p w14:paraId="3E20268C">
      <w:pPr>
        <w:ind w:firstLine="420" w:firstLineChars="200"/>
        <w:rPr>
          <w:rFonts w:ascii="仿宋" w:hAnsi="仿宋" w:eastAsia="仿宋" w:cs="仿宋"/>
          <w:color w:val="auto"/>
          <w:szCs w:val="21"/>
          <w:highlight w:val="none"/>
        </w:rPr>
      </w:pPr>
    </w:p>
    <w:p w14:paraId="61B825DF">
      <w:pPr>
        <w:numPr>
          <w:ilvl w:val="1"/>
          <w:numId w:val="0"/>
        </w:numPr>
        <w:ind w:left="720" w:leftChars="0" w:hanging="720" w:firstLineChars="0"/>
        <w:jc w:val="left"/>
        <w:outlineLvl w:val="9"/>
        <w:rPr>
          <w:rFonts w:ascii="仿宋" w:hAnsi="仿宋" w:eastAsia="仿宋" w:cs="仿宋"/>
          <w:b/>
          <w:color w:val="auto"/>
          <w:sz w:val="24"/>
          <w:szCs w:val="22"/>
          <w:highlight w:val="none"/>
        </w:rPr>
      </w:pPr>
      <w:bookmarkStart w:id="468" w:name="_Toc7005128"/>
      <w:r>
        <w:rPr>
          <w:rFonts w:hint="eastAsia" w:ascii="仿宋" w:hAnsi="仿宋" w:eastAsia="仿宋" w:cs="仿宋"/>
          <w:b/>
          <w:color w:val="auto"/>
          <w:kern w:val="2"/>
          <w:sz w:val="24"/>
          <w:szCs w:val="22"/>
          <w:highlight w:val="none"/>
          <w:lang w:val="en-US" w:eastAsia="zh-CN" w:bidi="ar-SA"/>
        </w:rPr>
        <w:t>4</w:t>
      </w:r>
      <w:r>
        <w:rPr>
          <w:rFonts w:hint="eastAsia" w:ascii="仿宋" w:hAnsi="仿宋" w:eastAsia="仿宋" w:cs="仿宋"/>
          <w:b/>
          <w:color w:val="auto"/>
          <w:sz w:val="24"/>
          <w:szCs w:val="22"/>
          <w:highlight w:val="none"/>
        </w:rPr>
        <w:t xml:space="preserve"> 供应商是否属于为本项目提供整体设计、规范编制或者项目管理、监理、检测等服务的供应商声明</w:t>
      </w:r>
      <w:bookmarkEnd w:id="468"/>
    </w:p>
    <w:p w14:paraId="1EE0E55A">
      <w:pPr>
        <w:ind w:firstLine="420"/>
        <w:rPr>
          <w:rFonts w:ascii="仿宋" w:hAnsi="仿宋" w:eastAsia="仿宋" w:cs="仿宋"/>
          <w:color w:val="auto"/>
          <w:szCs w:val="21"/>
          <w:highlight w:val="none"/>
        </w:rPr>
      </w:pPr>
    </w:p>
    <w:p w14:paraId="79F6CA08">
      <w:pPr>
        <w:spacing w:line="360" w:lineRule="auto"/>
        <w:rPr>
          <w:rFonts w:ascii="仿宋" w:hAnsi="仿宋" w:eastAsia="仿宋" w:cs="仿宋"/>
          <w:color w:val="auto"/>
          <w:szCs w:val="21"/>
          <w:highlight w:val="none"/>
        </w:rPr>
      </w:pPr>
    </w:p>
    <w:p w14:paraId="751EA058">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陕西省采购招标有限责任公司：</w:t>
      </w:r>
    </w:p>
    <w:p w14:paraId="5B671815">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我方</w:t>
      </w:r>
      <w:r>
        <w:rPr>
          <w:rFonts w:hint="eastAsia" w:ascii="仿宋" w:hAnsi="仿宋" w:eastAsia="仿宋" w:cs="仿宋"/>
          <w:color w:val="auto"/>
          <w:sz w:val="24"/>
          <w:highlight w:val="none"/>
          <w:u w:val="single"/>
        </w:rPr>
        <w:t xml:space="preserve"> 不属于 </w:t>
      </w:r>
      <w:r>
        <w:rPr>
          <w:rFonts w:hint="eastAsia" w:ascii="仿宋" w:hAnsi="仿宋" w:eastAsia="仿宋" w:cs="仿宋"/>
          <w:color w:val="auto"/>
          <w:sz w:val="24"/>
          <w:highlight w:val="none"/>
        </w:rPr>
        <w:t>为本项目提供整体设计、规范编制或者项目管理、监理、检测等服务的供应商。</w:t>
      </w:r>
    </w:p>
    <w:p w14:paraId="272CAFBD">
      <w:pPr>
        <w:ind w:firstLine="426"/>
        <w:rPr>
          <w:rFonts w:ascii="仿宋" w:hAnsi="仿宋" w:eastAsia="仿宋" w:cs="仿宋"/>
          <w:color w:val="auto"/>
          <w:sz w:val="24"/>
          <w:highlight w:val="none"/>
        </w:rPr>
      </w:pPr>
    </w:p>
    <w:p w14:paraId="1080D6B4">
      <w:pPr>
        <w:ind w:firstLine="426"/>
        <w:rPr>
          <w:rFonts w:ascii="仿宋" w:hAnsi="仿宋" w:eastAsia="仿宋" w:cs="仿宋"/>
          <w:color w:val="auto"/>
          <w:szCs w:val="21"/>
          <w:highlight w:val="none"/>
        </w:rPr>
      </w:pPr>
    </w:p>
    <w:p w14:paraId="6126F9AB">
      <w:pPr>
        <w:spacing w:before="120" w:after="120" w:line="360" w:lineRule="auto"/>
        <w:ind w:firstLine="480" w:firstLineChars="200"/>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供应商名称（公章）： </w:t>
      </w:r>
      <w:r>
        <w:rPr>
          <w:rFonts w:hint="eastAsia" w:ascii="仿宋" w:hAnsi="仿宋" w:eastAsia="仿宋" w:cs="仿宋"/>
          <w:color w:val="auto"/>
          <w:sz w:val="24"/>
          <w:highlight w:val="none"/>
          <w:u w:val="single"/>
        </w:rPr>
        <w:t xml:space="preserve">              </w:t>
      </w:r>
    </w:p>
    <w:p w14:paraId="4BD5C738">
      <w:pPr>
        <w:spacing w:before="120" w:after="120" w:line="360" w:lineRule="auto"/>
        <w:ind w:firstLine="480" w:firstLineChars="200"/>
        <w:rPr>
          <w:rFonts w:ascii="仿宋" w:hAnsi="仿宋" w:eastAsia="仿宋" w:cs="仿宋"/>
          <w:color w:val="auto"/>
          <w:sz w:val="24"/>
          <w:highlight w:val="none"/>
          <w:u w:val="single"/>
        </w:rPr>
      </w:pPr>
      <w:r>
        <w:rPr>
          <w:rFonts w:hint="eastAsia" w:ascii="仿宋" w:hAnsi="仿宋" w:eastAsia="仿宋" w:cs="仿宋"/>
          <w:color w:val="auto"/>
          <w:sz w:val="24"/>
          <w:highlight w:val="none"/>
        </w:rPr>
        <w:t>法定代表人（或单位负责人）或其授权代表（签字或盖章）：</w:t>
      </w:r>
      <w:r>
        <w:rPr>
          <w:rFonts w:hint="eastAsia" w:ascii="仿宋" w:hAnsi="仿宋" w:eastAsia="仿宋" w:cs="仿宋"/>
          <w:color w:val="auto"/>
          <w:sz w:val="24"/>
          <w:highlight w:val="none"/>
          <w:u w:val="single"/>
        </w:rPr>
        <w:t xml:space="preserve">                  </w:t>
      </w:r>
    </w:p>
    <w:p w14:paraId="73EA6B50">
      <w:pPr>
        <w:spacing w:before="120" w:after="120"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08B54949">
      <w:pPr>
        <w:widowControl/>
        <w:jc w:val="left"/>
        <w:rPr>
          <w:rFonts w:ascii="仿宋" w:hAnsi="仿宋" w:eastAsia="仿宋" w:cs="仿宋"/>
          <w:color w:val="auto"/>
          <w:sz w:val="24"/>
          <w:szCs w:val="21"/>
          <w:highlight w:val="none"/>
          <w:u w:val="single"/>
        </w:rPr>
      </w:pPr>
    </w:p>
    <w:p w14:paraId="23419AA7">
      <w:pPr>
        <w:rPr>
          <w:rFonts w:hint="eastAsia" w:ascii="仿宋" w:hAnsi="仿宋" w:eastAsia="仿宋" w:cs="仿宋"/>
          <w:b/>
          <w:color w:val="auto"/>
          <w:sz w:val="24"/>
          <w:highlight w:val="none"/>
        </w:rPr>
      </w:pPr>
      <w:bookmarkStart w:id="469" w:name="_Toc7005129"/>
    </w:p>
    <w:p w14:paraId="72F4CDF6">
      <w:pPr>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br w:type="page"/>
      </w:r>
    </w:p>
    <w:p w14:paraId="269FC5A7">
      <w:pPr>
        <w:spacing w:after="120"/>
        <w:rPr>
          <w:rFonts w:hint="eastAsia"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5</w:t>
      </w:r>
      <w:r>
        <w:rPr>
          <w:rFonts w:hint="eastAsia" w:ascii="仿宋" w:hAnsi="仿宋" w:eastAsia="仿宋" w:cs="仿宋"/>
          <w:b/>
          <w:color w:val="auto"/>
          <w:sz w:val="24"/>
          <w:highlight w:val="none"/>
        </w:rPr>
        <w:t>证明供应商符合特定资格条件的证明材料</w:t>
      </w:r>
      <w:bookmarkEnd w:id="469"/>
      <w:r>
        <w:rPr>
          <w:rFonts w:hint="eastAsia" w:ascii="仿宋" w:hAnsi="仿宋" w:eastAsia="仿宋" w:cs="仿宋"/>
          <w:b/>
          <w:color w:val="auto"/>
          <w:sz w:val="24"/>
          <w:highlight w:val="none"/>
        </w:rPr>
        <w:t>：见竞争性磋商公告“申请人资格要求”</w:t>
      </w:r>
    </w:p>
    <w:p w14:paraId="619DA87B">
      <w:pPr>
        <w:pStyle w:val="22"/>
        <w:rPr>
          <w:rFonts w:hint="eastAsia" w:ascii="仿宋" w:hAnsi="仿宋" w:eastAsia="仿宋" w:cs="仿宋"/>
          <w:b/>
          <w:color w:val="auto"/>
          <w:sz w:val="24"/>
          <w:highlight w:val="none"/>
        </w:rPr>
      </w:pPr>
    </w:p>
    <w:p w14:paraId="7FA315ED">
      <w:pPr>
        <w:pStyle w:val="22"/>
        <w:ind w:firstLine="480" w:firstLineChars="200"/>
        <w:rPr>
          <w:rFonts w:hint="eastAsia" w:ascii="仿宋" w:hAnsi="仿宋" w:eastAsia="仿宋" w:cs="仿宋"/>
          <w:b/>
          <w:color w:val="auto"/>
          <w:sz w:val="24"/>
          <w:highlight w:val="none"/>
        </w:rPr>
        <w:sectPr>
          <w:footerReference r:id="rId10" w:type="first"/>
          <w:headerReference r:id="rId8" w:type="default"/>
          <w:footerReference r:id="rId9" w:type="default"/>
          <w:pgSz w:w="11906" w:h="16838"/>
          <w:pgMar w:top="1418" w:right="1418" w:bottom="1418" w:left="1418" w:header="851" w:footer="992" w:gutter="0"/>
          <w:pgNumType w:fmt="decimal" w:start="1"/>
          <w:cols w:space="720" w:num="1"/>
          <w:docGrid w:linePitch="312" w:charSpace="0"/>
        </w:sectPr>
      </w:pPr>
      <w:r>
        <w:rPr>
          <w:rFonts w:hint="eastAsia" w:ascii="仿宋_GB2312" w:hAnsi="仿宋_GB2312" w:eastAsia="仿宋_GB2312" w:cs="仿宋_GB2312"/>
          <w:color w:val="auto"/>
          <w:sz w:val="24"/>
          <w:szCs w:val="24"/>
          <w:highlight w:val="none"/>
          <w:lang w:val="en-US" w:eastAsia="zh-CN"/>
        </w:rPr>
        <w:t>供应商应提供公安机关颁发的保安服务许可证；陕西省外供应商还须出具承诺书（承诺书形式不限），承诺自承接本项目之日起30日内向采购人所在地设区的市级人民政府公安机关备案。</w:t>
      </w:r>
    </w:p>
    <w:p w14:paraId="566C0DC2">
      <w:pPr>
        <w:jc w:val="center"/>
        <w:outlineLvl w:val="9"/>
        <w:rPr>
          <w:rFonts w:ascii="仿宋" w:hAnsi="仿宋" w:eastAsia="仿宋" w:cs="仿宋"/>
          <w:b/>
          <w:bCs/>
          <w:color w:val="auto"/>
          <w:highlight w:val="none"/>
        </w:rPr>
      </w:pPr>
      <w:bookmarkStart w:id="470" w:name="_Toc16890"/>
      <w:r>
        <w:rPr>
          <w:rFonts w:hint="eastAsia" w:ascii="仿宋" w:hAnsi="仿宋" w:eastAsia="仿宋" w:cs="仿宋"/>
          <w:b/>
          <w:bCs/>
          <w:color w:val="auto"/>
          <w:kern w:val="2"/>
          <w:sz w:val="28"/>
          <w:szCs w:val="36"/>
          <w:highlight w:val="none"/>
          <w:lang w:val="en-US" w:eastAsia="zh-CN" w:bidi="ar-SA"/>
        </w:rPr>
        <w:t>一、中小企业、监狱企业、残疾人福利单位声明函</w:t>
      </w:r>
      <w:bookmarkEnd w:id="470"/>
    </w:p>
    <w:p w14:paraId="3B8EF469">
      <w:pPr>
        <w:jc w:val="center"/>
        <w:rPr>
          <w:rFonts w:ascii="仿宋" w:hAnsi="仿宋" w:eastAsia="仿宋" w:cs="仿宋"/>
          <w:b/>
          <w:bCs/>
          <w:color w:val="auto"/>
          <w:sz w:val="24"/>
          <w:highlight w:val="none"/>
        </w:rPr>
      </w:pPr>
    </w:p>
    <w:p w14:paraId="4EDE9C91">
      <w:pPr>
        <w:tabs>
          <w:tab w:val="left" w:pos="588"/>
        </w:tabs>
        <w:jc w:val="center"/>
        <w:outlineLvl w:val="9"/>
        <w:rPr>
          <w:rFonts w:hint="eastAsia" w:ascii="仿宋" w:hAnsi="仿宋" w:eastAsia="仿宋" w:cs="仿宋"/>
          <w:b/>
          <w:bCs/>
          <w:color w:val="auto"/>
          <w:sz w:val="28"/>
          <w:szCs w:val="36"/>
          <w:highlight w:val="none"/>
        </w:rPr>
      </w:pPr>
    </w:p>
    <w:p w14:paraId="6389675D">
      <w:pPr>
        <w:tabs>
          <w:tab w:val="left" w:pos="588"/>
        </w:tabs>
        <w:jc w:val="center"/>
        <w:outlineLvl w:val="9"/>
        <w:rPr>
          <w:rFonts w:ascii="仿宋" w:hAnsi="仿宋" w:eastAsia="仿宋" w:cs="仿宋"/>
          <w:b/>
          <w:bCs/>
          <w:color w:val="auto"/>
          <w:sz w:val="28"/>
          <w:szCs w:val="36"/>
          <w:highlight w:val="none"/>
        </w:rPr>
      </w:pPr>
      <w:r>
        <w:rPr>
          <w:rFonts w:hint="eastAsia" w:ascii="仿宋" w:hAnsi="仿宋" w:eastAsia="仿宋" w:cs="仿宋"/>
          <w:b/>
          <w:bCs/>
          <w:color w:val="auto"/>
          <w:sz w:val="28"/>
          <w:szCs w:val="36"/>
          <w:highlight w:val="none"/>
        </w:rPr>
        <w:t>中小企业声明函(工程、服务)</w:t>
      </w:r>
    </w:p>
    <w:p w14:paraId="63FBC74F">
      <w:pPr>
        <w:spacing w:line="560" w:lineRule="exact"/>
        <w:ind w:firstLine="480" w:firstLineChars="200"/>
        <w:rPr>
          <w:rFonts w:hint="eastAsia" w:ascii="仿宋" w:hAnsi="仿宋" w:eastAsia="仿宋" w:cs="仿宋"/>
          <w:color w:val="auto"/>
          <w:kern w:val="0"/>
          <w:sz w:val="24"/>
          <w:highlight w:val="none"/>
        </w:rPr>
      </w:pPr>
    </w:p>
    <w:p w14:paraId="21493E23">
      <w:pPr>
        <w:spacing w:line="560" w:lineRule="exact"/>
        <w:ind w:firstLine="480" w:firstLineChars="20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本公司(联合体)郑重声明，根据《政府采购促进中小企业发展管理办法》(财库(2020)46号)的规定，本公司(联合体)参加</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u w:val="single"/>
          <w:lang w:eastAsia="zh-CN"/>
        </w:rPr>
        <w:t>陕西省西咸新区沣东新城管理委员会</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 的</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u w:val="single"/>
          <w:lang w:eastAsia="zh-CN"/>
        </w:rPr>
        <w:t>沣东新城安保服务采购项目</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7CD114B4">
      <w:pPr>
        <w:pStyle w:val="71"/>
        <w:numPr>
          <w:ilvl w:val="0"/>
          <w:numId w:val="14"/>
        </w:numPr>
        <w:spacing w:line="560" w:lineRule="exact"/>
        <w:ind w:left="0" w:firstLine="48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highlight w:val="none"/>
          <w:u w:val="single"/>
          <w:lang w:eastAsia="zh-CN"/>
        </w:rPr>
        <w:t>沣东新城安保服务采购项目</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，属于</w:t>
      </w:r>
      <w:r>
        <w:rPr>
          <w:rFonts w:hint="eastAsia" w:ascii="仿宋" w:hAnsi="仿宋" w:eastAsia="仿宋" w:cs="仿宋"/>
          <w:color w:val="auto"/>
          <w:kern w:val="0"/>
          <w:sz w:val="24"/>
          <w:szCs w:val="24"/>
          <w:highlight w:val="none"/>
          <w:u w:val="single"/>
        </w:rPr>
        <w:t xml:space="preserve"> 租赁和商务服务业 </w:t>
      </w:r>
      <w:r>
        <w:rPr>
          <w:rFonts w:hint="eastAsia" w:ascii="仿宋" w:hAnsi="仿宋" w:eastAsia="仿宋" w:cs="仿宋"/>
          <w:color w:val="auto"/>
          <w:kern w:val="0"/>
          <w:sz w:val="24"/>
          <w:szCs w:val="24"/>
          <w:highlight w:val="none"/>
        </w:rPr>
        <w:t>；承建(承接)企业为</w:t>
      </w:r>
      <w:r>
        <w:rPr>
          <w:rFonts w:hint="eastAsia" w:ascii="仿宋" w:hAnsi="仿宋" w:eastAsia="仿宋" w:cs="仿宋"/>
          <w:color w:val="auto"/>
          <w:kern w:val="0"/>
          <w:sz w:val="24"/>
          <w:szCs w:val="24"/>
          <w:highlight w:val="none"/>
          <w:u w:val="single"/>
        </w:rPr>
        <w:t xml:space="preserve"> (企业名称) </w:t>
      </w:r>
      <w:r>
        <w:rPr>
          <w:rFonts w:hint="eastAsia" w:ascii="仿宋" w:hAnsi="仿宋" w:eastAsia="仿宋" w:cs="仿宋"/>
          <w:color w:val="auto"/>
          <w:kern w:val="0"/>
          <w:sz w:val="24"/>
          <w:szCs w:val="24"/>
          <w:highlight w:val="none"/>
        </w:rPr>
        <w:t>，从业人员</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人，营业收入为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万元，资产总额为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万元，属于</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(中型企业、小型企业、微型企业) ；</w:t>
      </w:r>
    </w:p>
    <w:p w14:paraId="08C50BB0">
      <w:pPr>
        <w:spacing w:line="560" w:lineRule="exact"/>
        <w:ind w:firstLine="480" w:firstLineChars="200"/>
        <w:rPr>
          <w:rFonts w:ascii="仿宋" w:hAnsi="仿宋" w:eastAsia="仿宋" w:cs="仿宋"/>
          <w:color w:val="auto"/>
          <w:kern w:val="0"/>
          <w:sz w:val="24"/>
          <w:highlight w:val="none"/>
        </w:rPr>
      </w:pPr>
    </w:p>
    <w:p w14:paraId="2BA39C38">
      <w:pPr>
        <w:spacing w:line="560" w:lineRule="exact"/>
        <w:ind w:firstLine="480" w:firstLineChars="20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以上企业，不属于大企业的分支机构，不存在控股股东为大企业的情形，也不存在与大企业的负责人为同一人的情形。</w:t>
      </w:r>
    </w:p>
    <w:p w14:paraId="206C347B">
      <w:pPr>
        <w:spacing w:line="560" w:lineRule="exact"/>
        <w:ind w:firstLine="482" w:firstLineChars="200"/>
        <w:rPr>
          <w:rFonts w:ascii="仿宋" w:hAnsi="仿宋" w:eastAsia="仿宋" w:cs="仿宋"/>
          <w:color w:val="auto"/>
          <w:kern w:val="0"/>
          <w:sz w:val="24"/>
          <w:highlight w:val="none"/>
        </w:rPr>
      </w:pPr>
      <w:r>
        <w:rPr>
          <w:rFonts w:hint="eastAsia" w:ascii="仿宋" w:hAnsi="仿宋" w:eastAsia="仿宋" w:cs="仿宋"/>
          <w:b/>
          <w:bCs/>
          <w:i/>
          <w:iCs/>
          <w:color w:val="auto"/>
          <w:kern w:val="0"/>
          <w:sz w:val="24"/>
          <w:highlight w:val="none"/>
        </w:rPr>
        <w:t>请供应商仔细阅读“关于印发中小企业划型标准规定的通知(工信部联企业〔2011〕300号)”文件，根据本项目所属行业的划型标准填写此声明函。</w:t>
      </w:r>
    </w:p>
    <w:p w14:paraId="03B9197E">
      <w:pPr>
        <w:spacing w:line="560" w:lineRule="exact"/>
        <w:ind w:firstLine="480" w:firstLineChars="20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本企业对上述声明内容的真实性负责。如有虚假，将依法承担相应责任。</w:t>
      </w:r>
    </w:p>
    <w:p w14:paraId="31841BE0">
      <w:pPr>
        <w:spacing w:line="560" w:lineRule="exac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                                  单位名称(盖章):</w:t>
      </w:r>
    </w:p>
    <w:p w14:paraId="71D288C3">
      <w:pPr>
        <w:spacing w:line="560" w:lineRule="exact"/>
        <w:ind w:firstLine="4320" w:firstLineChars="180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日期：</w:t>
      </w:r>
    </w:p>
    <w:p w14:paraId="1BCFC52A">
      <w:pPr>
        <w:spacing w:line="560" w:lineRule="exact"/>
        <w:ind w:firstLine="5400" w:firstLineChars="1800"/>
        <w:rPr>
          <w:rFonts w:ascii="仿宋" w:hAnsi="仿宋" w:eastAsia="仿宋" w:cs="仿宋"/>
          <w:color w:val="auto"/>
          <w:kern w:val="0"/>
          <w:sz w:val="30"/>
          <w:szCs w:val="30"/>
          <w:highlight w:val="none"/>
        </w:rPr>
      </w:pPr>
    </w:p>
    <w:p w14:paraId="54F92AEC">
      <w:pPr>
        <w:rPr>
          <w:rFonts w:ascii="仿宋" w:hAnsi="仿宋" w:eastAsia="仿宋" w:cs="仿宋"/>
          <w:color w:val="auto"/>
          <w:kern w:val="0"/>
          <w:sz w:val="30"/>
          <w:szCs w:val="30"/>
          <w:highlight w:val="none"/>
          <w:u w:val="single"/>
        </w:rPr>
      </w:pPr>
      <w:r>
        <w:rPr>
          <w:rFonts w:hint="eastAsia" w:ascii="仿宋" w:hAnsi="仿宋" w:eastAsia="仿宋" w:cs="仿宋"/>
          <w:color w:val="auto"/>
          <w:kern w:val="0"/>
          <w:sz w:val="30"/>
          <w:szCs w:val="30"/>
          <w:highlight w:val="none"/>
        </w:rPr>
        <w:t xml:space="preserve"> </w:t>
      </w:r>
      <w:r>
        <w:rPr>
          <w:rFonts w:hint="eastAsia" w:ascii="仿宋" w:hAnsi="仿宋" w:eastAsia="仿宋" w:cs="仿宋"/>
          <w:color w:val="auto"/>
          <w:kern w:val="0"/>
          <w:sz w:val="30"/>
          <w:szCs w:val="30"/>
          <w:highlight w:val="none"/>
          <w:u w:val="single"/>
        </w:rPr>
        <w:t xml:space="preserve">                                                   </w:t>
      </w:r>
    </w:p>
    <w:p w14:paraId="7EA2A64C">
      <w:pPr>
        <w:ind w:firstLine="105" w:firstLineChars="50"/>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（从业人员、营业收入、资产总额填报上一年度数据，无上一年度数据的新成立企业可不填报）</w:t>
      </w:r>
    </w:p>
    <w:p w14:paraId="6CB23ED6">
      <w:pP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r>
    </w:p>
    <w:p w14:paraId="42ADD889">
      <w:pPr>
        <w:tabs>
          <w:tab w:val="left" w:pos="588"/>
        </w:tabs>
        <w:jc w:val="center"/>
        <w:rPr>
          <w:rFonts w:ascii="仿宋" w:hAnsi="仿宋" w:eastAsia="仿宋" w:cs="仿宋"/>
          <w:b/>
          <w:bCs/>
          <w:color w:val="auto"/>
          <w:sz w:val="28"/>
          <w:szCs w:val="36"/>
          <w:highlight w:val="none"/>
        </w:rPr>
      </w:pPr>
      <w:r>
        <w:rPr>
          <w:rFonts w:hint="eastAsia" w:ascii="仿宋" w:hAnsi="仿宋" w:eastAsia="仿宋" w:cs="仿宋"/>
          <w:b/>
          <w:bCs/>
          <w:color w:val="auto"/>
          <w:sz w:val="28"/>
          <w:szCs w:val="36"/>
          <w:highlight w:val="none"/>
        </w:rPr>
        <w:t>二、监狱企业声明函</w:t>
      </w:r>
    </w:p>
    <w:p w14:paraId="69326883">
      <w:pPr>
        <w:widowControl/>
        <w:spacing w:before="100" w:beforeAutospacing="1" w:after="100" w:afterAutospacing="1" w:line="360" w:lineRule="auto"/>
        <w:ind w:firstLine="480" w:firstLineChars="200"/>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本单位郑重声明下列事项（按照实际情况勾选或填空）：</w:t>
      </w:r>
    </w:p>
    <w:p w14:paraId="77DCC71D">
      <w:pPr>
        <w:widowControl/>
        <w:spacing w:before="100" w:beforeAutospacing="1" w:after="100" w:afterAutospacing="1" w:line="360" w:lineRule="auto"/>
        <w:ind w:firstLine="480" w:firstLineChars="200"/>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本单位为直接供应商，提供本单位制造的货物。</w:t>
      </w:r>
    </w:p>
    <w:p w14:paraId="0FCCA036">
      <w:pPr>
        <w:widowControl/>
        <w:spacing w:before="100" w:beforeAutospacing="1" w:after="100" w:afterAutospacing="1" w:line="360" w:lineRule="auto"/>
        <w:ind w:firstLine="360" w:firstLineChars="150"/>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（1）本企业（单位）</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（请填写：是、不是）监狱企业。如果是，后附省级以上监狱管理局、戒毒管理局（含新疆生产建设兵团）出具的属于监狱企业的证明文件。</w:t>
      </w:r>
    </w:p>
    <w:p w14:paraId="39761E4B">
      <w:pPr>
        <w:widowControl/>
        <w:spacing w:before="100" w:beforeAutospacing="1" w:after="100" w:afterAutospacing="1" w:line="360" w:lineRule="auto"/>
        <w:ind w:firstLine="420"/>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（2）本企业（单位）</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（请填写：是、不是）为联合体一方，提供本企业（单位）制造的货物，由本企业（单位）承担工程、提供服务。本企业（单位）提供协议合同金额占到共同投标协议合同总金额的比例为</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w:t>
      </w:r>
    </w:p>
    <w:p w14:paraId="56F9F560">
      <w:pPr>
        <w:widowControl/>
        <w:spacing w:before="100" w:beforeAutospacing="1" w:after="100" w:afterAutospacing="1" w:line="360" w:lineRule="auto"/>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　　本企业（单位）对上述声明的真实性负责。如有虚假，将依法承担相应责任。</w:t>
      </w:r>
    </w:p>
    <w:p w14:paraId="1B755FFE">
      <w:pPr>
        <w:widowControl/>
        <w:spacing w:before="100" w:beforeAutospacing="1" w:after="100" w:afterAutospacing="1" w:line="360" w:lineRule="auto"/>
        <w:jc w:val="left"/>
        <w:rPr>
          <w:rFonts w:ascii="仿宋" w:hAnsi="仿宋" w:eastAsia="仿宋" w:cs="仿宋"/>
          <w:b/>
          <w:color w:val="auto"/>
          <w:kern w:val="0"/>
          <w:sz w:val="24"/>
          <w:szCs w:val="20"/>
          <w:highlight w:val="none"/>
        </w:rPr>
      </w:pPr>
      <w:r>
        <w:rPr>
          <w:rFonts w:hint="eastAsia" w:ascii="仿宋" w:hAnsi="仿宋" w:eastAsia="仿宋" w:cs="仿宋"/>
          <w:color w:val="auto"/>
          <w:kern w:val="0"/>
          <w:sz w:val="24"/>
          <w:highlight w:val="none"/>
        </w:rPr>
        <w:t>　</w:t>
      </w:r>
      <w:r>
        <w:rPr>
          <w:rFonts w:hint="eastAsia" w:ascii="仿宋" w:hAnsi="仿宋" w:eastAsia="仿宋" w:cs="仿宋"/>
          <w:b/>
          <w:color w:val="auto"/>
          <w:kern w:val="0"/>
          <w:sz w:val="24"/>
          <w:szCs w:val="20"/>
          <w:highlight w:val="none"/>
        </w:rPr>
        <w:t>　</w:t>
      </w:r>
    </w:p>
    <w:p w14:paraId="11478DC2">
      <w:pPr>
        <w:widowControl/>
        <w:spacing w:before="100" w:beforeAutospacing="1" w:after="100" w:afterAutospacing="1" w:line="360" w:lineRule="auto"/>
        <w:ind w:firstLine="360" w:firstLineChars="150"/>
        <w:jc w:val="lef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单位名称（公章）：</w:t>
      </w:r>
      <w:r>
        <w:rPr>
          <w:rFonts w:hint="eastAsia" w:ascii="仿宋" w:hAnsi="仿宋" w:eastAsia="仿宋" w:cs="仿宋"/>
          <w:color w:val="auto"/>
          <w:kern w:val="0"/>
          <w:sz w:val="24"/>
          <w:highlight w:val="none"/>
          <w:u w:val="single"/>
        </w:rPr>
        <w:t xml:space="preserve">             </w:t>
      </w:r>
    </w:p>
    <w:p w14:paraId="3A74FCBB">
      <w:pPr>
        <w:widowControl/>
        <w:spacing w:before="100" w:beforeAutospacing="1" w:after="100" w:afterAutospacing="1" w:line="360" w:lineRule="auto"/>
        <w:ind w:firstLine="480" w:firstLineChars="200"/>
        <w:jc w:val="left"/>
        <w:rPr>
          <w:rFonts w:ascii="仿宋" w:hAnsi="仿宋" w:eastAsia="仿宋" w:cs="仿宋"/>
          <w:color w:val="auto"/>
          <w:kern w:val="0"/>
          <w:sz w:val="24"/>
          <w:highlight w:val="none"/>
          <w:u w:val="single"/>
        </w:rPr>
      </w:pPr>
      <w:r>
        <w:rPr>
          <w:rFonts w:hint="eastAsia" w:ascii="仿宋" w:hAnsi="仿宋" w:eastAsia="仿宋" w:cs="仿宋"/>
          <w:color w:val="auto"/>
          <w:kern w:val="0"/>
          <w:sz w:val="24"/>
          <w:highlight w:val="none"/>
        </w:rPr>
        <w:t>日　期：</w:t>
      </w:r>
      <w:r>
        <w:rPr>
          <w:rFonts w:hint="eastAsia" w:ascii="仿宋" w:hAnsi="仿宋" w:eastAsia="仿宋" w:cs="仿宋"/>
          <w:color w:val="auto"/>
          <w:kern w:val="0"/>
          <w:sz w:val="24"/>
          <w:highlight w:val="none"/>
          <w:u w:val="single"/>
        </w:rPr>
        <w:t xml:space="preserve">             </w:t>
      </w:r>
    </w:p>
    <w:p w14:paraId="55630BC8">
      <w:pPr>
        <w:widowControl/>
        <w:spacing w:before="100" w:beforeAutospacing="1" w:after="100" w:afterAutospacing="1" w:line="360" w:lineRule="auto"/>
        <w:jc w:val="left"/>
        <w:rPr>
          <w:rFonts w:ascii="仿宋" w:hAnsi="仿宋" w:eastAsia="仿宋" w:cs="仿宋"/>
          <w:color w:val="auto"/>
          <w:kern w:val="0"/>
          <w:sz w:val="24"/>
          <w:highlight w:val="none"/>
          <w:u w:val="single"/>
        </w:rPr>
      </w:pPr>
    </w:p>
    <w:p w14:paraId="3F300B8E">
      <w:pPr>
        <w:widowControl/>
        <w:spacing w:before="100" w:beforeAutospacing="1" w:after="100" w:afterAutospacing="1" w:line="360" w:lineRule="auto"/>
        <w:jc w:val="left"/>
        <w:rPr>
          <w:rFonts w:ascii="仿宋" w:hAnsi="仿宋" w:eastAsia="仿宋" w:cs="仿宋"/>
          <w:b/>
          <w:bCs/>
          <w:color w:val="auto"/>
          <w:sz w:val="24"/>
          <w:highlight w:val="none"/>
        </w:rPr>
      </w:pPr>
      <w:r>
        <w:rPr>
          <w:rFonts w:hint="eastAsia" w:ascii="仿宋" w:hAnsi="仿宋" w:eastAsia="仿宋" w:cs="仿宋"/>
          <w:b/>
          <w:bCs/>
          <w:color w:val="auto"/>
          <w:kern w:val="0"/>
          <w:sz w:val="24"/>
          <w:highlight w:val="none"/>
        </w:rPr>
        <w:t>注：符合《关于政府采购支持监狱企业发展有关问题的通知》价格扣减条件的供应商须提交。需提供</w:t>
      </w:r>
      <w:r>
        <w:rPr>
          <w:rFonts w:hint="eastAsia" w:ascii="仿宋" w:hAnsi="仿宋" w:eastAsia="仿宋" w:cs="仿宋"/>
          <w:b/>
          <w:bCs/>
          <w:color w:val="auto"/>
          <w:sz w:val="24"/>
          <w:highlight w:val="none"/>
        </w:rPr>
        <w:t>省级以上监狱管理局、戒毒管理局（含新疆生产建设兵团）出具的属于监狱企业的证明文件。不符合的可以不提交。</w:t>
      </w:r>
    </w:p>
    <w:p w14:paraId="7048343D">
      <w:pPr>
        <w:rPr>
          <w:rFonts w:ascii="仿宋" w:hAnsi="仿宋" w:eastAsia="仿宋" w:cs="仿宋"/>
          <w:color w:val="auto"/>
          <w:sz w:val="32"/>
          <w:szCs w:val="32"/>
          <w:highlight w:val="none"/>
        </w:rPr>
      </w:pPr>
    </w:p>
    <w:p w14:paraId="6F0CFAE6">
      <w:pPr>
        <w:tabs>
          <w:tab w:val="left" w:pos="588"/>
        </w:tabs>
        <w:jc w:val="center"/>
        <w:rPr>
          <w:rFonts w:ascii="仿宋" w:hAnsi="仿宋" w:eastAsia="仿宋" w:cs="仿宋"/>
          <w:b/>
          <w:color w:val="auto"/>
          <w:sz w:val="32"/>
          <w:szCs w:val="32"/>
          <w:highlight w:val="none"/>
        </w:rPr>
      </w:pPr>
      <w:r>
        <w:rPr>
          <w:rFonts w:hint="eastAsia" w:ascii="仿宋" w:hAnsi="仿宋" w:eastAsia="仿宋" w:cs="仿宋"/>
          <w:color w:val="auto"/>
          <w:sz w:val="32"/>
          <w:szCs w:val="32"/>
          <w:highlight w:val="none"/>
        </w:rPr>
        <w:br w:type="page"/>
      </w:r>
      <w:r>
        <w:rPr>
          <w:rFonts w:hint="eastAsia" w:ascii="仿宋" w:hAnsi="仿宋" w:eastAsia="仿宋" w:cs="仿宋"/>
          <w:b/>
          <w:bCs/>
          <w:color w:val="auto"/>
          <w:sz w:val="28"/>
          <w:szCs w:val="36"/>
          <w:highlight w:val="none"/>
        </w:rPr>
        <w:t>三、残疾人福利性单位声明函</w:t>
      </w:r>
    </w:p>
    <w:p w14:paraId="30BD6E6B">
      <w:pPr>
        <w:rPr>
          <w:rFonts w:ascii="仿宋" w:hAnsi="仿宋" w:eastAsia="仿宋" w:cs="仿宋"/>
          <w:color w:val="auto"/>
          <w:sz w:val="24"/>
          <w:highlight w:val="none"/>
        </w:rPr>
      </w:pPr>
    </w:p>
    <w:p w14:paraId="3D8E7846">
      <w:pPr>
        <w:spacing w:line="360" w:lineRule="auto"/>
        <w:ind w:firstLine="480" w:firstLineChars="200"/>
        <w:rPr>
          <w:rFonts w:ascii="仿宋" w:hAnsi="仿宋" w:eastAsia="仿宋" w:cs="仿宋"/>
          <w:color w:val="auto"/>
          <w:sz w:val="24"/>
          <w:highlight w:val="none"/>
        </w:rPr>
      </w:pPr>
    </w:p>
    <w:p w14:paraId="1C20FC9E">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本单位郑重声明，根据《财政部 民政部 中国残疾人联合会关于促进残疾人就业政府采购政策的通知》（财库〔2017〕141号）的规定，本单位为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（符合/不符合）条件的残疾人福利性单位，且本单位参加_</w:t>
      </w:r>
      <w:r>
        <w:rPr>
          <w:rFonts w:hint="eastAsia" w:ascii="仿宋" w:hAnsi="仿宋" w:eastAsia="仿宋" w:cs="仿宋"/>
          <w:color w:val="auto"/>
          <w:sz w:val="24"/>
          <w:highlight w:val="none"/>
          <w:u w:val="single"/>
          <w:lang w:eastAsia="zh-CN"/>
        </w:rPr>
        <w:t>陕西省西咸新区沣东新城管理委员会</w:t>
      </w:r>
      <w:r>
        <w:rPr>
          <w:rFonts w:hint="eastAsia" w:ascii="仿宋" w:hAnsi="仿宋" w:eastAsia="仿宋" w:cs="仿宋"/>
          <w:color w:val="auto"/>
          <w:sz w:val="24"/>
          <w:highlight w:val="none"/>
        </w:rPr>
        <w:t>_单位的_</w:t>
      </w:r>
      <w:r>
        <w:rPr>
          <w:rFonts w:hint="eastAsia" w:ascii="仿宋" w:hAnsi="仿宋" w:eastAsia="仿宋" w:cs="仿宋"/>
          <w:color w:val="auto"/>
          <w:sz w:val="24"/>
          <w:highlight w:val="none"/>
          <w:u w:val="single"/>
          <w:lang w:eastAsia="zh-CN"/>
        </w:rPr>
        <w:t>沣东新城安保服务采购项目</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采购活动提供本单位制造的货物（由本单位承担工程/提供服务），或者提供其他残疾人福利性单位制造的货物（不包括使用非残疾人福利性单位注册商标的货物）。</w:t>
      </w:r>
    </w:p>
    <w:p w14:paraId="70F85534">
      <w:pPr>
        <w:spacing w:line="360" w:lineRule="auto"/>
        <w:ind w:firstLine="360" w:firstLineChars="150"/>
        <w:rPr>
          <w:rFonts w:ascii="仿宋" w:hAnsi="仿宋" w:eastAsia="仿宋" w:cs="仿宋"/>
          <w:color w:val="auto"/>
          <w:sz w:val="24"/>
          <w:highlight w:val="none"/>
        </w:rPr>
      </w:pPr>
      <w:r>
        <w:rPr>
          <w:rFonts w:hint="eastAsia" w:ascii="仿宋" w:hAnsi="仿宋" w:eastAsia="仿宋" w:cs="仿宋"/>
          <w:color w:val="auto"/>
          <w:sz w:val="24"/>
          <w:highlight w:val="none"/>
        </w:rPr>
        <w:t>本单位对上述声明的真实性负责。如有虚假，将依法承担相应责任。</w:t>
      </w:r>
    </w:p>
    <w:p w14:paraId="5BC9A99F">
      <w:pPr>
        <w:spacing w:line="360" w:lineRule="auto"/>
        <w:rPr>
          <w:rFonts w:ascii="仿宋" w:hAnsi="仿宋" w:eastAsia="仿宋" w:cs="仿宋"/>
          <w:color w:val="auto"/>
          <w:sz w:val="24"/>
          <w:highlight w:val="none"/>
        </w:rPr>
      </w:pPr>
    </w:p>
    <w:p w14:paraId="06C6D43D">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p>
    <w:p w14:paraId="2AE463B7">
      <w:pPr>
        <w:rPr>
          <w:rFonts w:ascii="仿宋" w:hAnsi="仿宋" w:eastAsia="仿宋" w:cs="仿宋"/>
          <w:color w:val="auto"/>
          <w:sz w:val="24"/>
          <w:highlight w:val="none"/>
        </w:rPr>
      </w:pPr>
    </w:p>
    <w:p w14:paraId="353B8421">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p>
    <w:p w14:paraId="44DECCC0">
      <w:pPr>
        <w:rPr>
          <w:rFonts w:ascii="仿宋" w:hAnsi="仿宋" w:eastAsia="仿宋" w:cs="仿宋"/>
          <w:color w:val="auto"/>
          <w:sz w:val="24"/>
          <w:highlight w:val="none"/>
        </w:rPr>
      </w:pPr>
    </w:p>
    <w:p w14:paraId="09372956">
      <w:pPr>
        <w:ind w:firstLine="3600" w:firstLineChars="1500"/>
        <w:rPr>
          <w:rFonts w:ascii="仿宋" w:hAnsi="仿宋" w:eastAsia="仿宋" w:cs="仿宋"/>
          <w:color w:val="auto"/>
          <w:sz w:val="24"/>
          <w:highlight w:val="none"/>
        </w:rPr>
      </w:pPr>
      <w:r>
        <w:rPr>
          <w:rFonts w:hint="eastAsia" w:ascii="仿宋" w:hAnsi="仿宋" w:eastAsia="仿宋" w:cs="仿宋"/>
          <w:color w:val="auto"/>
          <w:sz w:val="24"/>
          <w:highlight w:val="none"/>
        </w:rPr>
        <w:t>单位名称（公章）：</w:t>
      </w:r>
    </w:p>
    <w:p w14:paraId="00DA87FA">
      <w:pPr>
        <w:rPr>
          <w:rFonts w:ascii="仿宋" w:hAnsi="仿宋" w:eastAsia="仿宋" w:cs="仿宋"/>
          <w:color w:val="auto"/>
          <w:sz w:val="24"/>
          <w:highlight w:val="none"/>
        </w:rPr>
      </w:pPr>
    </w:p>
    <w:p w14:paraId="2B776E68">
      <w:pPr>
        <w:pStyle w:val="24"/>
        <w:ind w:firstLine="3360" w:firstLineChars="1400"/>
        <w:rPr>
          <w:rFonts w:ascii="仿宋" w:hAnsi="仿宋" w:eastAsia="仿宋" w:cs="仿宋"/>
          <w:color w:val="auto"/>
          <w:highlight w:val="none"/>
        </w:rPr>
      </w:pPr>
      <w:r>
        <w:rPr>
          <w:rFonts w:hint="eastAsia" w:ascii="仿宋" w:hAnsi="仿宋" w:eastAsia="仿宋" w:cs="仿宋"/>
          <w:color w:val="auto"/>
          <w:highlight w:val="none"/>
        </w:rPr>
        <w:t>日  期：</w:t>
      </w:r>
    </w:p>
    <w:p w14:paraId="31E782DE">
      <w:pPr>
        <w:ind w:firstLine="4337" w:firstLineChars="1800"/>
        <w:rPr>
          <w:rFonts w:ascii="仿宋" w:hAnsi="仿宋" w:eastAsia="仿宋" w:cs="仿宋"/>
          <w:b/>
          <w:bCs/>
          <w:color w:val="auto"/>
          <w:kern w:val="0"/>
          <w:sz w:val="24"/>
          <w:szCs w:val="20"/>
          <w:highlight w:val="none"/>
        </w:rPr>
      </w:pPr>
    </w:p>
    <w:p w14:paraId="775DB912">
      <w:pPr>
        <w:ind w:firstLine="4337" w:firstLineChars="1800"/>
        <w:rPr>
          <w:rFonts w:ascii="仿宋" w:hAnsi="仿宋" w:eastAsia="仿宋" w:cs="仿宋"/>
          <w:b/>
          <w:bCs/>
          <w:color w:val="auto"/>
          <w:kern w:val="0"/>
          <w:sz w:val="24"/>
          <w:szCs w:val="20"/>
          <w:highlight w:val="none"/>
        </w:rPr>
      </w:pPr>
    </w:p>
    <w:p w14:paraId="342B0849">
      <w:pPr>
        <w:ind w:firstLine="4337" w:firstLineChars="1800"/>
        <w:rPr>
          <w:rFonts w:ascii="仿宋" w:hAnsi="仿宋" w:eastAsia="仿宋" w:cs="仿宋"/>
          <w:b/>
          <w:bCs/>
          <w:color w:val="auto"/>
          <w:kern w:val="0"/>
          <w:sz w:val="24"/>
          <w:szCs w:val="20"/>
          <w:highlight w:val="none"/>
        </w:rPr>
      </w:pPr>
    </w:p>
    <w:p w14:paraId="4CB200CD">
      <w:pPr>
        <w:ind w:firstLine="4337" w:firstLineChars="1800"/>
        <w:rPr>
          <w:rFonts w:ascii="仿宋" w:hAnsi="仿宋" w:eastAsia="仿宋" w:cs="仿宋"/>
          <w:b/>
          <w:bCs/>
          <w:color w:val="auto"/>
          <w:kern w:val="0"/>
          <w:sz w:val="24"/>
          <w:szCs w:val="20"/>
          <w:highlight w:val="none"/>
        </w:rPr>
      </w:pPr>
    </w:p>
    <w:p w14:paraId="1AACFE91">
      <w:pPr>
        <w:ind w:firstLine="4337" w:firstLineChars="1800"/>
        <w:outlineLvl w:val="9"/>
        <w:rPr>
          <w:rFonts w:ascii="仿宋" w:hAnsi="仿宋" w:eastAsia="仿宋" w:cs="仿宋"/>
          <w:b/>
          <w:bCs/>
          <w:color w:val="auto"/>
          <w:kern w:val="0"/>
          <w:sz w:val="24"/>
          <w:szCs w:val="20"/>
          <w:highlight w:val="none"/>
        </w:rPr>
      </w:pPr>
    </w:p>
    <w:p w14:paraId="30F8AA3C">
      <w:pPr>
        <w:ind w:firstLine="4337" w:firstLineChars="1800"/>
        <w:outlineLvl w:val="9"/>
        <w:rPr>
          <w:rFonts w:ascii="仿宋" w:hAnsi="仿宋" w:eastAsia="仿宋" w:cs="仿宋"/>
          <w:b/>
          <w:bCs/>
          <w:color w:val="auto"/>
          <w:kern w:val="0"/>
          <w:sz w:val="24"/>
          <w:szCs w:val="20"/>
          <w:highlight w:val="none"/>
        </w:rPr>
      </w:pPr>
    </w:p>
    <w:p w14:paraId="74052180">
      <w:pPr>
        <w:outlineLvl w:val="9"/>
        <w:rPr>
          <w:color w:val="auto"/>
          <w:highlight w:val="none"/>
          <w:lang w:val="zh-CN"/>
        </w:rPr>
      </w:pPr>
      <w:r>
        <w:rPr>
          <w:rFonts w:hint="eastAsia" w:ascii="仿宋" w:hAnsi="仿宋" w:eastAsia="仿宋" w:cs="仿宋"/>
          <w:b/>
          <w:bCs/>
          <w:color w:val="auto"/>
          <w:kern w:val="0"/>
          <w:sz w:val="24"/>
          <w:szCs w:val="20"/>
          <w:highlight w:val="none"/>
        </w:rPr>
        <w:t>注：符合《三部门联合发布关于促进残疾人就业政府采购政策的通知》条件的供应商须提交，不符合的可以不提交。</w:t>
      </w:r>
    </w:p>
    <w:p w14:paraId="4A4495F2">
      <w:pPr>
        <w:pStyle w:val="22"/>
        <w:rPr>
          <w:rFonts w:hint="eastAsia"/>
          <w:highlight w:val="none"/>
        </w:rPr>
        <w:sectPr>
          <w:pgSz w:w="11906" w:h="16838"/>
          <w:pgMar w:top="1418" w:right="1418" w:bottom="1418" w:left="1418" w:header="851" w:footer="992" w:gutter="0"/>
          <w:pgNumType w:fmt="decimal"/>
          <w:cols w:space="720" w:num="1"/>
          <w:docGrid w:linePitch="312" w:charSpace="0"/>
        </w:sectPr>
      </w:pPr>
    </w:p>
    <w:p w14:paraId="5A7E2EF9">
      <w:pPr>
        <w:autoSpaceDE w:val="0"/>
        <w:autoSpaceDN w:val="0"/>
        <w:adjustRightInd w:val="0"/>
        <w:snapToGrid w:val="0"/>
        <w:spacing w:line="360" w:lineRule="auto"/>
        <w:jc w:val="left"/>
        <w:rPr>
          <w:rFonts w:hint="eastAsia" w:ascii="仿宋_GB2312" w:hAnsi="仿宋_GB2312" w:eastAsia="仿宋_GB2312" w:cs="仿宋_GB2312"/>
          <w:b/>
          <w:bCs/>
          <w:color w:val="auto"/>
          <w:sz w:val="32"/>
          <w:szCs w:val="32"/>
          <w:highlight w:val="none"/>
          <w:lang w:val="zh-CN"/>
        </w:rPr>
      </w:pPr>
    </w:p>
    <w:p w14:paraId="1E1C8399">
      <w:pPr>
        <w:autoSpaceDE w:val="0"/>
        <w:autoSpaceDN w:val="0"/>
        <w:adjustRightInd w:val="0"/>
        <w:snapToGrid w:val="0"/>
        <w:spacing w:line="360" w:lineRule="auto"/>
        <w:jc w:val="left"/>
        <w:rPr>
          <w:rFonts w:hint="eastAsia" w:ascii="仿宋_GB2312" w:hAnsi="仿宋_GB2312" w:eastAsia="仿宋_GB2312" w:cs="仿宋_GB2312"/>
          <w:b/>
          <w:bCs/>
          <w:color w:val="auto"/>
          <w:sz w:val="32"/>
          <w:szCs w:val="32"/>
          <w:highlight w:val="none"/>
          <w:lang w:val="zh-CN"/>
        </w:rPr>
      </w:pPr>
    </w:p>
    <w:p w14:paraId="4FFAB865">
      <w:pPr>
        <w:autoSpaceDE w:val="0"/>
        <w:autoSpaceDN w:val="0"/>
        <w:adjustRightInd w:val="0"/>
        <w:snapToGrid w:val="0"/>
        <w:spacing w:line="360" w:lineRule="auto"/>
        <w:jc w:val="left"/>
        <w:rPr>
          <w:rFonts w:ascii="仿宋_GB2312" w:hAnsi="仿宋_GB2312" w:eastAsia="仿宋_GB2312" w:cs="仿宋_GB2312"/>
          <w:b/>
          <w:bCs/>
          <w:color w:val="auto"/>
          <w:sz w:val="32"/>
          <w:szCs w:val="32"/>
          <w:highlight w:val="none"/>
          <w:lang w:val="zh-CN"/>
        </w:rPr>
      </w:pPr>
      <w:r>
        <w:rPr>
          <w:rFonts w:hint="eastAsia" w:ascii="仿宋_GB2312" w:hAnsi="仿宋_GB2312" w:eastAsia="仿宋_GB2312" w:cs="仿宋_GB2312"/>
          <w:b/>
          <w:bCs/>
          <w:color w:val="auto"/>
          <w:sz w:val="32"/>
          <w:szCs w:val="32"/>
          <w:highlight w:val="none"/>
          <w:lang w:val="zh-CN"/>
        </w:rPr>
        <w:t>政府采购项目</w:t>
      </w:r>
    </w:p>
    <w:p w14:paraId="2FEF9EE2">
      <w:pPr>
        <w:autoSpaceDE w:val="0"/>
        <w:autoSpaceDN w:val="0"/>
        <w:adjustRightInd w:val="0"/>
        <w:snapToGrid w:val="0"/>
        <w:spacing w:line="360" w:lineRule="auto"/>
        <w:jc w:val="left"/>
        <w:rPr>
          <w:rFonts w:ascii="仿宋_GB2312" w:hAnsi="仿宋_GB2312" w:eastAsia="仿宋_GB2312" w:cs="仿宋_GB2312"/>
          <w:b/>
          <w:bCs/>
          <w:color w:val="auto"/>
          <w:sz w:val="32"/>
          <w:szCs w:val="32"/>
          <w:highlight w:val="none"/>
          <w:lang w:val="zh-CN"/>
        </w:rPr>
      </w:pPr>
      <w:r>
        <w:rPr>
          <w:rFonts w:hint="eastAsia" w:ascii="仿宋_GB2312" w:hAnsi="仿宋_GB2312" w:eastAsia="仿宋_GB2312" w:cs="仿宋_GB2312"/>
          <w:b/>
          <w:bCs/>
          <w:color w:val="auto"/>
          <w:sz w:val="32"/>
          <w:szCs w:val="32"/>
          <w:highlight w:val="none"/>
          <w:lang w:val="zh-CN"/>
        </w:rPr>
        <w:t>采购项目编号：</w:t>
      </w:r>
    </w:p>
    <w:p w14:paraId="7143806B">
      <w:pPr>
        <w:tabs>
          <w:tab w:val="left" w:pos="5670"/>
        </w:tabs>
        <w:autoSpaceDE w:val="0"/>
        <w:autoSpaceDN w:val="0"/>
        <w:adjustRightInd w:val="0"/>
        <w:snapToGrid w:val="0"/>
        <w:spacing w:line="360" w:lineRule="auto"/>
        <w:jc w:val="center"/>
        <w:rPr>
          <w:rFonts w:ascii="仿宋_GB2312" w:hAnsi="仿宋_GB2312" w:eastAsia="仿宋_GB2312" w:cs="仿宋_GB2312"/>
          <w:color w:val="auto"/>
          <w:sz w:val="19"/>
          <w:szCs w:val="19"/>
          <w:highlight w:val="none"/>
        </w:rPr>
      </w:pPr>
    </w:p>
    <w:p w14:paraId="1C828516">
      <w:pPr>
        <w:tabs>
          <w:tab w:val="left" w:pos="5670"/>
        </w:tabs>
        <w:autoSpaceDE w:val="0"/>
        <w:autoSpaceDN w:val="0"/>
        <w:adjustRightInd w:val="0"/>
        <w:snapToGrid w:val="0"/>
        <w:spacing w:line="360" w:lineRule="auto"/>
        <w:jc w:val="center"/>
        <w:rPr>
          <w:rFonts w:ascii="仿宋_GB2312" w:hAnsi="仿宋_GB2312" w:eastAsia="仿宋_GB2312" w:cs="仿宋_GB2312"/>
          <w:color w:val="auto"/>
          <w:sz w:val="19"/>
          <w:szCs w:val="19"/>
          <w:highlight w:val="none"/>
        </w:rPr>
      </w:pPr>
    </w:p>
    <w:p w14:paraId="48233A6C">
      <w:pPr>
        <w:tabs>
          <w:tab w:val="left" w:pos="5670"/>
        </w:tabs>
        <w:autoSpaceDE w:val="0"/>
        <w:autoSpaceDN w:val="0"/>
        <w:adjustRightInd w:val="0"/>
        <w:snapToGrid w:val="0"/>
        <w:spacing w:line="360" w:lineRule="auto"/>
        <w:jc w:val="center"/>
        <w:rPr>
          <w:rFonts w:ascii="仿宋_GB2312" w:hAnsi="仿宋_GB2312" w:eastAsia="仿宋_GB2312" w:cs="仿宋_GB2312"/>
          <w:color w:val="auto"/>
          <w:sz w:val="19"/>
          <w:szCs w:val="19"/>
          <w:highlight w:val="none"/>
        </w:rPr>
      </w:pPr>
    </w:p>
    <w:p w14:paraId="3C6FB808">
      <w:pPr>
        <w:autoSpaceDE w:val="0"/>
        <w:autoSpaceDN w:val="0"/>
        <w:adjustRightInd w:val="0"/>
        <w:snapToGrid w:val="0"/>
        <w:spacing w:line="360" w:lineRule="auto"/>
        <w:jc w:val="center"/>
        <w:rPr>
          <w:rFonts w:ascii="仿宋_GB2312" w:hAnsi="仿宋_GB2312" w:eastAsia="仿宋_GB2312" w:cs="仿宋_GB2312"/>
          <w:b/>
          <w:bCs/>
          <w:color w:val="auto"/>
          <w:sz w:val="44"/>
          <w:szCs w:val="44"/>
          <w:highlight w:val="none"/>
        </w:rPr>
      </w:pPr>
      <w:r>
        <w:rPr>
          <w:rFonts w:hint="eastAsia" w:ascii="仿宋" w:hAnsi="仿宋" w:eastAsia="仿宋" w:cs="仿宋"/>
          <w:b/>
          <w:bCs/>
          <w:color w:val="auto"/>
          <w:sz w:val="44"/>
          <w:szCs w:val="44"/>
          <w:highlight w:val="none"/>
          <w:lang w:eastAsia="zh-CN"/>
        </w:rPr>
        <w:t>沣东新城安保服务采购项目</w:t>
      </w:r>
    </w:p>
    <w:p w14:paraId="134D2191">
      <w:pPr>
        <w:tabs>
          <w:tab w:val="left" w:pos="5670"/>
        </w:tabs>
        <w:autoSpaceDE w:val="0"/>
        <w:autoSpaceDN w:val="0"/>
        <w:adjustRightInd w:val="0"/>
        <w:snapToGrid w:val="0"/>
        <w:spacing w:line="360" w:lineRule="auto"/>
        <w:jc w:val="center"/>
        <w:rPr>
          <w:rFonts w:ascii="仿宋_GB2312" w:hAnsi="仿宋_GB2312" w:eastAsia="仿宋_GB2312" w:cs="仿宋_GB2312"/>
          <w:b/>
          <w:bCs/>
          <w:color w:val="auto"/>
          <w:sz w:val="36"/>
          <w:szCs w:val="36"/>
          <w:highlight w:val="none"/>
          <w:lang w:val="zh-CN"/>
        </w:rPr>
      </w:pPr>
    </w:p>
    <w:p w14:paraId="6C9EE458">
      <w:pPr>
        <w:tabs>
          <w:tab w:val="left" w:pos="5670"/>
        </w:tabs>
        <w:autoSpaceDE w:val="0"/>
        <w:autoSpaceDN w:val="0"/>
        <w:adjustRightInd w:val="0"/>
        <w:snapToGrid w:val="0"/>
        <w:spacing w:line="360" w:lineRule="auto"/>
        <w:jc w:val="center"/>
        <w:rPr>
          <w:rFonts w:ascii="仿宋_GB2312" w:hAnsi="仿宋_GB2312" w:eastAsia="仿宋_GB2312" w:cs="仿宋_GB2312"/>
          <w:b/>
          <w:bCs/>
          <w:color w:val="auto"/>
          <w:sz w:val="52"/>
          <w:szCs w:val="52"/>
          <w:highlight w:val="none"/>
          <w:lang w:val="zh-CN"/>
        </w:rPr>
      </w:pPr>
      <w:r>
        <w:rPr>
          <w:rFonts w:hint="eastAsia" w:ascii="仿宋_GB2312" w:hAnsi="仿宋_GB2312" w:eastAsia="仿宋_GB2312" w:cs="仿宋_GB2312"/>
          <w:b/>
          <w:bCs/>
          <w:color w:val="auto"/>
          <w:sz w:val="52"/>
          <w:szCs w:val="52"/>
          <w:highlight w:val="none"/>
          <w:lang w:val="zh-CN"/>
        </w:rPr>
        <w:t>磋商响应文件</w:t>
      </w:r>
    </w:p>
    <w:p w14:paraId="3798B33A">
      <w:pPr>
        <w:autoSpaceDE w:val="0"/>
        <w:autoSpaceDN w:val="0"/>
        <w:adjustRightInd w:val="0"/>
        <w:snapToGrid w:val="0"/>
        <w:spacing w:line="360" w:lineRule="auto"/>
        <w:rPr>
          <w:rFonts w:ascii="黑体" w:hAnsi="黑体" w:eastAsia="黑体" w:cs="仿宋_GB2312"/>
          <w:b/>
          <w:bCs/>
          <w:color w:val="auto"/>
          <w:sz w:val="32"/>
          <w:szCs w:val="32"/>
          <w:highlight w:val="none"/>
          <w:lang w:val="zh-CN"/>
        </w:rPr>
      </w:pPr>
      <w:r>
        <w:rPr>
          <w:rFonts w:hint="eastAsia" w:ascii="仿宋_GB2312" w:hAnsi="仿宋_GB2312" w:eastAsia="仿宋_GB2312" w:cs="仿宋_GB2312"/>
          <w:b/>
          <w:bCs/>
          <w:color w:val="auto"/>
          <w:sz w:val="32"/>
          <w:szCs w:val="32"/>
          <w:highlight w:val="none"/>
          <w:lang w:val="zh-CN"/>
        </w:rPr>
        <w:t xml:space="preserve">                    </w:t>
      </w:r>
      <w:r>
        <w:rPr>
          <w:rFonts w:hint="eastAsia" w:ascii="黑体" w:hAnsi="黑体" w:eastAsia="黑体" w:cs="仿宋_GB2312"/>
          <w:b/>
          <w:bCs/>
          <w:color w:val="auto"/>
          <w:sz w:val="32"/>
          <w:szCs w:val="32"/>
          <w:highlight w:val="none"/>
          <w:lang w:val="zh-CN"/>
        </w:rPr>
        <w:t>（</w:t>
      </w:r>
      <w:r>
        <w:rPr>
          <w:rStyle w:val="98"/>
          <w:rFonts w:hint="eastAsia"/>
          <w:color w:val="auto"/>
          <w:highlight w:val="none"/>
        </w:rPr>
        <w:t>商务及技术文件</w:t>
      </w:r>
      <w:r>
        <w:rPr>
          <w:rFonts w:hint="eastAsia" w:ascii="黑体" w:hAnsi="黑体" w:eastAsia="黑体" w:cs="仿宋_GB2312"/>
          <w:b/>
          <w:bCs/>
          <w:color w:val="auto"/>
          <w:sz w:val="32"/>
          <w:szCs w:val="32"/>
          <w:highlight w:val="none"/>
          <w:lang w:val="zh-CN"/>
        </w:rPr>
        <w:t>）</w:t>
      </w:r>
    </w:p>
    <w:p w14:paraId="39DFB3DA">
      <w:pPr>
        <w:autoSpaceDE w:val="0"/>
        <w:autoSpaceDN w:val="0"/>
        <w:adjustRightInd w:val="0"/>
        <w:snapToGrid w:val="0"/>
        <w:spacing w:line="360" w:lineRule="auto"/>
        <w:rPr>
          <w:rFonts w:ascii="仿宋_GB2312" w:hAnsi="仿宋_GB2312" w:eastAsia="仿宋_GB2312" w:cs="仿宋_GB2312"/>
          <w:b/>
          <w:bCs/>
          <w:color w:val="auto"/>
          <w:sz w:val="32"/>
          <w:szCs w:val="32"/>
          <w:highlight w:val="none"/>
          <w:lang w:val="zh-CN"/>
        </w:rPr>
      </w:pPr>
    </w:p>
    <w:p w14:paraId="7DECBB6F">
      <w:pPr>
        <w:autoSpaceDE w:val="0"/>
        <w:autoSpaceDN w:val="0"/>
        <w:adjustRightInd w:val="0"/>
        <w:snapToGrid w:val="0"/>
        <w:spacing w:line="360" w:lineRule="auto"/>
        <w:rPr>
          <w:rFonts w:ascii="仿宋_GB2312" w:hAnsi="仿宋_GB2312" w:eastAsia="仿宋_GB2312" w:cs="仿宋_GB2312"/>
          <w:b/>
          <w:bCs/>
          <w:color w:val="auto"/>
          <w:sz w:val="32"/>
          <w:szCs w:val="32"/>
          <w:highlight w:val="none"/>
          <w:lang w:val="zh-CN"/>
        </w:rPr>
      </w:pPr>
    </w:p>
    <w:p w14:paraId="3129BECF">
      <w:pPr>
        <w:autoSpaceDE w:val="0"/>
        <w:autoSpaceDN w:val="0"/>
        <w:adjustRightInd w:val="0"/>
        <w:snapToGrid w:val="0"/>
        <w:spacing w:line="360" w:lineRule="auto"/>
        <w:rPr>
          <w:rFonts w:ascii="仿宋_GB2312" w:hAnsi="仿宋_GB2312" w:eastAsia="仿宋_GB2312" w:cs="仿宋_GB2312"/>
          <w:color w:val="auto"/>
          <w:sz w:val="30"/>
          <w:szCs w:val="30"/>
          <w:highlight w:val="none"/>
        </w:rPr>
      </w:pPr>
    </w:p>
    <w:p w14:paraId="327465F3">
      <w:pPr>
        <w:pStyle w:val="22"/>
        <w:rPr>
          <w:rFonts w:ascii="仿宋_GB2312" w:hAnsi="仿宋_GB2312" w:eastAsia="仿宋_GB2312" w:cs="仿宋_GB2312"/>
          <w:color w:val="auto"/>
          <w:sz w:val="30"/>
          <w:szCs w:val="30"/>
          <w:highlight w:val="none"/>
        </w:rPr>
      </w:pPr>
    </w:p>
    <w:p w14:paraId="7EBD3F09">
      <w:pPr>
        <w:pStyle w:val="22"/>
        <w:rPr>
          <w:rFonts w:ascii="仿宋_GB2312" w:hAnsi="仿宋_GB2312" w:eastAsia="仿宋_GB2312" w:cs="仿宋_GB2312"/>
          <w:color w:val="auto"/>
          <w:sz w:val="30"/>
          <w:szCs w:val="30"/>
          <w:highlight w:val="none"/>
        </w:rPr>
      </w:pPr>
    </w:p>
    <w:p w14:paraId="47834D8E">
      <w:pPr>
        <w:pStyle w:val="22"/>
        <w:rPr>
          <w:color w:val="auto"/>
          <w:highlight w:val="none"/>
        </w:rPr>
      </w:pPr>
    </w:p>
    <w:p w14:paraId="7FF2BBFC">
      <w:pPr>
        <w:autoSpaceDE w:val="0"/>
        <w:autoSpaceDN w:val="0"/>
        <w:adjustRightInd w:val="0"/>
        <w:snapToGrid w:val="0"/>
        <w:spacing w:line="360" w:lineRule="auto"/>
        <w:ind w:firstLine="964" w:firstLineChars="300"/>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供应商：</w:t>
      </w:r>
    </w:p>
    <w:p w14:paraId="154F4B25">
      <w:pPr>
        <w:autoSpaceDE w:val="0"/>
        <w:autoSpaceDN w:val="0"/>
        <w:adjustRightInd w:val="0"/>
        <w:snapToGrid w:val="0"/>
        <w:spacing w:line="360" w:lineRule="auto"/>
        <w:ind w:firstLine="964" w:firstLineChars="300"/>
        <w:rPr>
          <w:rFonts w:ascii="仿宋_GB2312" w:hAnsi="仿宋_GB2312" w:eastAsia="仿宋_GB2312" w:cs="仿宋_GB2312"/>
          <w:b/>
          <w:bCs/>
          <w:color w:val="auto"/>
          <w:sz w:val="32"/>
          <w:szCs w:val="32"/>
          <w:highlight w:val="none"/>
          <w:u w:val="single"/>
        </w:rPr>
      </w:pPr>
      <w:r>
        <w:rPr>
          <w:rFonts w:hint="eastAsia" w:ascii="仿宋" w:hAnsi="仿宋" w:eastAsia="仿宋" w:cs="仿宋"/>
          <w:b/>
          <w:bCs/>
          <w:color w:val="auto"/>
          <w:sz w:val="32"/>
          <w:szCs w:val="32"/>
          <w:highlight w:val="none"/>
          <w:lang w:val="zh-CN"/>
        </w:rPr>
        <w:t>时</w:t>
      </w:r>
      <w:r>
        <w:rPr>
          <w:rFonts w:hint="eastAsia" w:ascii="仿宋" w:hAnsi="仿宋" w:eastAsia="仿宋" w:cs="仿宋"/>
          <w:b/>
          <w:bCs/>
          <w:color w:val="auto"/>
          <w:sz w:val="32"/>
          <w:szCs w:val="32"/>
          <w:highlight w:val="none"/>
        </w:rPr>
        <w:t xml:space="preserve">  </w:t>
      </w:r>
      <w:r>
        <w:rPr>
          <w:rFonts w:hint="eastAsia" w:ascii="仿宋" w:hAnsi="仿宋" w:eastAsia="仿宋" w:cs="仿宋"/>
          <w:b/>
          <w:bCs/>
          <w:color w:val="auto"/>
          <w:sz w:val="32"/>
          <w:szCs w:val="32"/>
          <w:highlight w:val="none"/>
          <w:lang w:val="zh-CN"/>
        </w:rPr>
        <w:t>间：</w:t>
      </w:r>
      <w:r>
        <w:rPr>
          <w:rFonts w:hint="eastAsia" w:ascii="仿宋_GB2312" w:hAnsi="仿宋_GB2312" w:eastAsia="仿宋_GB2312" w:cs="仿宋_GB2312"/>
          <w:b/>
          <w:bCs/>
          <w:color w:val="auto"/>
          <w:sz w:val="32"/>
          <w:szCs w:val="32"/>
          <w:highlight w:val="none"/>
          <w:u w:val="single"/>
        </w:rPr>
        <w:t xml:space="preserve">  </w:t>
      </w:r>
    </w:p>
    <w:p w14:paraId="4C62202D">
      <w:pPr>
        <w:pStyle w:val="22"/>
        <w:rPr>
          <w:color w:val="auto"/>
          <w:highlight w:val="none"/>
        </w:rPr>
      </w:pPr>
      <w:r>
        <w:rPr>
          <w:color w:val="auto"/>
          <w:highlight w:val="none"/>
        </w:rPr>
        <w:br w:type="page"/>
      </w:r>
    </w:p>
    <w:p w14:paraId="0956BC59">
      <w:pPr>
        <w:pStyle w:val="22"/>
        <w:rPr>
          <w:rFonts w:ascii="仿宋_GB2312" w:hAnsi="仿宋_GB2312" w:eastAsia="仿宋_GB2312" w:cs="仿宋_GB2312"/>
          <w:color w:val="auto"/>
          <w:highlight w:val="none"/>
        </w:rPr>
      </w:pPr>
    </w:p>
    <w:p w14:paraId="3CE8D4D9">
      <w:pPr>
        <w:autoSpaceDE w:val="0"/>
        <w:autoSpaceDN w:val="0"/>
        <w:adjustRightInd w:val="0"/>
        <w:snapToGrid w:val="0"/>
        <w:spacing w:line="360" w:lineRule="auto"/>
        <w:ind w:firstLine="3534" w:firstLineChars="1100"/>
        <w:rPr>
          <w:rFonts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目  录</w:t>
      </w:r>
    </w:p>
    <w:p w14:paraId="0DD5FDE8">
      <w:pPr>
        <w:spacing w:after="120"/>
        <w:ind w:firstLine="315" w:firstLineChars="150"/>
        <w:rPr>
          <w:rFonts w:ascii="仿宋_GB2312" w:hAnsi="仿宋_GB2312" w:eastAsia="仿宋_GB2312" w:cs="仿宋_GB2312"/>
          <w:color w:val="auto"/>
          <w:highlight w:val="none"/>
        </w:rPr>
      </w:pPr>
    </w:p>
    <w:p w14:paraId="082DDDDC">
      <w:pPr>
        <w:spacing w:after="120" w:line="480" w:lineRule="auto"/>
        <w:ind w:firstLine="360" w:firstLineChars="15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第一部分  磋商响应函</w:t>
      </w:r>
    </w:p>
    <w:p w14:paraId="06CDDC22">
      <w:pPr>
        <w:spacing w:after="120" w:line="480" w:lineRule="auto"/>
        <w:ind w:firstLine="360" w:firstLineChars="15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第二部分  磋商响应报价表 </w:t>
      </w:r>
    </w:p>
    <w:p w14:paraId="5C0D3713">
      <w:pPr>
        <w:spacing w:after="120" w:line="480" w:lineRule="auto"/>
        <w:ind w:firstLine="360" w:firstLineChars="15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第三部分  偏离表</w:t>
      </w:r>
    </w:p>
    <w:p w14:paraId="6AE5313A">
      <w:pPr>
        <w:spacing w:after="120" w:line="480" w:lineRule="auto"/>
        <w:ind w:firstLine="360" w:firstLineChars="15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第四部分  响应方案说明</w:t>
      </w:r>
    </w:p>
    <w:p w14:paraId="4B553454">
      <w:pPr>
        <w:spacing w:after="120" w:line="480" w:lineRule="auto"/>
        <w:ind w:firstLine="315" w:firstLineChars="150"/>
        <w:rPr>
          <w:rFonts w:ascii="仿宋_GB2312" w:hAnsi="仿宋_GB2312" w:eastAsia="仿宋_GB2312" w:cs="仿宋_GB2312"/>
          <w:color w:val="auto"/>
          <w:highlight w:val="none"/>
        </w:rPr>
      </w:pPr>
    </w:p>
    <w:p w14:paraId="726DDC8E">
      <w:pPr>
        <w:rPr>
          <w:rFonts w:hint="eastAsia" w:ascii="仿宋" w:hAnsi="仿宋" w:eastAsia="仿宋"/>
          <w:b/>
          <w:color w:val="auto"/>
          <w:sz w:val="32"/>
          <w:szCs w:val="32"/>
          <w:highlight w:val="none"/>
          <w:lang w:val="zh-CN"/>
        </w:rPr>
      </w:pPr>
      <w:r>
        <w:rPr>
          <w:rFonts w:hint="eastAsia" w:ascii="仿宋" w:hAnsi="仿宋" w:eastAsia="仿宋"/>
          <w:b/>
          <w:color w:val="auto"/>
          <w:sz w:val="32"/>
          <w:szCs w:val="32"/>
          <w:highlight w:val="none"/>
          <w:lang w:val="zh-CN"/>
        </w:rPr>
        <w:br w:type="page"/>
      </w:r>
    </w:p>
    <w:p w14:paraId="541E9E49">
      <w:pPr>
        <w:pStyle w:val="199"/>
        <w:ind w:firstLine="2731" w:firstLineChars="850"/>
        <w:outlineLvl w:val="1"/>
        <w:rPr>
          <w:rFonts w:ascii="仿宋" w:hAnsi="仿宋" w:eastAsia="仿宋"/>
          <w:b/>
          <w:color w:val="auto"/>
          <w:sz w:val="32"/>
          <w:szCs w:val="32"/>
          <w:highlight w:val="none"/>
        </w:rPr>
      </w:pPr>
      <w:r>
        <w:rPr>
          <w:rFonts w:hint="eastAsia" w:ascii="仿宋" w:hAnsi="仿宋" w:eastAsia="仿宋"/>
          <w:b/>
          <w:color w:val="auto"/>
          <w:sz w:val="32"/>
          <w:szCs w:val="32"/>
          <w:highlight w:val="none"/>
          <w:lang w:val="zh-CN"/>
        </w:rPr>
        <w:t>第一部分</w:t>
      </w:r>
      <w:r>
        <w:rPr>
          <w:rFonts w:hint="eastAsia" w:ascii="仿宋" w:hAnsi="仿宋" w:eastAsia="仿宋"/>
          <w:b/>
          <w:color w:val="auto"/>
          <w:sz w:val="32"/>
          <w:szCs w:val="32"/>
          <w:highlight w:val="none"/>
        </w:rPr>
        <w:t xml:space="preserve">  </w:t>
      </w:r>
      <w:r>
        <w:rPr>
          <w:rFonts w:hint="eastAsia" w:ascii="仿宋" w:hAnsi="仿宋" w:eastAsia="仿宋"/>
          <w:b/>
          <w:color w:val="auto"/>
          <w:sz w:val="32"/>
          <w:szCs w:val="32"/>
          <w:highlight w:val="none"/>
          <w:lang w:val="zh-CN"/>
        </w:rPr>
        <w:t>磋商响应函</w:t>
      </w:r>
    </w:p>
    <w:p w14:paraId="1CDCD66B">
      <w:pPr>
        <w:autoSpaceDE w:val="0"/>
        <w:autoSpaceDN w:val="0"/>
        <w:adjustRightInd w:val="0"/>
        <w:snapToGrid w:val="0"/>
        <w:spacing w:line="312" w:lineRule="auto"/>
        <w:rPr>
          <w:rFonts w:ascii="仿宋_GB2312" w:hAnsi="仿宋_GB2312" w:eastAsia="仿宋_GB2312" w:cs="仿宋_GB2312"/>
          <w:b/>
          <w:bCs/>
          <w:color w:val="auto"/>
          <w:sz w:val="24"/>
          <w:highlight w:val="none"/>
          <w:lang w:val="zh-CN"/>
        </w:rPr>
      </w:pPr>
    </w:p>
    <w:p w14:paraId="50C55E6D">
      <w:pPr>
        <w:autoSpaceDE w:val="0"/>
        <w:autoSpaceDN w:val="0"/>
        <w:adjustRightInd w:val="0"/>
        <w:snapToGrid w:val="0"/>
        <w:spacing w:line="312" w:lineRule="auto"/>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lang w:val="zh-CN"/>
        </w:rPr>
        <w:t>陕西省采购招标有限责任公司：</w:t>
      </w:r>
    </w:p>
    <w:p w14:paraId="1157CC35">
      <w:pPr>
        <w:autoSpaceDE w:val="0"/>
        <w:autoSpaceDN w:val="0"/>
        <w:adjustRightInd w:val="0"/>
        <w:snapToGrid w:val="0"/>
        <w:spacing w:line="312" w:lineRule="auto"/>
        <w:ind w:firstLine="63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lang w:val="zh-CN"/>
        </w:rPr>
        <w:t xml:space="preserve">我单位收到贵公司   </w:t>
      </w:r>
      <w:r>
        <w:rPr>
          <w:rFonts w:hint="eastAsia" w:ascii="仿宋_GB2312" w:hAnsi="仿宋_GB2312" w:eastAsia="仿宋_GB2312" w:cs="仿宋_GB2312"/>
          <w:color w:val="auto"/>
          <w:sz w:val="24"/>
          <w:highlight w:val="none"/>
          <w:u w:val="single"/>
          <w:lang w:val="zh-CN"/>
        </w:rPr>
        <w:t>（项目名称、</w:t>
      </w:r>
      <w:r>
        <w:rPr>
          <w:rFonts w:hint="eastAsia" w:ascii="仿宋_GB2312" w:hAnsi="仿宋_GB2312" w:eastAsia="仿宋_GB2312" w:cs="仿宋_GB2312"/>
          <w:color w:val="auto"/>
          <w:sz w:val="24"/>
          <w:highlight w:val="none"/>
          <w:u w:val="single"/>
          <w:lang w:val="en-US" w:eastAsia="zh-CN"/>
        </w:rPr>
        <w:t>项目编号</w:t>
      </w:r>
      <w:r>
        <w:rPr>
          <w:rFonts w:hint="eastAsia" w:ascii="仿宋_GB2312" w:hAnsi="仿宋_GB2312" w:eastAsia="仿宋_GB2312" w:cs="仿宋_GB2312"/>
          <w:color w:val="auto"/>
          <w:sz w:val="24"/>
          <w:highlight w:val="none"/>
          <w:u w:val="single"/>
          <w:lang w:val="zh-CN"/>
        </w:rPr>
        <w:t>）</w:t>
      </w:r>
      <w:r>
        <w:rPr>
          <w:rFonts w:hint="eastAsia" w:ascii="仿宋_GB2312" w:hAnsi="仿宋_GB2312" w:eastAsia="仿宋_GB2312" w:cs="仿宋_GB2312"/>
          <w:color w:val="auto"/>
          <w:sz w:val="24"/>
          <w:highlight w:val="none"/>
          <w:lang w:val="zh-CN"/>
        </w:rPr>
        <w:t>竞争性磋商文件，经详细研究，我们决定参加本次磋商活动。为此，我方郑重声明以下诸点，并负法律责任：</w:t>
      </w:r>
    </w:p>
    <w:p w14:paraId="6DF20F67">
      <w:pPr>
        <w:autoSpaceDE w:val="0"/>
        <w:autoSpaceDN w:val="0"/>
        <w:adjustRightInd w:val="0"/>
        <w:snapToGrid w:val="0"/>
        <w:spacing w:line="312" w:lineRule="auto"/>
        <w:ind w:firstLine="63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一</w:t>
      </w:r>
      <w:r>
        <w:rPr>
          <w:rFonts w:hint="eastAsia" w:ascii="仿宋_GB2312" w:hAnsi="仿宋_GB2312" w:eastAsia="仿宋_GB2312" w:cs="仿宋_GB2312"/>
          <w:color w:val="auto"/>
          <w:sz w:val="24"/>
          <w:highlight w:val="none"/>
          <w:lang w:val="zh-CN"/>
        </w:rPr>
        <w:t>、愿意按照竞争性磋商文件中的要求，提供采购产品及技术服务，完成合同的责任和义务。</w:t>
      </w:r>
    </w:p>
    <w:p w14:paraId="7B96E2CF">
      <w:pPr>
        <w:autoSpaceDE w:val="0"/>
        <w:autoSpaceDN w:val="0"/>
        <w:adjustRightInd w:val="0"/>
        <w:snapToGrid w:val="0"/>
        <w:spacing w:line="312" w:lineRule="auto"/>
        <w:ind w:left="885" w:leftChars="250" w:hanging="360" w:hangingChars="150"/>
        <w:rPr>
          <w:rFonts w:ascii="仿宋_GB2312" w:hAnsi="仿宋_GB2312" w:eastAsia="仿宋_GB2312" w:cs="仿宋_GB2312"/>
          <w:color w:val="auto"/>
          <w:sz w:val="24"/>
          <w:highlight w:val="none"/>
          <w:lang w:val="zh-CN"/>
        </w:rPr>
      </w:pPr>
      <w:r>
        <w:rPr>
          <w:rFonts w:hint="eastAsia" w:ascii="仿宋_GB2312" w:hAnsi="仿宋_GB2312" w:eastAsia="仿宋_GB2312" w:cs="仿宋_GB2312"/>
          <w:color w:val="auto"/>
          <w:sz w:val="24"/>
          <w:highlight w:val="none"/>
        </w:rPr>
        <w:t>二</w:t>
      </w:r>
      <w:r>
        <w:rPr>
          <w:rFonts w:hint="eastAsia" w:ascii="仿宋_GB2312" w:hAnsi="仿宋_GB2312" w:eastAsia="仿宋_GB2312" w:cs="仿宋_GB2312"/>
          <w:color w:val="auto"/>
          <w:sz w:val="24"/>
          <w:highlight w:val="none"/>
          <w:lang w:val="zh-CN"/>
        </w:rPr>
        <w:t>、按竞争性磋商文件的规定，我公司的首次磋商响应</w:t>
      </w:r>
      <w:r>
        <w:rPr>
          <w:rFonts w:hint="eastAsia" w:ascii="仿宋_GB2312" w:hAnsi="仿宋_GB2312" w:eastAsia="仿宋_GB2312" w:cs="仿宋_GB2312"/>
          <w:color w:val="auto"/>
          <w:sz w:val="24"/>
          <w:highlight w:val="none"/>
          <w:lang w:val="en-US" w:eastAsia="zh-CN"/>
        </w:rPr>
        <w:t>报价</w:t>
      </w:r>
      <w:r>
        <w:rPr>
          <w:rFonts w:hint="eastAsia" w:ascii="仿宋_GB2312" w:hAnsi="仿宋_GB2312" w:eastAsia="仿宋_GB2312" w:cs="仿宋_GB2312"/>
          <w:color w:val="auto"/>
          <w:sz w:val="24"/>
          <w:highlight w:val="none"/>
          <w:lang w:val="zh-CN"/>
        </w:rPr>
        <w:t>为人民币</w:t>
      </w:r>
    </w:p>
    <w:p w14:paraId="690E024C">
      <w:pPr>
        <w:autoSpaceDE w:val="0"/>
        <w:autoSpaceDN w:val="0"/>
        <w:adjustRightInd w:val="0"/>
        <w:snapToGrid w:val="0"/>
        <w:spacing w:line="312" w:lineRule="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lang w:val="zh-CN"/>
        </w:rPr>
        <w:t>（大写）：</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lang w:val="zh-CN"/>
        </w:rPr>
        <w:t>（￥：</w:t>
      </w:r>
      <w:r>
        <w:rPr>
          <w:rFonts w:ascii="Times New Roman" w:hAnsi="Times New Roman" w:eastAsia="仿宋_GB2312"/>
          <w:color w:val="auto"/>
          <w:sz w:val="24"/>
          <w:highlight w:val="none"/>
          <w:u w:val="single"/>
        </w:rPr>
        <w:t xml:space="preserve">      </w:t>
      </w:r>
      <w:r>
        <w:rPr>
          <w:rFonts w:hint="eastAsia" w:eastAsia="仿宋_GB2312"/>
          <w:color w:val="auto"/>
          <w:sz w:val="24"/>
          <w:highlight w:val="none"/>
          <w:lang w:eastAsia="zh-CN"/>
        </w:rPr>
        <w:t>元/天/人</w:t>
      </w:r>
      <w:r>
        <w:rPr>
          <w:rFonts w:hint="eastAsia" w:ascii="仿宋_GB2312" w:hAnsi="仿宋_GB2312" w:eastAsia="仿宋_GB2312" w:cs="仿宋_GB2312"/>
          <w:color w:val="auto"/>
          <w:sz w:val="24"/>
          <w:highlight w:val="none"/>
          <w:lang w:val="zh-CN"/>
        </w:rPr>
        <w:t>），并对其后的磋商报价负法律责任。</w:t>
      </w:r>
    </w:p>
    <w:p w14:paraId="2A50523E">
      <w:pPr>
        <w:autoSpaceDE w:val="0"/>
        <w:autoSpaceDN w:val="0"/>
        <w:adjustRightInd w:val="0"/>
        <w:snapToGrid w:val="0"/>
        <w:spacing w:line="312" w:lineRule="auto"/>
        <w:ind w:firstLine="63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三</w:t>
      </w:r>
      <w:r>
        <w:rPr>
          <w:rFonts w:hint="eastAsia" w:ascii="仿宋_GB2312" w:hAnsi="仿宋_GB2312" w:eastAsia="仿宋_GB2312" w:cs="仿宋_GB2312"/>
          <w:color w:val="auto"/>
          <w:sz w:val="24"/>
          <w:highlight w:val="none"/>
          <w:lang w:val="zh-CN"/>
        </w:rPr>
        <w:t>、我方提交的响应文件为电子版</w:t>
      </w:r>
      <w:r>
        <w:rPr>
          <w:rFonts w:hint="eastAsia" w:ascii="仿宋_GB2312" w:hAnsi="仿宋_GB2312" w:eastAsia="仿宋_GB2312" w:cs="仿宋_GB2312"/>
          <w:color w:val="auto"/>
          <w:sz w:val="24"/>
          <w:highlight w:val="none"/>
          <w:lang w:val="en-US" w:eastAsia="zh-CN"/>
        </w:rPr>
        <w:t>1份</w:t>
      </w:r>
      <w:r>
        <w:rPr>
          <w:rFonts w:hint="eastAsia" w:ascii="仿宋_GB2312" w:hAnsi="仿宋_GB2312" w:eastAsia="仿宋_GB2312" w:cs="仿宋_GB2312"/>
          <w:color w:val="auto"/>
          <w:sz w:val="24"/>
          <w:highlight w:val="none"/>
          <w:lang w:val="zh-CN"/>
        </w:rPr>
        <w:t>。</w:t>
      </w:r>
    </w:p>
    <w:p w14:paraId="69B4B164">
      <w:pPr>
        <w:autoSpaceDE w:val="0"/>
        <w:autoSpaceDN w:val="0"/>
        <w:adjustRightInd w:val="0"/>
        <w:snapToGrid w:val="0"/>
        <w:spacing w:line="312" w:lineRule="auto"/>
        <w:ind w:firstLine="630"/>
        <w:rPr>
          <w:rFonts w:ascii="仿宋_GB2312" w:hAnsi="仿宋_GB2312" w:eastAsia="仿宋_GB2312" w:cs="仿宋_GB2312"/>
          <w:color w:val="auto"/>
          <w:sz w:val="24"/>
          <w:highlight w:val="none"/>
          <w:lang w:val="zh-CN"/>
        </w:rPr>
      </w:pPr>
      <w:r>
        <w:rPr>
          <w:rFonts w:hint="eastAsia" w:ascii="仿宋_GB2312" w:hAnsi="仿宋_GB2312" w:eastAsia="仿宋_GB2312" w:cs="仿宋_GB2312"/>
          <w:color w:val="auto"/>
          <w:sz w:val="24"/>
          <w:highlight w:val="none"/>
        </w:rPr>
        <w:t>四</w:t>
      </w:r>
      <w:r>
        <w:rPr>
          <w:rFonts w:hint="eastAsia" w:ascii="仿宋_GB2312" w:hAnsi="仿宋_GB2312" w:eastAsia="仿宋_GB2312" w:cs="仿宋_GB2312"/>
          <w:color w:val="auto"/>
          <w:sz w:val="24"/>
          <w:highlight w:val="none"/>
          <w:lang w:val="zh-CN"/>
        </w:rPr>
        <w:t>、我方已详细阅读了竞争性磋商文件，完全理解并放弃提出含糊不清或易形成歧义的表述和资料。</w:t>
      </w:r>
    </w:p>
    <w:p w14:paraId="4815E718">
      <w:pPr>
        <w:autoSpaceDE w:val="0"/>
        <w:autoSpaceDN w:val="0"/>
        <w:adjustRightInd w:val="0"/>
        <w:snapToGrid w:val="0"/>
        <w:spacing w:line="312" w:lineRule="auto"/>
        <w:ind w:firstLine="63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lang w:val="zh-CN"/>
        </w:rPr>
        <w:t>五、如果我方在磋商有效期内撤销响应文件，则响应保证金将被贵方不予退还。</w:t>
      </w:r>
    </w:p>
    <w:p w14:paraId="4F04C771">
      <w:pPr>
        <w:autoSpaceDE w:val="0"/>
        <w:autoSpaceDN w:val="0"/>
        <w:adjustRightInd w:val="0"/>
        <w:snapToGrid w:val="0"/>
        <w:spacing w:line="312" w:lineRule="auto"/>
        <w:ind w:firstLine="630"/>
        <w:rPr>
          <w:rFonts w:ascii="仿宋_GB2312" w:hAnsi="仿宋_GB2312" w:eastAsia="仿宋_GB2312" w:cs="仿宋_GB2312"/>
          <w:color w:val="auto"/>
          <w:sz w:val="24"/>
          <w:highlight w:val="none"/>
          <w:lang w:val="zh-CN"/>
        </w:rPr>
      </w:pPr>
      <w:r>
        <w:rPr>
          <w:rFonts w:hint="eastAsia" w:ascii="仿宋_GB2312" w:hAnsi="仿宋_GB2312" w:eastAsia="仿宋_GB2312" w:cs="仿宋_GB2312"/>
          <w:color w:val="auto"/>
          <w:sz w:val="24"/>
          <w:highlight w:val="none"/>
        </w:rPr>
        <w:t>六</w:t>
      </w:r>
      <w:r>
        <w:rPr>
          <w:rFonts w:hint="eastAsia" w:ascii="仿宋_GB2312" w:hAnsi="仿宋_GB2312" w:eastAsia="仿宋_GB2312" w:cs="仿宋_GB2312"/>
          <w:color w:val="auto"/>
          <w:sz w:val="24"/>
          <w:highlight w:val="none"/>
          <w:lang w:val="zh-CN"/>
        </w:rPr>
        <w:t>、同意向贵方提供可能要求的与本次磋商有关的任何证据或资料，且尊重磋商小组的评审结论和结果。</w:t>
      </w:r>
    </w:p>
    <w:p w14:paraId="08EDF4AF">
      <w:pPr>
        <w:autoSpaceDE w:val="0"/>
        <w:autoSpaceDN w:val="0"/>
        <w:adjustRightInd w:val="0"/>
        <w:snapToGrid w:val="0"/>
        <w:spacing w:line="312" w:lineRule="auto"/>
        <w:ind w:firstLine="63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lang w:val="zh-CN"/>
        </w:rPr>
        <w:t>七、我方的响应文件有效期为自磋商之日起</w:t>
      </w:r>
      <w:r>
        <w:rPr>
          <w:rFonts w:hint="eastAsia" w:ascii="仿宋_GB2312" w:hAnsi="仿宋_GB2312" w:eastAsia="仿宋_GB2312" w:cs="仿宋_GB2312"/>
          <w:color w:val="auto"/>
          <w:sz w:val="24"/>
          <w:highlight w:val="none"/>
          <w:u w:val="single"/>
          <w:lang w:val="zh-CN"/>
        </w:rPr>
        <w:t xml:space="preserve"> </w:t>
      </w:r>
      <w:r>
        <w:rPr>
          <w:rFonts w:hint="eastAsia" w:ascii="仿宋_GB2312" w:hAnsi="仿宋_GB2312" w:eastAsia="仿宋_GB2312" w:cs="仿宋_GB2312"/>
          <w:color w:val="auto"/>
          <w:sz w:val="24"/>
          <w:highlight w:val="none"/>
          <w:u w:val="single"/>
        </w:rPr>
        <w:t xml:space="preserve">60 </w:t>
      </w:r>
      <w:r>
        <w:rPr>
          <w:rFonts w:hint="eastAsia" w:ascii="仿宋_GB2312" w:hAnsi="仿宋_GB2312" w:eastAsia="仿宋_GB2312" w:cs="仿宋_GB2312"/>
          <w:color w:val="auto"/>
          <w:sz w:val="24"/>
          <w:highlight w:val="none"/>
          <w:lang w:val="zh-CN"/>
        </w:rPr>
        <w:t>个日历天。若我方成交，响应文件有效期延长至合同执行完毕。</w:t>
      </w:r>
    </w:p>
    <w:p w14:paraId="7272078B">
      <w:pPr>
        <w:autoSpaceDE w:val="0"/>
        <w:autoSpaceDN w:val="0"/>
        <w:adjustRightInd w:val="0"/>
        <w:snapToGrid w:val="0"/>
        <w:spacing w:line="312" w:lineRule="auto"/>
        <w:ind w:firstLine="630"/>
        <w:rPr>
          <w:rFonts w:ascii="仿宋_GB2312" w:hAnsi="仿宋_GB2312" w:eastAsia="仿宋_GB2312" w:cs="仿宋_GB2312"/>
          <w:color w:val="auto"/>
          <w:sz w:val="24"/>
          <w:highlight w:val="none"/>
          <w:lang w:val="zh-CN"/>
        </w:rPr>
      </w:pPr>
      <w:r>
        <w:rPr>
          <w:rFonts w:hint="eastAsia" w:ascii="仿宋_GB2312" w:hAnsi="仿宋_GB2312" w:eastAsia="仿宋_GB2312" w:cs="仿宋_GB2312"/>
          <w:color w:val="auto"/>
          <w:sz w:val="24"/>
          <w:highlight w:val="none"/>
        </w:rPr>
        <w:t>八</w:t>
      </w:r>
      <w:r>
        <w:rPr>
          <w:rFonts w:hint="eastAsia" w:ascii="仿宋_GB2312" w:hAnsi="仿宋_GB2312" w:eastAsia="仿宋_GB2312" w:cs="仿宋_GB2312"/>
          <w:color w:val="auto"/>
          <w:sz w:val="24"/>
          <w:highlight w:val="none"/>
          <w:lang w:val="zh-CN"/>
        </w:rPr>
        <w:t>、如我方成交：</w:t>
      </w:r>
    </w:p>
    <w:p w14:paraId="1997CAB3">
      <w:pPr>
        <w:autoSpaceDE w:val="0"/>
        <w:autoSpaceDN w:val="0"/>
        <w:adjustRightInd w:val="0"/>
        <w:snapToGrid w:val="0"/>
        <w:spacing w:line="312" w:lineRule="auto"/>
        <w:ind w:firstLine="630"/>
        <w:rPr>
          <w:rFonts w:ascii="仿宋_GB2312" w:hAnsi="仿宋_GB2312" w:eastAsia="仿宋_GB2312" w:cs="仿宋_GB2312"/>
          <w:color w:val="auto"/>
          <w:sz w:val="24"/>
          <w:highlight w:val="none"/>
          <w:lang w:val="zh-CN"/>
        </w:rPr>
      </w:pPr>
      <w:r>
        <w:rPr>
          <w:rFonts w:hint="eastAsia" w:ascii="仿宋_GB2312" w:hAnsi="仿宋_GB2312" w:eastAsia="仿宋_GB2312" w:cs="仿宋_GB2312"/>
          <w:color w:val="auto"/>
          <w:sz w:val="24"/>
          <w:highlight w:val="none"/>
          <w:lang w:val="zh-CN"/>
        </w:rPr>
        <w:t>（1）我方承诺在收到成交通知书后，在磋商文件规定的期限内与采购人签订合同。</w:t>
      </w:r>
    </w:p>
    <w:p w14:paraId="502812A3">
      <w:pPr>
        <w:autoSpaceDE w:val="0"/>
        <w:autoSpaceDN w:val="0"/>
        <w:adjustRightInd w:val="0"/>
        <w:snapToGrid w:val="0"/>
        <w:spacing w:line="312" w:lineRule="auto"/>
        <w:ind w:firstLine="630"/>
        <w:rPr>
          <w:rFonts w:ascii="仿宋_GB2312" w:hAnsi="仿宋_GB2312" w:eastAsia="仿宋_GB2312" w:cs="仿宋_GB2312"/>
          <w:color w:val="auto"/>
          <w:sz w:val="24"/>
          <w:highlight w:val="none"/>
          <w:lang w:val="zh-CN"/>
        </w:rPr>
      </w:pPr>
      <w:r>
        <w:rPr>
          <w:rFonts w:hint="eastAsia" w:ascii="仿宋_GB2312" w:hAnsi="仿宋_GB2312" w:eastAsia="仿宋_GB2312" w:cs="仿宋_GB2312"/>
          <w:color w:val="auto"/>
          <w:sz w:val="24"/>
          <w:highlight w:val="none"/>
          <w:lang w:val="zh-CN"/>
        </w:rPr>
        <w:t>（2）我方承诺按照磋商文件规定向你方递交履约保证金。作为履行合同的担保。</w:t>
      </w:r>
    </w:p>
    <w:p w14:paraId="58540388">
      <w:pPr>
        <w:autoSpaceDE w:val="0"/>
        <w:autoSpaceDN w:val="0"/>
        <w:adjustRightInd w:val="0"/>
        <w:snapToGrid w:val="0"/>
        <w:spacing w:line="312" w:lineRule="auto"/>
        <w:ind w:firstLine="630"/>
        <w:rPr>
          <w:rFonts w:ascii="仿宋_GB2312" w:hAnsi="仿宋_GB2312" w:eastAsia="仿宋_GB2312" w:cs="仿宋_GB2312"/>
          <w:color w:val="auto"/>
          <w:sz w:val="24"/>
          <w:highlight w:val="none"/>
          <w:lang w:val="zh-CN"/>
        </w:rPr>
      </w:pPr>
      <w:r>
        <w:rPr>
          <w:rFonts w:hint="eastAsia" w:ascii="仿宋_GB2312" w:hAnsi="仿宋_GB2312" w:eastAsia="仿宋_GB2312" w:cs="仿宋_GB2312"/>
          <w:color w:val="auto"/>
          <w:sz w:val="24"/>
          <w:highlight w:val="none"/>
          <w:lang w:val="zh-CN"/>
        </w:rPr>
        <w:t>（3）我方承诺按合同约定的期限和地点，提供符合磋商文件要求的全部的货物和服务。</w:t>
      </w:r>
    </w:p>
    <w:p w14:paraId="2EB5FDA0">
      <w:pPr>
        <w:autoSpaceDE w:val="0"/>
        <w:autoSpaceDN w:val="0"/>
        <w:adjustRightInd w:val="0"/>
        <w:snapToGrid w:val="0"/>
        <w:spacing w:line="312" w:lineRule="auto"/>
        <w:ind w:firstLine="630"/>
        <w:rPr>
          <w:rFonts w:ascii="仿宋_GB2312" w:hAnsi="仿宋_GB2312" w:eastAsia="仿宋_GB2312" w:cs="仿宋_GB2312"/>
          <w:color w:val="auto"/>
          <w:sz w:val="24"/>
          <w:highlight w:val="none"/>
          <w:lang w:val="zh-CN"/>
        </w:rPr>
      </w:pPr>
      <w:r>
        <w:rPr>
          <w:rFonts w:hint="eastAsia" w:ascii="仿宋_GB2312" w:hAnsi="仿宋_GB2312" w:eastAsia="仿宋_GB2312" w:cs="仿宋_GB2312"/>
          <w:color w:val="auto"/>
          <w:sz w:val="24"/>
          <w:highlight w:val="none"/>
          <w:lang w:val="zh-CN"/>
        </w:rPr>
        <w:t>（4）我方保证在领取成交通知书前按要求支付成交服务费。</w:t>
      </w:r>
    </w:p>
    <w:p w14:paraId="387798D6">
      <w:pPr>
        <w:autoSpaceDE w:val="0"/>
        <w:autoSpaceDN w:val="0"/>
        <w:adjustRightInd w:val="0"/>
        <w:snapToGrid w:val="0"/>
        <w:spacing w:line="312" w:lineRule="auto"/>
        <w:ind w:firstLine="630"/>
        <w:rPr>
          <w:rFonts w:ascii="仿宋_GB2312" w:hAnsi="仿宋_GB2312" w:eastAsia="仿宋_GB2312" w:cs="仿宋_GB2312"/>
          <w:color w:val="auto"/>
          <w:sz w:val="24"/>
          <w:highlight w:val="none"/>
          <w:lang w:val="zh-CN"/>
        </w:rPr>
      </w:pPr>
      <w:r>
        <w:rPr>
          <w:rFonts w:hint="eastAsia" w:ascii="仿宋_GB2312" w:hAnsi="仿宋_GB2312" w:eastAsia="仿宋_GB2312" w:cs="仿宋_GB2312"/>
          <w:color w:val="auto"/>
          <w:sz w:val="24"/>
          <w:highlight w:val="none"/>
          <w:lang w:val="zh-CN"/>
        </w:rPr>
        <w:t>九、有关于本响应文件的函电，请按下列地址联系。</w:t>
      </w:r>
    </w:p>
    <w:p w14:paraId="2537D233">
      <w:pPr>
        <w:autoSpaceDE w:val="0"/>
        <w:autoSpaceDN w:val="0"/>
        <w:adjustRightInd w:val="0"/>
        <w:snapToGrid w:val="0"/>
        <w:spacing w:line="312" w:lineRule="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lang w:val="zh-CN"/>
        </w:rPr>
        <w:t>地</w:t>
      </w:r>
      <w:r>
        <w:rPr>
          <w:rFonts w:hint="eastAsia" w:ascii="仿宋_GB2312" w:hAnsi="仿宋_GB2312" w:eastAsia="仿宋_GB2312" w:cs="仿宋_GB2312"/>
          <w:color w:val="auto"/>
          <w:sz w:val="24"/>
          <w:highlight w:val="none"/>
        </w:rPr>
        <w:t xml:space="preserve">    </w:t>
      </w:r>
      <w:r>
        <w:rPr>
          <w:rFonts w:hint="eastAsia" w:ascii="仿宋_GB2312" w:hAnsi="仿宋_GB2312" w:eastAsia="仿宋_GB2312" w:cs="仿宋_GB2312"/>
          <w:color w:val="auto"/>
          <w:sz w:val="24"/>
          <w:highlight w:val="none"/>
          <w:lang w:val="zh-CN"/>
        </w:rPr>
        <w:t>址：</w:t>
      </w:r>
      <w:r>
        <w:rPr>
          <w:rFonts w:hint="eastAsia" w:ascii="仿宋_GB2312" w:hAnsi="仿宋_GB2312" w:eastAsia="仿宋_GB2312" w:cs="仿宋_GB2312"/>
          <w:color w:val="auto"/>
          <w:sz w:val="24"/>
          <w:highlight w:val="none"/>
        </w:rPr>
        <w:t>__________________________________________</w:t>
      </w:r>
    </w:p>
    <w:p w14:paraId="7837585A">
      <w:pPr>
        <w:autoSpaceDE w:val="0"/>
        <w:autoSpaceDN w:val="0"/>
        <w:adjustRightInd w:val="0"/>
        <w:snapToGrid w:val="0"/>
        <w:spacing w:line="312" w:lineRule="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lang w:val="zh-CN"/>
        </w:rPr>
        <w:t>开户银行：</w:t>
      </w:r>
      <w:r>
        <w:rPr>
          <w:rFonts w:hint="eastAsia" w:ascii="仿宋_GB2312" w:hAnsi="仿宋_GB2312" w:eastAsia="仿宋_GB2312" w:cs="仿宋_GB2312"/>
          <w:color w:val="auto"/>
          <w:sz w:val="24"/>
          <w:highlight w:val="none"/>
        </w:rPr>
        <w:t>__________________________________________</w:t>
      </w:r>
    </w:p>
    <w:p w14:paraId="523A0738">
      <w:pPr>
        <w:autoSpaceDE w:val="0"/>
        <w:autoSpaceDN w:val="0"/>
        <w:adjustRightInd w:val="0"/>
        <w:snapToGrid w:val="0"/>
        <w:spacing w:line="312" w:lineRule="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lang w:val="zh-CN"/>
        </w:rPr>
        <w:t>帐</w:t>
      </w:r>
      <w:r>
        <w:rPr>
          <w:rFonts w:hint="eastAsia" w:ascii="仿宋_GB2312" w:hAnsi="仿宋_GB2312" w:eastAsia="仿宋_GB2312" w:cs="仿宋_GB2312"/>
          <w:color w:val="auto"/>
          <w:sz w:val="24"/>
          <w:highlight w:val="none"/>
        </w:rPr>
        <w:t xml:space="preserve">    </w:t>
      </w:r>
      <w:r>
        <w:rPr>
          <w:rFonts w:hint="eastAsia" w:ascii="仿宋_GB2312" w:hAnsi="仿宋_GB2312" w:eastAsia="仿宋_GB2312" w:cs="仿宋_GB2312"/>
          <w:color w:val="auto"/>
          <w:sz w:val="24"/>
          <w:highlight w:val="none"/>
          <w:lang w:val="zh-CN"/>
        </w:rPr>
        <w:t>号：</w:t>
      </w:r>
      <w:r>
        <w:rPr>
          <w:rFonts w:hint="eastAsia" w:ascii="仿宋_GB2312" w:hAnsi="仿宋_GB2312" w:eastAsia="仿宋_GB2312" w:cs="仿宋_GB2312"/>
          <w:color w:val="auto"/>
          <w:sz w:val="24"/>
          <w:highlight w:val="none"/>
        </w:rPr>
        <w:t>__________________________________________</w:t>
      </w:r>
    </w:p>
    <w:p w14:paraId="64165C9F">
      <w:pPr>
        <w:autoSpaceDE w:val="0"/>
        <w:autoSpaceDN w:val="0"/>
        <w:adjustRightInd w:val="0"/>
        <w:snapToGrid w:val="0"/>
        <w:spacing w:line="312" w:lineRule="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lang w:val="zh-CN"/>
        </w:rPr>
        <w:t>电</w:t>
      </w:r>
      <w:r>
        <w:rPr>
          <w:rFonts w:hint="eastAsia" w:ascii="仿宋_GB2312" w:hAnsi="仿宋_GB2312" w:eastAsia="仿宋_GB2312" w:cs="仿宋_GB2312"/>
          <w:color w:val="auto"/>
          <w:sz w:val="24"/>
          <w:highlight w:val="none"/>
        </w:rPr>
        <w:t xml:space="preserve">    </w:t>
      </w:r>
      <w:r>
        <w:rPr>
          <w:rFonts w:hint="eastAsia" w:ascii="仿宋_GB2312" w:hAnsi="仿宋_GB2312" w:eastAsia="仿宋_GB2312" w:cs="仿宋_GB2312"/>
          <w:color w:val="auto"/>
          <w:sz w:val="24"/>
          <w:highlight w:val="none"/>
          <w:lang w:val="zh-CN"/>
        </w:rPr>
        <w:t>话：</w:t>
      </w:r>
      <w:r>
        <w:rPr>
          <w:rFonts w:hint="eastAsia" w:ascii="仿宋_GB2312" w:hAnsi="仿宋_GB2312" w:eastAsia="仿宋_GB2312" w:cs="仿宋_GB2312"/>
          <w:color w:val="auto"/>
          <w:sz w:val="24"/>
          <w:highlight w:val="none"/>
        </w:rPr>
        <w:t>_____________________</w:t>
      </w:r>
      <w:r>
        <w:rPr>
          <w:rFonts w:hint="eastAsia" w:ascii="仿宋_GB2312" w:hAnsi="仿宋_GB2312" w:eastAsia="仿宋_GB2312" w:cs="仿宋_GB2312"/>
          <w:color w:val="auto"/>
          <w:sz w:val="24"/>
          <w:highlight w:val="none"/>
          <w:lang w:val="zh-CN"/>
        </w:rPr>
        <w:t>传</w:t>
      </w:r>
      <w:r>
        <w:rPr>
          <w:rFonts w:hint="eastAsia" w:ascii="仿宋_GB2312" w:hAnsi="仿宋_GB2312" w:eastAsia="仿宋_GB2312" w:cs="仿宋_GB2312"/>
          <w:color w:val="auto"/>
          <w:sz w:val="24"/>
          <w:highlight w:val="none"/>
        </w:rPr>
        <w:t xml:space="preserve">    </w:t>
      </w:r>
      <w:r>
        <w:rPr>
          <w:rFonts w:hint="eastAsia" w:ascii="仿宋_GB2312" w:hAnsi="仿宋_GB2312" w:eastAsia="仿宋_GB2312" w:cs="仿宋_GB2312"/>
          <w:color w:val="auto"/>
          <w:sz w:val="24"/>
          <w:highlight w:val="none"/>
          <w:lang w:val="zh-CN"/>
        </w:rPr>
        <w:t>真：</w:t>
      </w:r>
      <w:r>
        <w:rPr>
          <w:rFonts w:hint="eastAsia" w:ascii="仿宋_GB2312" w:hAnsi="仿宋_GB2312" w:eastAsia="仿宋_GB2312" w:cs="仿宋_GB2312"/>
          <w:color w:val="auto"/>
          <w:sz w:val="24"/>
          <w:highlight w:val="none"/>
        </w:rPr>
        <w:t>________________</w:t>
      </w:r>
    </w:p>
    <w:p w14:paraId="035FA270">
      <w:pPr>
        <w:pStyle w:val="22"/>
        <w:rPr>
          <w:rFonts w:ascii="仿宋_GB2312" w:hAnsi="仿宋_GB2312" w:eastAsia="仿宋_GB2312" w:cs="仿宋_GB2312"/>
          <w:color w:val="auto"/>
          <w:highlight w:val="none"/>
        </w:rPr>
      </w:pPr>
    </w:p>
    <w:p w14:paraId="44F5B6C6">
      <w:pPr>
        <w:autoSpaceDE w:val="0"/>
        <w:autoSpaceDN w:val="0"/>
        <w:adjustRightInd w:val="0"/>
        <w:snapToGrid w:val="0"/>
        <w:spacing w:line="312" w:lineRule="auto"/>
        <w:rPr>
          <w:rFonts w:ascii="仿宋_GB2312" w:hAnsi="仿宋_GB2312" w:eastAsia="仿宋_GB2312" w:cs="仿宋_GB2312"/>
          <w:color w:val="auto"/>
          <w:sz w:val="24"/>
          <w:highlight w:val="none"/>
          <w:lang w:val="zh-CN"/>
        </w:rPr>
      </w:pPr>
      <w:r>
        <w:rPr>
          <w:rFonts w:hint="eastAsia" w:ascii="仿宋_GB2312" w:hAnsi="仿宋_GB2312" w:eastAsia="仿宋_GB2312" w:cs="仿宋_GB2312"/>
          <w:color w:val="auto"/>
          <w:sz w:val="24"/>
          <w:highlight w:val="none"/>
          <w:lang w:val="zh-CN"/>
        </w:rPr>
        <w:t>供应商全称（公章）：</w:t>
      </w:r>
    </w:p>
    <w:p w14:paraId="203395D5">
      <w:pPr>
        <w:pStyle w:val="22"/>
        <w:rPr>
          <w:rFonts w:ascii="仿宋_GB2312" w:hAnsi="仿宋_GB2312" w:eastAsia="仿宋_GB2312" w:cs="仿宋_GB2312"/>
          <w:color w:val="auto"/>
          <w:highlight w:val="none"/>
          <w:lang w:val="zh-CN"/>
        </w:rPr>
      </w:pPr>
    </w:p>
    <w:p w14:paraId="0FCADAD3">
      <w:pPr>
        <w:autoSpaceDE w:val="0"/>
        <w:autoSpaceDN w:val="0"/>
        <w:adjustRightInd w:val="0"/>
        <w:snapToGrid w:val="0"/>
        <w:spacing w:line="312" w:lineRule="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lang w:val="zh-CN"/>
        </w:rPr>
        <w:t>法定代表人或授权代表（签字或盖章）：</w:t>
      </w:r>
      <w:r>
        <w:rPr>
          <w:rFonts w:hint="eastAsia" w:ascii="仿宋_GB2312" w:hAnsi="仿宋_GB2312" w:eastAsia="仿宋_GB2312" w:cs="仿宋_GB2312"/>
          <w:color w:val="auto"/>
          <w:sz w:val="24"/>
          <w:highlight w:val="none"/>
        </w:rPr>
        <w:t>______________________________</w:t>
      </w:r>
    </w:p>
    <w:p w14:paraId="0F416BE0">
      <w:pPr>
        <w:pStyle w:val="22"/>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                 _____</w:t>
      </w:r>
      <w:r>
        <w:rPr>
          <w:rFonts w:hint="eastAsia" w:ascii="仿宋_GB2312" w:hAnsi="仿宋_GB2312" w:eastAsia="仿宋_GB2312" w:cs="仿宋_GB2312"/>
          <w:color w:val="auto"/>
          <w:sz w:val="24"/>
          <w:highlight w:val="none"/>
          <w:lang w:val="zh-CN"/>
        </w:rPr>
        <w:t>年</w:t>
      </w:r>
      <w:r>
        <w:rPr>
          <w:rFonts w:hint="eastAsia" w:ascii="仿宋_GB2312" w:hAnsi="仿宋_GB2312" w:eastAsia="仿宋_GB2312" w:cs="仿宋_GB2312"/>
          <w:color w:val="auto"/>
          <w:sz w:val="24"/>
          <w:highlight w:val="none"/>
        </w:rPr>
        <w:t>_____</w:t>
      </w:r>
      <w:r>
        <w:rPr>
          <w:rFonts w:hint="eastAsia" w:ascii="仿宋_GB2312" w:hAnsi="仿宋_GB2312" w:eastAsia="仿宋_GB2312" w:cs="仿宋_GB2312"/>
          <w:color w:val="auto"/>
          <w:sz w:val="24"/>
          <w:highlight w:val="none"/>
          <w:lang w:val="zh-CN"/>
        </w:rPr>
        <w:t>月</w:t>
      </w:r>
      <w:r>
        <w:rPr>
          <w:rFonts w:hint="eastAsia" w:ascii="仿宋_GB2312" w:hAnsi="仿宋_GB2312" w:eastAsia="仿宋_GB2312" w:cs="仿宋_GB2312"/>
          <w:color w:val="auto"/>
          <w:sz w:val="24"/>
          <w:highlight w:val="none"/>
        </w:rPr>
        <w:t>_____</w:t>
      </w:r>
      <w:r>
        <w:rPr>
          <w:rFonts w:hint="eastAsia" w:ascii="仿宋_GB2312" w:hAnsi="仿宋_GB2312" w:eastAsia="仿宋_GB2312" w:cs="仿宋_GB2312"/>
          <w:color w:val="auto"/>
          <w:sz w:val="24"/>
          <w:highlight w:val="none"/>
          <w:lang w:val="zh-CN"/>
        </w:rPr>
        <w:t>日</w:t>
      </w:r>
    </w:p>
    <w:p w14:paraId="1CC45A24">
      <w:pPr>
        <w:pStyle w:val="199"/>
        <w:ind w:firstLine="2640" w:firstLineChars="1100"/>
        <w:rPr>
          <w:rFonts w:ascii="仿宋_GB2312" w:hAnsi="仿宋_GB2312" w:eastAsia="仿宋_GB2312" w:cs="仿宋_GB2312"/>
          <w:b/>
          <w:bCs/>
          <w:color w:val="auto"/>
          <w:sz w:val="32"/>
          <w:szCs w:val="32"/>
          <w:highlight w:val="none"/>
        </w:rPr>
      </w:pPr>
      <w:bookmarkStart w:id="471" w:name="_Hlt520356241"/>
      <w:bookmarkEnd w:id="471"/>
      <w:r>
        <w:rPr>
          <w:rFonts w:hint="eastAsia"/>
          <w:color w:val="auto"/>
          <w:highlight w:val="none"/>
        </w:rPr>
        <w:br w:type="page"/>
      </w:r>
      <w:bookmarkStart w:id="472" w:name="_Toc232395224"/>
      <w:bookmarkStart w:id="473" w:name="_Toc230013640"/>
      <w:bookmarkStart w:id="474" w:name="_Toc249525252"/>
      <w:bookmarkStart w:id="475" w:name="_Toc249515371"/>
      <w:bookmarkStart w:id="476" w:name="_Toc256342154"/>
      <w:bookmarkStart w:id="477" w:name="_Toc230583554"/>
      <w:bookmarkStart w:id="478" w:name="_Toc8496"/>
      <w:bookmarkStart w:id="479" w:name="_Toc415499901"/>
      <w:bookmarkStart w:id="480" w:name="_Toc230099805"/>
      <w:bookmarkStart w:id="481" w:name="_Toc232176284"/>
    </w:p>
    <w:bookmarkEnd w:id="472"/>
    <w:bookmarkEnd w:id="473"/>
    <w:bookmarkEnd w:id="474"/>
    <w:bookmarkEnd w:id="475"/>
    <w:bookmarkEnd w:id="476"/>
    <w:bookmarkEnd w:id="477"/>
    <w:bookmarkEnd w:id="478"/>
    <w:bookmarkEnd w:id="479"/>
    <w:bookmarkEnd w:id="480"/>
    <w:bookmarkEnd w:id="481"/>
    <w:p w14:paraId="041C2971">
      <w:pPr>
        <w:pStyle w:val="199"/>
        <w:ind w:left="0" w:leftChars="0" w:firstLine="0" w:firstLineChars="0"/>
        <w:jc w:val="center"/>
        <w:outlineLvl w:val="1"/>
        <w:rPr>
          <w:rFonts w:ascii="Times New Roman" w:eastAsia="仿宋"/>
          <w:b/>
          <w:bCs/>
          <w:color w:val="auto"/>
          <w:sz w:val="32"/>
          <w:szCs w:val="32"/>
          <w:highlight w:val="none"/>
        </w:rPr>
      </w:pPr>
      <w:bookmarkStart w:id="482" w:name="_Toc18167"/>
      <w:bookmarkStart w:id="483" w:name="_Toc249515372"/>
      <w:bookmarkStart w:id="484" w:name="_Toc499711088"/>
      <w:bookmarkStart w:id="485" w:name="_Toc492955460"/>
      <w:bookmarkStart w:id="486" w:name="_Toc232395225"/>
      <w:bookmarkStart w:id="487" w:name="_Toc415499902"/>
      <w:bookmarkStart w:id="488" w:name="_Toc225933091"/>
      <w:bookmarkStart w:id="489" w:name="_Toc232176285"/>
      <w:bookmarkStart w:id="490" w:name="_Toc500747234"/>
      <w:bookmarkStart w:id="491" w:name="_Toc389620242"/>
      <w:bookmarkStart w:id="492" w:name="_Toc230583555"/>
      <w:bookmarkStart w:id="493" w:name="_Toc385992402"/>
      <w:bookmarkStart w:id="494" w:name="_Toc230099806"/>
      <w:bookmarkStart w:id="495" w:name="_Toc176882553"/>
      <w:bookmarkStart w:id="496" w:name="_Toc70687203"/>
      <w:bookmarkStart w:id="497" w:name="_Toc184043059"/>
      <w:bookmarkStart w:id="498" w:name="_Toc230013641"/>
      <w:bookmarkStart w:id="499" w:name="_Toc256342155"/>
      <w:bookmarkStart w:id="500" w:name="_Toc500747107"/>
      <w:bookmarkStart w:id="501" w:name="_Toc249525253"/>
      <w:bookmarkStart w:id="502" w:name="_Toc83547687"/>
      <w:bookmarkStart w:id="503" w:name="_Toc177189246"/>
      <w:bookmarkStart w:id="504" w:name="_Toc499711929"/>
      <w:bookmarkStart w:id="505" w:name="_Toc500747011"/>
      <w:bookmarkStart w:id="506" w:name="_Toc503063459"/>
      <w:bookmarkStart w:id="507" w:name="_Toc177817345"/>
      <w:bookmarkStart w:id="508" w:name="_Toc496324624"/>
      <w:bookmarkStart w:id="509" w:name="_Toc177995484"/>
      <w:bookmarkStart w:id="510" w:name="_Toc53722866"/>
      <w:r>
        <w:rPr>
          <w:rFonts w:ascii="仿宋_GB2312" w:hAnsi="仿宋_GB2312" w:eastAsia="仿宋_GB2312" w:cs="仿宋_GB2312"/>
          <w:b/>
          <w:bCs/>
          <w:color w:val="auto"/>
          <w:kern w:val="2"/>
          <w:sz w:val="32"/>
          <w:szCs w:val="32"/>
          <w:highlight w:val="none"/>
          <w:lang w:val="zh-CN"/>
        </w:rPr>
        <w:t>第二部分  磋商响应报价表</w:t>
      </w:r>
      <w:bookmarkEnd w:id="482"/>
    </w:p>
    <w:p w14:paraId="558252F2">
      <w:pPr>
        <w:autoSpaceDE w:val="0"/>
        <w:autoSpaceDN w:val="0"/>
        <w:adjustRightInd w:val="0"/>
        <w:snapToGrid w:val="0"/>
        <w:spacing w:line="360" w:lineRule="auto"/>
        <w:jc w:val="center"/>
        <w:rPr>
          <w:rFonts w:eastAsia="仿宋_GB2312"/>
          <w:b/>
          <w:bCs/>
          <w:color w:val="auto"/>
          <w:sz w:val="32"/>
          <w:szCs w:val="32"/>
          <w:highlight w:val="none"/>
        </w:rPr>
      </w:pPr>
    </w:p>
    <w:p w14:paraId="4A73464D">
      <w:pPr>
        <w:tabs>
          <w:tab w:val="left" w:pos="588"/>
        </w:tabs>
        <w:jc w:val="center"/>
        <w:outlineLvl w:val="9"/>
        <w:rPr>
          <w:rFonts w:ascii="仿宋_GB2312" w:hAnsi="仿宋_GB2312" w:eastAsia="仿宋_GB2312" w:cs="仿宋_GB2312"/>
          <w:b/>
          <w:bCs/>
          <w:color w:val="auto"/>
          <w:sz w:val="28"/>
          <w:szCs w:val="36"/>
          <w:highlight w:val="none"/>
        </w:rPr>
      </w:pPr>
      <w:r>
        <w:rPr>
          <w:rFonts w:hint="eastAsia" w:ascii="仿宋_GB2312" w:hAnsi="仿宋_GB2312" w:eastAsia="仿宋_GB2312" w:cs="仿宋_GB2312"/>
          <w:b/>
          <w:bCs/>
          <w:color w:val="auto"/>
          <w:sz w:val="28"/>
          <w:szCs w:val="36"/>
          <w:highlight w:val="none"/>
        </w:rPr>
        <w:t>首次响应</w:t>
      </w:r>
      <w:r>
        <w:rPr>
          <w:rFonts w:hint="eastAsia" w:ascii="仿宋_GB2312" w:hAnsi="仿宋_GB2312" w:eastAsia="仿宋_GB2312" w:cs="仿宋_GB2312"/>
          <w:b/>
          <w:bCs/>
          <w:color w:val="auto"/>
          <w:sz w:val="28"/>
          <w:szCs w:val="36"/>
          <w:highlight w:val="none"/>
          <w:lang w:val="zh-CN"/>
        </w:rPr>
        <w:t>报价表</w:t>
      </w:r>
    </w:p>
    <w:p w14:paraId="3B1EC104">
      <w:pPr>
        <w:autoSpaceDE w:val="0"/>
        <w:autoSpaceDN w:val="0"/>
        <w:adjustRightInd w:val="0"/>
        <w:snapToGrid w:val="0"/>
        <w:spacing w:line="360" w:lineRule="auto"/>
        <w:jc w:val="right"/>
        <w:rPr>
          <w:rFonts w:eastAsia="仿宋_GB2312"/>
          <w:color w:val="auto"/>
          <w:sz w:val="24"/>
          <w:highlight w:val="none"/>
          <w:lang w:val="zh-CN"/>
        </w:rPr>
      </w:pPr>
      <w:r>
        <w:rPr>
          <w:rFonts w:eastAsia="仿宋_GB2312"/>
          <w:color w:val="auto"/>
          <w:sz w:val="32"/>
          <w:szCs w:val="32"/>
          <w:highlight w:val="none"/>
        </w:rPr>
        <w:t xml:space="preserve">    </w:t>
      </w:r>
    </w:p>
    <w:tbl>
      <w:tblPr>
        <w:tblStyle w:val="50"/>
        <w:tblW w:w="8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882"/>
        <w:gridCol w:w="6697"/>
      </w:tblGrid>
      <w:tr w14:paraId="5F448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46" w:hRule="atLeast"/>
          <w:jc w:val="center"/>
        </w:trPr>
        <w:tc>
          <w:tcPr>
            <w:tcW w:w="1882" w:type="dxa"/>
            <w:vAlign w:val="center"/>
          </w:tcPr>
          <w:p w14:paraId="1FC38EDD">
            <w:pPr>
              <w:pStyle w:val="22"/>
              <w:rPr>
                <w:rFonts w:ascii="Times New Roman" w:hAnsi="Times New Roman" w:eastAsia="仿宋_GB2312"/>
                <w:b/>
                <w:color w:val="auto"/>
                <w:sz w:val="24"/>
                <w:highlight w:val="none"/>
              </w:rPr>
            </w:pPr>
            <w:r>
              <w:rPr>
                <w:rFonts w:ascii="Times New Roman" w:hAnsi="Times New Roman" w:eastAsia="仿宋_GB2312"/>
                <w:color w:val="auto"/>
                <w:sz w:val="24"/>
                <w:highlight w:val="none"/>
                <w:lang w:val="zh-CN"/>
              </w:rPr>
              <w:br w:type="page"/>
            </w:r>
            <w:r>
              <w:rPr>
                <w:rFonts w:ascii="Times New Roman" w:hAnsi="Times New Roman" w:eastAsia="仿宋_GB2312"/>
                <w:b/>
                <w:color w:val="auto"/>
                <w:sz w:val="24"/>
                <w:highlight w:val="none"/>
              </w:rPr>
              <w:t>项目编号及名称</w:t>
            </w:r>
          </w:p>
        </w:tc>
        <w:tc>
          <w:tcPr>
            <w:tcW w:w="6697" w:type="dxa"/>
            <w:vAlign w:val="center"/>
          </w:tcPr>
          <w:p w14:paraId="1415F08D">
            <w:pPr>
              <w:pStyle w:val="22"/>
              <w:rPr>
                <w:rFonts w:ascii="Times New Roman" w:hAnsi="Times New Roman" w:eastAsia="仿宋_GB2312"/>
                <w:color w:val="auto"/>
                <w:sz w:val="24"/>
                <w:highlight w:val="none"/>
                <w:u w:val="single"/>
              </w:rPr>
            </w:pPr>
            <w:r>
              <w:rPr>
                <w:rFonts w:ascii="Times New Roman" w:hAnsi="Times New Roman" w:eastAsia="仿宋_GB2312"/>
                <w:color w:val="auto"/>
                <w:sz w:val="24"/>
                <w:highlight w:val="none"/>
              </w:rPr>
              <w:t>项目编号：</w:t>
            </w:r>
            <w:r>
              <w:rPr>
                <w:rFonts w:ascii="Times New Roman" w:hAnsi="Times New Roman" w:eastAsia="仿宋_GB2312"/>
                <w:color w:val="auto"/>
                <w:sz w:val="24"/>
                <w:highlight w:val="none"/>
                <w:u w:val="single"/>
              </w:rPr>
              <w:t xml:space="preserve">              </w:t>
            </w:r>
          </w:p>
          <w:p w14:paraId="6E5C3F43">
            <w:pPr>
              <w:pStyle w:val="22"/>
              <w:rPr>
                <w:rFonts w:hint="default" w:eastAsia="Arial Unicode MS"/>
                <w:color w:val="auto"/>
                <w:highlight w:val="none"/>
                <w:lang w:val="en-US" w:eastAsia="zh-CN"/>
              </w:rPr>
            </w:pPr>
            <w:r>
              <w:rPr>
                <w:rFonts w:ascii="Times New Roman" w:hAnsi="Times New Roman" w:eastAsia="仿宋_GB2312"/>
                <w:color w:val="auto"/>
                <w:sz w:val="24"/>
                <w:highlight w:val="none"/>
              </w:rPr>
              <w:t>项目名称：</w:t>
            </w:r>
          </w:p>
        </w:tc>
      </w:tr>
      <w:tr w14:paraId="0BCD1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18" w:hRule="atLeast"/>
          <w:jc w:val="center"/>
        </w:trPr>
        <w:tc>
          <w:tcPr>
            <w:tcW w:w="1882" w:type="dxa"/>
            <w:vAlign w:val="center"/>
          </w:tcPr>
          <w:p w14:paraId="6D4FCD80">
            <w:pPr>
              <w:pStyle w:val="22"/>
              <w:rPr>
                <w:rFonts w:ascii="Times New Roman" w:hAnsi="Times New Roman" w:eastAsia="仿宋_GB2312"/>
                <w:b/>
                <w:color w:val="auto"/>
                <w:sz w:val="24"/>
                <w:highlight w:val="none"/>
              </w:rPr>
            </w:pPr>
            <w:r>
              <w:rPr>
                <w:rFonts w:ascii="Times New Roman" w:hAnsi="Times New Roman" w:eastAsia="仿宋_GB2312"/>
                <w:b/>
                <w:color w:val="auto"/>
                <w:sz w:val="24"/>
                <w:highlight w:val="none"/>
              </w:rPr>
              <w:t>响应</w:t>
            </w:r>
            <w:r>
              <w:rPr>
                <w:rFonts w:hint="eastAsia" w:ascii="Times New Roman" w:hAnsi="Times New Roman" w:eastAsia="仿宋_GB2312"/>
                <w:b/>
                <w:color w:val="auto"/>
                <w:sz w:val="24"/>
                <w:highlight w:val="none"/>
                <w:lang w:val="en-US" w:eastAsia="zh-CN"/>
              </w:rPr>
              <w:t>报价</w:t>
            </w:r>
          </w:p>
        </w:tc>
        <w:tc>
          <w:tcPr>
            <w:tcW w:w="6697" w:type="dxa"/>
            <w:vAlign w:val="center"/>
          </w:tcPr>
          <w:p w14:paraId="7FE4A3B3">
            <w:pPr>
              <w:pStyle w:val="22"/>
              <w:rPr>
                <w:rFonts w:ascii="Times New Roman" w:hAnsi="Times New Roman" w:eastAsia="仿宋_GB2312"/>
                <w:color w:val="auto"/>
                <w:sz w:val="24"/>
                <w:highlight w:val="none"/>
              </w:rPr>
            </w:pPr>
            <w:r>
              <w:rPr>
                <w:rFonts w:ascii="Times New Roman" w:hAnsi="Times New Roman" w:eastAsia="仿宋_GB2312"/>
                <w:color w:val="auto"/>
                <w:sz w:val="24"/>
                <w:highlight w:val="none"/>
              </w:rPr>
              <w:t>人民币（大写）：</w:t>
            </w:r>
            <w:r>
              <w:rPr>
                <w:rFonts w:ascii="Times New Roman" w:hAnsi="Times New Roman" w:eastAsia="仿宋_GB2312"/>
                <w:color w:val="auto"/>
                <w:sz w:val="24"/>
                <w:highlight w:val="none"/>
                <w:u w:val="single"/>
              </w:rPr>
              <w:t xml:space="preserve">             </w:t>
            </w:r>
            <w:r>
              <w:rPr>
                <w:rFonts w:ascii="Times New Roman" w:hAnsi="Times New Roman" w:eastAsia="仿宋_GB2312"/>
                <w:color w:val="auto"/>
                <w:sz w:val="24"/>
                <w:highlight w:val="none"/>
              </w:rPr>
              <w:t xml:space="preserve"> （小写：</w:t>
            </w:r>
            <w:r>
              <w:rPr>
                <w:rFonts w:ascii="Times New Roman" w:hAnsi="Times New Roman" w:eastAsia="宋体"/>
                <w:color w:val="auto"/>
                <w:sz w:val="24"/>
                <w:highlight w:val="none"/>
              </w:rPr>
              <w:t>¥</w:t>
            </w:r>
            <w:r>
              <w:rPr>
                <w:rFonts w:ascii="Times New Roman" w:hAnsi="Times New Roman" w:eastAsia="仿宋_GB2312"/>
                <w:color w:val="auto"/>
                <w:sz w:val="24"/>
                <w:highlight w:val="none"/>
                <w:u w:val="single"/>
              </w:rPr>
              <w:t xml:space="preserve">      </w:t>
            </w:r>
            <w:r>
              <w:rPr>
                <w:rFonts w:hint="eastAsia" w:ascii="Times New Roman" w:hAnsi="Times New Roman" w:eastAsia="仿宋_GB2312"/>
                <w:color w:val="auto"/>
                <w:sz w:val="24"/>
                <w:highlight w:val="none"/>
                <w:lang w:eastAsia="zh-CN"/>
              </w:rPr>
              <w:t>元/天/人</w:t>
            </w:r>
            <w:r>
              <w:rPr>
                <w:rFonts w:ascii="Times New Roman" w:hAnsi="Times New Roman" w:eastAsia="仿宋_GB2312"/>
                <w:color w:val="auto"/>
                <w:sz w:val="24"/>
                <w:highlight w:val="none"/>
              </w:rPr>
              <w:t>）</w:t>
            </w:r>
          </w:p>
        </w:tc>
      </w:tr>
      <w:tr w14:paraId="542A2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0" w:hRule="atLeast"/>
          <w:jc w:val="center"/>
        </w:trPr>
        <w:tc>
          <w:tcPr>
            <w:tcW w:w="1882" w:type="dxa"/>
            <w:vAlign w:val="center"/>
          </w:tcPr>
          <w:p w14:paraId="45093431">
            <w:pPr>
              <w:pStyle w:val="22"/>
              <w:rPr>
                <w:rFonts w:hint="default" w:ascii="Times New Roman" w:hAnsi="Times New Roman" w:eastAsia="仿宋_GB2312"/>
                <w:b/>
                <w:color w:val="auto"/>
                <w:sz w:val="24"/>
                <w:highlight w:val="none"/>
                <w:lang w:val="en-US" w:eastAsia="zh-CN"/>
              </w:rPr>
            </w:pPr>
            <w:r>
              <w:rPr>
                <w:rFonts w:hint="eastAsia" w:ascii="Times New Roman" w:hAnsi="Times New Roman" w:eastAsia="仿宋_GB2312"/>
                <w:b/>
                <w:color w:val="auto"/>
                <w:sz w:val="24"/>
                <w:highlight w:val="none"/>
                <w:lang w:eastAsia="zh-CN"/>
              </w:rPr>
              <w:t>服务</w:t>
            </w:r>
            <w:r>
              <w:rPr>
                <w:rFonts w:hint="eastAsia" w:ascii="Times New Roman" w:hAnsi="Times New Roman" w:eastAsia="仿宋_GB2312"/>
                <w:b/>
                <w:color w:val="auto"/>
                <w:sz w:val="24"/>
                <w:highlight w:val="none"/>
                <w:lang w:val="en-US" w:eastAsia="zh-CN"/>
              </w:rPr>
              <w:t>期</w:t>
            </w:r>
          </w:p>
        </w:tc>
        <w:tc>
          <w:tcPr>
            <w:tcW w:w="6697" w:type="dxa"/>
            <w:vAlign w:val="center"/>
          </w:tcPr>
          <w:p w14:paraId="7326A030">
            <w:pPr>
              <w:pStyle w:val="22"/>
              <w:rPr>
                <w:rFonts w:ascii="Times New Roman" w:hAnsi="Times New Roman" w:eastAsia="仿宋_GB2312"/>
                <w:color w:val="auto"/>
                <w:sz w:val="24"/>
                <w:highlight w:val="none"/>
              </w:rPr>
            </w:pPr>
          </w:p>
        </w:tc>
      </w:tr>
      <w:tr w14:paraId="09BF7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0" w:hRule="atLeast"/>
          <w:jc w:val="center"/>
        </w:trPr>
        <w:tc>
          <w:tcPr>
            <w:tcW w:w="1882" w:type="dxa"/>
            <w:vAlign w:val="center"/>
          </w:tcPr>
          <w:p w14:paraId="6316CFC3">
            <w:pPr>
              <w:pStyle w:val="22"/>
              <w:rPr>
                <w:rFonts w:ascii="Times New Roman" w:hAnsi="Times New Roman" w:eastAsia="仿宋_GB2312"/>
                <w:b/>
                <w:color w:val="auto"/>
                <w:sz w:val="24"/>
                <w:highlight w:val="none"/>
              </w:rPr>
            </w:pPr>
            <w:r>
              <w:rPr>
                <w:rFonts w:hint="eastAsia" w:ascii="Times New Roman" w:hAnsi="Times New Roman" w:eastAsia="仿宋_GB2312"/>
                <w:b/>
                <w:color w:val="auto"/>
                <w:sz w:val="24"/>
                <w:highlight w:val="none"/>
                <w:lang w:eastAsia="zh-CN"/>
              </w:rPr>
              <w:t>服务</w:t>
            </w:r>
            <w:r>
              <w:rPr>
                <w:rFonts w:ascii="Times New Roman" w:hAnsi="Times New Roman" w:eastAsia="仿宋_GB2312"/>
                <w:b/>
                <w:color w:val="auto"/>
                <w:sz w:val="24"/>
                <w:highlight w:val="none"/>
              </w:rPr>
              <w:t>地点</w:t>
            </w:r>
          </w:p>
        </w:tc>
        <w:tc>
          <w:tcPr>
            <w:tcW w:w="6697" w:type="dxa"/>
            <w:vAlign w:val="center"/>
          </w:tcPr>
          <w:p w14:paraId="69ADB3BB">
            <w:pPr>
              <w:pStyle w:val="22"/>
              <w:rPr>
                <w:rFonts w:ascii="Times New Roman" w:hAnsi="Times New Roman" w:eastAsia="仿宋_GB2312"/>
                <w:color w:val="auto"/>
                <w:sz w:val="24"/>
                <w:highlight w:val="none"/>
              </w:rPr>
            </w:pPr>
          </w:p>
        </w:tc>
      </w:tr>
      <w:tr w14:paraId="6774C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28" w:hRule="atLeast"/>
          <w:jc w:val="center"/>
        </w:trPr>
        <w:tc>
          <w:tcPr>
            <w:tcW w:w="1882" w:type="dxa"/>
            <w:vAlign w:val="center"/>
          </w:tcPr>
          <w:p w14:paraId="0B34E3EC">
            <w:pPr>
              <w:pStyle w:val="22"/>
              <w:rPr>
                <w:rFonts w:ascii="Times New Roman" w:hAnsi="Times New Roman" w:eastAsia="仿宋_GB2312"/>
                <w:b/>
                <w:color w:val="auto"/>
                <w:sz w:val="24"/>
                <w:highlight w:val="none"/>
              </w:rPr>
            </w:pPr>
            <w:r>
              <w:rPr>
                <w:rFonts w:ascii="Times New Roman" w:hAnsi="Times New Roman" w:eastAsia="仿宋_GB2312"/>
                <w:b/>
                <w:color w:val="auto"/>
                <w:sz w:val="24"/>
                <w:highlight w:val="none"/>
              </w:rPr>
              <w:t>备注</w:t>
            </w:r>
          </w:p>
        </w:tc>
        <w:tc>
          <w:tcPr>
            <w:tcW w:w="6697" w:type="dxa"/>
            <w:vAlign w:val="center"/>
          </w:tcPr>
          <w:p w14:paraId="68B254B5">
            <w:pPr>
              <w:pStyle w:val="22"/>
              <w:rPr>
                <w:rFonts w:ascii="Times New Roman" w:hAnsi="Times New Roman" w:eastAsia="仿宋_GB2312"/>
                <w:color w:val="auto"/>
                <w:sz w:val="24"/>
                <w:highlight w:val="none"/>
              </w:rPr>
            </w:pPr>
          </w:p>
        </w:tc>
      </w:tr>
    </w:tbl>
    <w:p w14:paraId="5329A8B6">
      <w:pPr>
        <w:pStyle w:val="22"/>
        <w:rPr>
          <w:rFonts w:ascii="Times New Roman" w:hAnsi="Times New Roman" w:eastAsia="仿宋_GB2312"/>
          <w:color w:val="auto"/>
          <w:highlight w:val="none"/>
          <w:lang w:val="zh-CN"/>
        </w:rPr>
      </w:pPr>
    </w:p>
    <w:p w14:paraId="7AAE2D01">
      <w:pPr>
        <w:autoSpaceDE w:val="0"/>
        <w:autoSpaceDN w:val="0"/>
        <w:adjustRightInd w:val="0"/>
        <w:snapToGrid w:val="0"/>
        <w:spacing w:line="360" w:lineRule="auto"/>
        <w:ind w:firstLine="1080" w:firstLineChars="450"/>
        <w:rPr>
          <w:rFonts w:eastAsia="仿宋_GB2312"/>
          <w:color w:val="auto"/>
          <w:sz w:val="24"/>
          <w:highlight w:val="none"/>
          <w:lang w:val="zh-CN"/>
        </w:rPr>
      </w:pPr>
      <w:r>
        <w:rPr>
          <w:rFonts w:eastAsia="仿宋_GB2312"/>
          <w:color w:val="auto"/>
          <w:sz w:val="24"/>
          <w:highlight w:val="none"/>
          <w:lang w:val="zh-CN"/>
        </w:rPr>
        <w:t>供应商</w:t>
      </w:r>
      <w:r>
        <w:rPr>
          <w:rFonts w:eastAsia="仿宋_GB2312"/>
          <w:color w:val="auto"/>
          <w:sz w:val="24"/>
          <w:highlight w:val="none"/>
        </w:rPr>
        <w:t xml:space="preserve">                        </w:t>
      </w:r>
      <w:r>
        <w:rPr>
          <w:rFonts w:eastAsia="仿宋_GB2312"/>
          <w:color w:val="auto"/>
          <w:sz w:val="24"/>
          <w:highlight w:val="none"/>
          <w:lang w:val="zh-CN"/>
        </w:rPr>
        <w:t>法定代表人</w:t>
      </w:r>
      <w:r>
        <w:rPr>
          <w:rFonts w:eastAsia="仿宋_GB2312"/>
          <w:color w:val="auto"/>
          <w:sz w:val="24"/>
          <w:highlight w:val="none"/>
        </w:rPr>
        <w:t>或</w:t>
      </w:r>
      <w:r>
        <w:rPr>
          <w:rFonts w:eastAsia="仿宋_GB2312"/>
          <w:color w:val="auto"/>
          <w:sz w:val="24"/>
          <w:highlight w:val="none"/>
          <w:lang w:val="zh-CN"/>
        </w:rPr>
        <w:t>授权代表</w:t>
      </w:r>
    </w:p>
    <w:p w14:paraId="579AE9FB">
      <w:pPr>
        <w:autoSpaceDE w:val="0"/>
        <w:autoSpaceDN w:val="0"/>
        <w:adjustRightInd w:val="0"/>
        <w:snapToGrid w:val="0"/>
        <w:spacing w:line="360" w:lineRule="auto"/>
        <w:ind w:firstLine="960" w:firstLineChars="400"/>
        <w:rPr>
          <w:rFonts w:eastAsia="仿宋_GB2312"/>
          <w:color w:val="auto"/>
          <w:sz w:val="24"/>
          <w:highlight w:val="none"/>
          <w:lang w:val="zh-CN"/>
        </w:rPr>
      </w:pPr>
      <w:r>
        <w:rPr>
          <w:rFonts w:eastAsia="仿宋_GB2312"/>
          <w:color w:val="auto"/>
          <w:sz w:val="24"/>
          <w:highlight w:val="none"/>
          <w:lang w:val="zh-CN"/>
        </w:rPr>
        <w:t>（公章）：                            （</w:t>
      </w:r>
      <w:r>
        <w:rPr>
          <w:rFonts w:hint="eastAsia" w:eastAsia="仿宋_GB2312"/>
          <w:b/>
          <w:color w:val="auto"/>
          <w:sz w:val="24"/>
          <w:highlight w:val="none"/>
          <w:lang w:val="zh-CN"/>
        </w:rPr>
        <w:t>签字或盖章</w:t>
      </w:r>
      <w:r>
        <w:rPr>
          <w:rFonts w:eastAsia="仿宋_GB2312"/>
          <w:color w:val="auto"/>
          <w:sz w:val="24"/>
          <w:highlight w:val="none"/>
          <w:lang w:val="zh-CN"/>
        </w:rPr>
        <w:t>）：</w:t>
      </w:r>
    </w:p>
    <w:p w14:paraId="5A956AC3">
      <w:pPr>
        <w:autoSpaceDE w:val="0"/>
        <w:autoSpaceDN w:val="0"/>
        <w:adjustRightInd w:val="0"/>
        <w:snapToGrid w:val="0"/>
        <w:spacing w:line="360" w:lineRule="auto"/>
        <w:rPr>
          <w:rFonts w:eastAsia="仿宋_GB2312"/>
          <w:color w:val="auto"/>
          <w:sz w:val="24"/>
          <w:highlight w:val="none"/>
          <w:lang w:val="zh-CN"/>
        </w:rPr>
      </w:pPr>
    </w:p>
    <w:p w14:paraId="47D09D94">
      <w:pPr>
        <w:autoSpaceDE w:val="0"/>
        <w:autoSpaceDN w:val="0"/>
        <w:adjustRightInd w:val="0"/>
        <w:snapToGrid w:val="0"/>
        <w:spacing w:line="360" w:lineRule="auto"/>
        <w:ind w:firstLine="240" w:firstLineChars="100"/>
        <w:rPr>
          <w:rFonts w:eastAsia="仿宋_GB2312"/>
          <w:color w:val="auto"/>
          <w:sz w:val="24"/>
          <w:highlight w:val="none"/>
          <w:lang w:val="zh-CN"/>
        </w:rPr>
      </w:pPr>
      <w:r>
        <w:rPr>
          <w:rFonts w:eastAsia="仿宋_GB2312"/>
          <w:color w:val="auto"/>
          <w:sz w:val="24"/>
          <w:highlight w:val="none"/>
          <w:lang w:val="zh-CN"/>
        </w:rPr>
        <w:t xml:space="preserve">                                              </w:t>
      </w:r>
      <w:r>
        <w:rPr>
          <w:rFonts w:eastAsia="仿宋_GB2312"/>
          <w:color w:val="auto"/>
          <w:sz w:val="24"/>
          <w:highlight w:val="none"/>
          <w:u w:val="single"/>
          <w:lang w:val="zh-CN"/>
        </w:rPr>
        <w:t xml:space="preserve">      </w:t>
      </w:r>
      <w:r>
        <w:rPr>
          <w:rFonts w:eastAsia="仿宋_GB2312"/>
          <w:color w:val="auto"/>
          <w:sz w:val="24"/>
          <w:highlight w:val="none"/>
          <w:lang w:val="zh-CN"/>
        </w:rPr>
        <w:t xml:space="preserve">年 </w:t>
      </w:r>
      <w:r>
        <w:rPr>
          <w:rFonts w:eastAsia="仿宋_GB2312"/>
          <w:color w:val="auto"/>
          <w:sz w:val="24"/>
          <w:highlight w:val="none"/>
          <w:u w:val="single"/>
          <w:lang w:val="zh-CN"/>
        </w:rPr>
        <w:t xml:space="preserve">      </w:t>
      </w:r>
      <w:r>
        <w:rPr>
          <w:rFonts w:eastAsia="仿宋_GB2312"/>
          <w:color w:val="auto"/>
          <w:sz w:val="24"/>
          <w:highlight w:val="none"/>
          <w:lang w:val="zh-CN"/>
        </w:rPr>
        <w:t>月</w:t>
      </w:r>
      <w:r>
        <w:rPr>
          <w:rFonts w:eastAsia="仿宋_GB2312"/>
          <w:color w:val="auto"/>
          <w:sz w:val="24"/>
          <w:highlight w:val="none"/>
          <w:u w:val="single"/>
          <w:lang w:val="zh-CN"/>
        </w:rPr>
        <w:t xml:space="preserve">      </w:t>
      </w:r>
      <w:r>
        <w:rPr>
          <w:rFonts w:eastAsia="仿宋_GB2312"/>
          <w:color w:val="auto"/>
          <w:sz w:val="24"/>
          <w:highlight w:val="none"/>
          <w:lang w:val="zh-CN"/>
        </w:rPr>
        <w:t>日</w:t>
      </w:r>
    </w:p>
    <w:p w14:paraId="0D003A2E">
      <w:pPr>
        <w:rPr>
          <w:rFonts w:eastAsia="仿宋_GB2312"/>
          <w:color w:val="auto"/>
          <w:sz w:val="24"/>
          <w:highlight w:val="none"/>
          <w:lang w:val="zh-CN"/>
        </w:rPr>
      </w:pPr>
      <w:r>
        <w:rPr>
          <w:rFonts w:eastAsia="仿宋_GB2312"/>
          <w:color w:val="auto"/>
          <w:sz w:val="24"/>
          <w:highlight w:val="none"/>
          <w:lang w:val="zh-CN"/>
        </w:rPr>
        <w:br w:type="page"/>
      </w:r>
    </w:p>
    <w:p w14:paraId="0FB8D615">
      <w:pPr>
        <w:pStyle w:val="3"/>
        <w:jc w:val="center"/>
        <w:rPr>
          <w:rFonts w:ascii="仿宋_GB2312" w:hAnsi="仿宋_GB2312" w:eastAsia="仿宋_GB2312" w:cs="仿宋_GB2312"/>
          <w:b/>
          <w:bCs/>
          <w:color w:val="auto"/>
          <w:highlight w:val="none"/>
        </w:rPr>
      </w:pPr>
      <w:bookmarkStart w:id="511" w:name="_Toc30345"/>
      <w:bookmarkStart w:id="512" w:name="_Toc15171"/>
      <w:r>
        <w:rPr>
          <w:rFonts w:ascii="仿宋_GB2312" w:hAnsi="仿宋_GB2312" w:eastAsia="仿宋_GB2312" w:cs="仿宋_GB2312"/>
          <w:b/>
          <w:bCs/>
          <w:color w:val="auto"/>
          <w:highlight w:val="none"/>
        </w:rPr>
        <w:t>第三部分  偏离表</w:t>
      </w:r>
      <w:bookmarkEnd w:id="511"/>
      <w:bookmarkEnd w:id="512"/>
    </w:p>
    <w:p w14:paraId="4366BEC0">
      <w:pPr>
        <w:rPr>
          <w:rFonts w:eastAsia="仿宋_GB2312"/>
          <w:color w:val="auto"/>
          <w:highlight w:val="none"/>
        </w:rPr>
      </w:pPr>
    </w:p>
    <w:p w14:paraId="258638DC">
      <w:pPr>
        <w:tabs>
          <w:tab w:val="left" w:pos="588"/>
        </w:tabs>
        <w:jc w:val="center"/>
        <w:outlineLvl w:val="9"/>
        <w:rPr>
          <w:rFonts w:ascii="仿宋_GB2312" w:hAnsi="仿宋_GB2312" w:eastAsia="仿宋_GB2312" w:cs="仿宋_GB2312"/>
          <w:b/>
          <w:bCs/>
          <w:color w:val="auto"/>
          <w:sz w:val="28"/>
          <w:szCs w:val="36"/>
          <w:highlight w:val="none"/>
        </w:rPr>
      </w:pPr>
      <w:r>
        <w:rPr>
          <w:rFonts w:ascii="仿宋_GB2312" w:hAnsi="仿宋_GB2312" w:eastAsia="仿宋_GB2312" w:cs="仿宋_GB2312"/>
          <w:b/>
          <w:bCs/>
          <w:color w:val="auto"/>
          <w:sz w:val="28"/>
          <w:szCs w:val="36"/>
          <w:highlight w:val="none"/>
        </w:rPr>
        <w:t>一、商务、合同条款偏离表</w:t>
      </w:r>
    </w:p>
    <w:p w14:paraId="2E41D0BE">
      <w:pPr>
        <w:pStyle w:val="22"/>
        <w:rPr>
          <w:rFonts w:ascii="Times New Roman" w:hAnsi="Times New Roman" w:eastAsia="仿宋_GB2312"/>
          <w:color w:val="auto"/>
          <w:sz w:val="24"/>
          <w:highlight w:val="none"/>
        </w:rPr>
      </w:pPr>
    </w:p>
    <w:p w14:paraId="4F8F0CDD">
      <w:pPr>
        <w:pStyle w:val="22"/>
        <w:rPr>
          <w:rFonts w:ascii="Times New Roman" w:hAnsi="Times New Roman" w:eastAsia="仿宋_GB2312"/>
          <w:color w:val="auto"/>
          <w:sz w:val="24"/>
          <w:highlight w:val="none"/>
        </w:rPr>
      </w:pPr>
      <w:r>
        <w:rPr>
          <w:rFonts w:ascii="Times New Roman" w:hAnsi="Times New Roman" w:eastAsia="仿宋_GB2312"/>
          <w:color w:val="auto"/>
          <w:sz w:val="24"/>
          <w:highlight w:val="none"/>
        </w:rPr>
        <w:t>项目编号：</w:t>
      </w:r>
    </w:p>
    <w:p w14:paraId="1E17020F">
      <w:pPr>
        <w:pStyle w:val="22"/>
        <w:rPr>
          <w:rFonts w:ascii="Times New Roman" w:hAnsi="Times New Roman" w:eastAsia="仿宋_GB2312"/>
          <w:color w:val="auto"/>
          <w:sz w:val="24"/>
          <w:highlight w:val="none"/>
        </w:rPr>
      </w:pPr>
      <w:r>
        <w:rPr>
          <w:rFonts w:ascii="Times New Roman" w:hAnsi="Times New Roman" w:eastAsia="仿宋_GB2312"/>
          <w:color w:val="auto"/>
          <w:sz w:val="24"/>
          <w:highlight w:val="none"/>
        </w:rPr>
        <w:t>项目名称：</w:t>
      </w:r>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2835"/>
        <w:gridCol w:w="1701"/>
        <w:gridCol w:w="1417"/>
        <w:gridCol w:w="2195"/>
      </w:tblGrid>
      <w:tr w14:paraId="23BF8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780" w:type="dxa"/>
            <w:vAlign w:val="center"/>
          </w:tcPr>
          <w:p w14:paraId="12075483">
            <w:pPr>
              <w:pStyle w:val="28"/>
              <w:jc w:val="center"/>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序号</w:t>
            </w:r>
          </w:p>
        </w:tc>
        <w:tc>
          <w:tcPr>
            <w:tcW w:w="2835" w:type="dxa"/>
            <w:vAlign w:val="center"/>
          </w:tcPr>
          <w:p w14:paraId="7977CC06">
            <w:pPr>
              <w:pStyle w:val="28"/>
              <w:jc w:val="center"/>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磋商文件商务、合同条款</w:t>
            </w:r>
          </w:p>
        </w:tc>
        <w:tc>
          <w:tcPr>
            <w:tcW w:w="1701" w:type="dxa"/>
            <w:vAlign w:val="center"/>
          </w:tcPr>
          <w:p w14:paraId="35A81B6D">
            <w:pPr>
              <w:pStyle w:val="28"/>
              <w:jc w:val="center"/>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完全响应</w:t>
            </w:r>
          </w:p>
        </w:tc>
        <w:tc>
          <w:tcPr>
            <w:tcW w:w="1417" w:type="dxa"/>
            <w:vAlign w:val="center"/>
          </w:tcPr>
          <w:p w14:paraId="50C94A0C">
            <w:pPr>
              <w:pStyle w:val="28"/>
              <w:jc w:val="center"/>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有偏离</w:t>
            </w:r>
          </w:p>
        </w:tc>
        <w:tc>
          <w:tcPr>
            <w:tcW w:w="2195" w:type="dxa"/>
            <w:vAlign w:val="center"/>
          </w:tcPr>
          <w:p w14:paraId="0B2E76D2">
            <w:pPr>
              <w:pStyle w:val="28"/>
              <w:jc w:val="center"/>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偏离简述</w:t>
            </w:r>
          </w:p>
        </w:tc>
      </w:tr>
      <w:tr w14:paraId="097CF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30A1B2B6">
            <w:pPr>
              <w:pStyle w:val="28"/>
              <w:jc w:val="center"/>
              <w:rPr>
                <w:rFonts w:ascii="Times New Roman" w:hAnsi="Times New Roman" w:eastAsia="仿宋_GB2312"/>
                <w:color w:val="auto"/>
                <w:sz w:val="24"/>
                <w:szCs w:val="24"/>
                <w:highlight w:val="none"/>
              </w:rPr>
            </w:pPr>
          </w:p>
        </w:tc>
        <w:tc>
          <w:tcPr>
            <w:tcW w:w="2835" w:type="dxa"/>
          </w:tcPr>
          <w:p w14:paraId="1F427853">
            <w:pPr>
              <w:pStyle w:val="28"/>
              <w:jc w:val="center"/>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lang w:eastAsia="zh-CN"/>
              </w:rPr>
              <w:t>服务</w:t>
            </w:r>
            <w:r>
              <w:rPr>
                <w:rFonts w:ascii="Times New Roman" w:hAnsi="Times New Roman" w:eastAsia="仿宋_GB2312"/>
                <w:color w:val="auto"/>
                <w:sz w:val="24"/>
                <w:szCs w:val="24"/>
                <w:highlight w:val="none"/>
              </w:rPr>
              <w:t>地点</w:t>
            </w:r>
          </w:p>
        </w:tc>
        <w:tc>
          <w:tcPr>
            <w:tcW w:w="1701" w:type="dxa"/>
          </w:tcPr>
          <w:p w14:paraId="61FAFED2">
            <w:pPr>
              <w:pStyle w:val="28"/>
              <w:jc w:val="center"/>
              <w:rPr>
                <w:rFonts w:ascii="Times New Roman" w:hAnsi="Times New Roman" w:eastAsia="仿宋_GB2312"/>
                <w:color w:val="auto"/>
                <w:sz w:val="24"/>
                <w:szCs w:val="24"/>
                <w:highlight w:val="none"/>
              </w:rPr>
            </w:pPr>
          </w:p>
        </w:tc>
        <w:tc>
          <w:tcPr>
            <w:tcW w:w="1417" w:type="dxa"/>
          </w:tcPr>
          <w:p w14:paraId="69D583DA">
            <w:pPr>
              <w:pStyle w:val="28"/>
              <w:jc w:val="center"/>
              <w:rPr>
                <w:rFonts w:ascii="Times New Roman" w:hAnsi="Times New Roman" w:eastAsia="仿宋_GB2312"/>
                <w:color w:val="auto"/>
                <w:sz w:val="24"/>
                <w:szCs w:val="24"/>
                <w:highlight w:val="none"/>
              </w:rPr>
            </w:pPr>
          </w:p>
        </w:tc>
        <w:tc>
          <w:tcPr>
            <w:tcW w:w="2195" w:type="dxa"/>
          </w:tcPr>
          <w:p w14:paraId="1656AD56">
            <w:pPr>
              <w:pStyle w:val="28"/>
              <w:jc w:val="center"/>
              <w:rPr>
                <w:rFonts w:ascii="Times New Roman" w:hAnsi="Times New Roman" w:eastAsia="仿宋_GB2312"/>
                <w:color w:val="auto"/>
                <w:sz w:val="24"/>
                <w:szCs w:val="24"/>
                <w:highlight w:val="none"/>
              </w:rPr>
            </w:pPr>
          </w:p>
        </w:tc>
      </w:tr>
      <w:tr w14:paraId="68A58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2CDE6AAF">
            <w:pPr>
              <w:pStyle w:val="28"/>
              <w:ind w:left="1080" w:leftChars="257" w:hanging="540"/>
              <w:rPr>
                <w:rFonts w:ascii="Times New Roman" w:hAnsi="Times New Roman" w:eastAsia="仿宋_GB2312"/>
                <w:color w:val="auto"/>
                <w:sz w:val="24"/>
                <w:szCs w:val="24"/>
                <w:highlight w:val="none"/>
              </w:rPr>
            </w:pPr>
          </w:p>
        </w:tc>
        <w:tc>
          <w:tcPr>
            <w:tcW w:w="2835" w:type="dxa"/>
            <w:vAlign w:val="center"/>
          </w:tcPr>
          <w:p w14:paraId="465FB4D8">
            <w:pPr>
              <w:spacing w:line="360" w:lineRule="auto"/>
              <w:jc w:val="center"/>
              <w:rPr>
                <w:rFonts w:eastAsia="仿宋_GB2312"/>
                <w:bCs/>
                <w:color w:val="auto"/>
                <w:sz w:val="24"/>
                <w:highlight w:val="none"/>
              </w:rPr>
            </w:pPr>
            <w:r>
              <w:rPr>
                <w:rFonts w:hint="eastAsia" w:eastAsia="仿宋_GB2312"/>
                <w:bCs/>
                <w:color w:val="auto"/>
                <w:sz w:val="24"/>
                <w:highlight w:val="none"/>
                <w:lang w:eastAsia="zh-CN"/>
              </w:rPr>
              <w:t>服务</w:t>
            </w:r>
            <w:r>
              <w:rPr>
                <w:rFonts w:eastAsia="仿宋_GB2312"/>
                <w:bCs/>
                <w:color w:val="auto"/>
                <w:sz w:val="24"/>
                <w:highlight w:val="none"/>
              </w:rPr>
              <w:t>期</w:t>
            </w:r>
          </w:p>
        </w:tc>
        <w:tc>
          <w:tcPr>
            <w:tcW w:w="1701" w:type="dxa"/>
          </w:tcPr>
          <w:p w14:paraId="34877CDE">
            <w:pPr>
              <w:pStyle w:val="28"/>
              <w:ind w:left="1080" w:leftChars="257" w:hanging="540"/>
              <w:jc w:val="center"/>
              <w:rPr>
                <w:rFonts w:ascii="Times New Roman" w:hAnsi="Times New Roman" w:eastAsia="仿宋_GB2312"/>
                <w:color w:val="auto"/>
                <w:sz w:val="24"/>
                <w:szCs w:val="24"/>
                <w:highlight w:val="none"/>
              </w:rPr>
            </w:pPr>
          </w:p>
        </w:tc>
        <w:tc>
          <w:tcPr>
            <w:tcW w:w="1417" w:type="dxa"/>
          </w:tcPr>
          <w:p w14:paraId="00A6BC82">
            <w:pPr>
              <w:pStyle w:val="28"/>
              <w:ind w:left="1080" w:leftChars="257" w:hanging="540"/>
              <w:jc w:val="center"/>
              <w:rPr>
                <w:rFonts w:ascii="Times New Roman" w:hAnsi="Times New Roman" w:eastAsia="仿宋_GB2312"/>
                <w:color w:val="auto"/>
                <w:sz w:val="24"/>
                <w:szCs w:val="24"/>
                <w:highlight w:val="none"/>
              </w:rPr>
            </w:pPr>
          </w:p>
        </w:tc>
        <w:tc>
          <w:tcPr>
            <w:tcW w:w="2195" w:type="dxa"/>
          </w:tcPr>
          <w:p w14:paraId="3E9AD226">
            <w:pPr>
              <w:pStyle w:val="28"/>
              <w:ind w:left="1080" w:leftChars="257" w:hanging="540"/>
              <w:rPr>
                <w:rFonts w:ascii="Times New Roman" w:hAnsi="Times New Roman" w:eastAsia="仿宋_GB2312"/>
                <w:color w:val="auto"/>
                <w:sz w:val="24"/>
                <w:szCs w:val="24"/>
                <w:highlight w:val="none"/>
              </w:rPr>
            </w:pPr>
          </w:p>
        </w:tc>
      </w:tr>
      <w:tr w14:paraId="6B4AA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2229DE8E">
            <w:pPr>
              <w:pStyle w:val="28"/>
              <w:ind w:left="1080" w:leftChars="257" w:hanging="540"/>
              <w:rPr>
                <w:rFonts w:ascii="Times New Roman" w:hAnsi="Times New Roman" w:eastAsia="仿宋_GB2312"/>
                <w:color w:val="auto"/>
                <w:sz w:val="24"/>
                <w:szCs w:val="24"/>
                <w:highlight w:val="none"/>
              </w:rPr>
            </w:pPr>
          </w:p>
        </w:tc>
        <w:tc>
          <w:tcPr>
            <w:tcW w:w="2835" w:type="dxa"/>
            <w:vAlign w:val="center"/>
          </w:tcPr>
          <w:p w14:paraId="5EA48DF8">
            <w:pPr>
              <w:spacing w:line="360" w:lineRule="auto"/>
              <w:jc w:val="center"/>
              <w:rPr>
                <w:rFonts w:eastAsia="仿宋_GB2312"/>
                <w:bCs/>
                <w:color w:val="auto"/>
                <w:sz w:val="24"/>
                <w:highlight w:val="none"/>
              </w:rPr>
            </w:pPr>
            <w:r>
              <w:rPr>
                <w:rFonts w:eastAsia="仿宋_GB2312"/>
                <w:bCs/>
                <w:color w:val="auto"/>
                <w:sz w:val="24"/>
                <w:highlight w:val="none"/>
              </w:rPr>
              <w:t>付款方式</w:t>
            </w:r>
          </w:p>
        </w:tc>
        <w:tc>
          <w:tcPr>
            <w:tcW w:w="1701" w:type="dxa"/>
          </w:tcPr>
          <w:p w14:paraId="51C520E5">
            <w:pPr>
              <w:pStyle w:val="28"/>
              <w:ind w:left="1080" w:leftChars="257" w:hanging="540"/>
              <w:rPr>
                <w:rFonts w:ascii="Times New Roman" w:hAnsi="Times New Roman" w:eastAsia="仿宋_GB2312"/>
                <w:color w:val="auto"/>
                <w:sz w:val="24"/>
                <w:szCs w:val="24"/>
                <w:highlight w:val="none"/>
              </w:rPr>
            </w:pPr>
          </w:p>
        </w:tc>
        <w:tc>
          <w:tcPr>
            <w:tcW w:w="1417" w:type="dxa"/>
          </w:tcPr>
          <w:p w14:paraId="377E2A6D">
            <w:pPr>
              <w:pStyle w:val="28"/>
              <w:ind w:left="1080" w:leftChars="257" w:hanging="540"/>
              <w:rPr>
                <w:rFonts w:ascii="Times New Roman" w:hAnsi="Times New Roman" w:eastAsia="仿宋_GB2312"/>
                <w:color w:val="auto"/>
                <w:sz w:val="24"/>
                <w:szCs w:val="24"/>
                <w:highlight w:val="none"/>
              </w:rPr>
            </w:pPr>
          </w:p>
        </w:tc>
        <w:tc>
          <w:tcPr>
            <w:tcW w:w="2195" w:type="dxa"/>
          </w:tcPr>
          <w:p w14:paraId="4D2194E2">
            <w:pPr>
              <w:pStyle w:val="28"/>
              <w:ind w:left="1080" w:leftChars="257" w:hanging="540"/>
              <w:rPr>
                <w:rFonts w:ascii="Times New Roman" w:hAnsi="Times New Roman" w:eastAsia="仿宋_GB2312"/>
                <w:color w:val="auto"/>
                <w:sz w:val="24"/>
                <w:szCs w:val="24"/>
                <w:highlight w:val="none"/>
              </w:rPr>
            </w:pPr>
          </w:p>
        </w:tc>
      </w:tr>
      <w:tr w14:paraId="6FC28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4053F54F">
            <w:pPr>
              <w:pStyle w:val="28"/>
              <w:ind w:left="1080" w:leftChars="257" w:hanging="540"/>
              <w:rPr>
                <w:rFonts w:ascii="Times New Roman" w:hAnsi="Times New Roman" w:eastAsia="仿宋_GB2312"/>
                <w:color w:val="auto"/>
                <w:sz w:val="24"/>
                <w:szCs w:val="24"/>
                <w:highlight w:val="none"/>
              </w:rPr>
            </w:pPr>
          </w:p>
        </w:tc>
        <w:tc>
          <w:tcPr>
            <w:tcW w:w="2835" w:type="dxa"/>
            <w:vAlign w:val="center"/>
          </w:tcPr>
          <w:p w14:paraId="301C44BA">
            <w:pPr>
              <w:spacing w:line="360" w:lineRule="auto"/>
              <w:jc w:val="center"/>
              <w:rPr>
                <w:rFonts w:hint="eastAsia" w:eastAsia="仿宋_GB2312"/>
                <w:bCs/>
                <w:color w:val="auto"/>
                <w:sz w:val="24"/>
                <w:highlight w:val="none"/>
                <w:lang w:eastAsia="zh-CN"/>
              </w:rPr>
            </w:pPr>
            <w:r>
              <w:rPr>
                <w:rFonts w:eastAsia="仿宋_GB2312"/>
                <w:color w:val="auto"/>
                <w:sz w:val="24"/>
                <w:highlight w:val="none"/>
              </w:rPr>
              <w:t>….</w:t>
            </w:r>
          </w:p>
        </w:tc>
        <w:tc>
          <w:tcPr>
            <w:tcW w:w="1701" w:type="dxa"/>
          </w:tcPr>
          <w:p w14:paraId="25C0BD25">
            <w:pPr>
              <w:pStyle w:val="28"/>
              <w:ind w:left="1080" w:leftChars="257" w:hanging="540"/>
              <w:rPr>
                <w:rFonts w:ascii="Times New Roman" w:hAnsi="Times New Roman" w:eastAsia="仿宋_GB2312"/>
                <w:color w:val="auto"/>
                <w:sz w:val="24"/>
                <w:szCs w:val="24"/>
                <w:highlight w:val="none"/>
              </w:rPr>
            </w:pPr>
          </w:p>
        </w:tc>
        <w:tc>
          <w:tcPr>
            <w:tcW w:w="1417" w:type="dxa"/>
          </w:tcPr>
          <w:p w14:paraId="55C11BBF">
            <w:pPr>
              <w:pStyle w:val="28"/>
              <w:ind w:left="1080" w:leftChars="257" w:hanging="540"/>
              <w:rPr>
                <w:rFonts w:ascii="Times New Roman" w:hAnsi="Times New Roman" w:eastAsia="仿宋_GB2312"/>
                <w:color w:val="auto"/>
                <w:sz w:val="24"/>
                <w:szCs w:val="24"/>
                <w:highlight w:val="none"/>
              </w:rPr>
            </w:pPr>
          </w:p>
        </w:tc>
        <w:tc>
          <w:tcPr>
            <w:tcW w:w="2195" w:type="dxa"/>
          </w:tcPr>
          <w:p w14:paraId="4445A47F">
            <w:pPr>
              <w:pStyle w:val="28"/>
              <w:ind w:left="1080" w:leftChars="257" w:hanging="540"/>
              <w:rPr>
                <w:rFonts w:ascii="Times New Roman" w:hAnsi="Times New Roman" w:eastAsia="仿宋_GB2312"/>
                <w:color w:val="auto"/>
                <w:sz w:val="24"/>
                <w:szCs w:val="24"/>
                <w:highlight w:val="none"/>
              </w:rPr>
            </w:pPr>
          </w:p>
        </w:tc>
      </w:tr>
      <w:tr w14:paraId="6D4B2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63AFF428">
            <w:pPr>
              <w:pStyle w:val="28"/>
              <w:ind w:left="1080" w:leftChars="257" w:hanging="540"/>
              <w:rPr>
                <w:rFonts w:ascii="Times New Roman" w:hAnsi="Times New Roman" w:eastAsia="仿宋_GB2312"/>
                <w:color w:val="auto"/>
                <w:sz w:val="24"/>
                <w:szCs w:val="24"/>
                <w:highlight w:val="none"/>
              </w:rPr>
            </w:pPr>
          </w:p>
        </w:tc>
        <w:tc>
          <w:tcPr>
            <w:tcW w:w="2835" w:type="dxa"/>
            <w:vAlign w:val="center"/>
          </w:tcPr>
          <w:p w14:paraId="05FD88B2">
            <w:pPr>
              <w:spacing w:line="360" w:lineRule="auto"/>
              <w:jc w:val="center"/>
              <w:rPr>
                <w:rFonts w:eastAsia="仿宋_GB2312"/>
                <w:bCs/>
                <w:color w:val="auto"/>
                <w:sz w:val="24"/>
                <w:highlight w:val="none"/>
              </w:rPr>
            </w:pPr>
          </w:p>
        </w:tc>
        <w:tc>
          <w:tcPr>
            <w:tcW w:w="1701" w:type="dxa"/>
          </w:tcPr>
          <w:p w14:paraId="44A361DC">
            <w:pPr>
              <w:pStyle w:val="28"/>
              <w:ind w:left="1080" w:leftChars="257" w:hanging="540"/>
              <w:rPr>
                <w:rFonts w:ascii="Times New Roman" w:hAnsi="Times New Roman" w:eastAsia="仿宋_GB2312"/>
                <w:color w:val="auto"/>
                <w:sz w:val="24"/>
                <w:szCs w:val="24"/>
                <w:highlight w:val="none"/>
              </w:rPr>
            </w:pPr>
          </w:p>
        </w:tc>
        <w:tc>
          <w:tcPr>
            <w:tcW w:w="1417" w:type="dxa"/>
          </w:tcPr>
          <w:p w14:paraId="7C5C8D6B">
            <w:pPr>
              <w:pStyle w:val="28"/>
              <w:ind w:left="1080" w:leftChars="257" w:hanging="540"/>
              <w:rPr>
                <w:rFonts w:ascii="Times New Roman" w:hAnsi="Times New Roman" w:eastAsia="仿宋_GB2312"/>
                <w:color w:val="auto"/>
                <w:sz w:val="24"/>
                <w:szCs w:val="24"/>
                <w:highlight w:val="none"/>
              </w:rPr>
            </w:pPr>
          </w:p>
        </w:tc>
        <w:tc>
          <w:tcPr>
            <w:tcW w:w="2195" w:type="dxa"/>
          </w:tcPr>
          <w:p w14:paraId="6FAEE5CC">
            <w:pPr>
              <w:pStyle w:val="28"/>
              <w:ind w:left="1080" w:leftChars="257" w:hanging="540"/>
              <w:rPr>
                <w:rFonts w:ascii="Times New Roman" w:hAnsi="Times New Roman" w:eastAsia="仿宋_GB2312"/>
                <w:color w:val="auto"/>
                <w:sz w:val="24"/>
                <w:szCs w:val="24"/>
                <w:highlight w:val="none"/>
              </w:rPr>
            </w:pPr>
          </w:p>
        </w:tc>
      </w:tr>
      <w:tr w14:paraId="42A02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6E276F05">
            <w:pPr>
              <w:pStyle w:val="28"/>
              <w:ind w:left="1080" w:leftChars="257" w:hanging="540"/>
              <w:rPr>
                <w:rFonts w:ascii="Times New Roman" w:hAnsi="Times New Roman" w:eastAsia="仿宋_GB2312"/>
                <w:color w:val="auto"/>
                <w:sz w:val="24"/>
                <w:szCs w:val="24"/>
                <w:highlight w:val="none"/>
              </w:rPr>
            </w:pPr>
          </w:p>
        </w:tc>
        <w:tc>
          <w:tcPr>
            <w:tcW w:w="2835" w:type="dxa"/>
            <w:vAlign w:val="center"/>
          </w:tcPr>
          <w:p w14:paraId="13DDED05">
            <w:pPr>
              <w:spacing w:line="360" w:lineRule="auto"/>
              <w:jc w:val="center"/>
              <w:rPr>
                <w:rFonts w:eastAsia="仿宋_GB2312"/>
                <w:bCs/>
                <w:color w:val="auto"/>
                <w:sz w:val="24"/>
                <w:highlight w:val="none"/>
              </w:rPr>
            </w:pPr>
          </w:p>
        </w:tc>
        <w:tc>
          <w:tcPr>
            <w:tcW w:w="1701" w:type="dxa"/>
          </w:tcPr>
          <w:p w14:paraId="26E82B11">
            <w:pPr>
              <w:pStyle w:val="28"/>
              <w:ind w:left="1080" w:leftChars="257" w:hanging="540"/>
              <w:rPr>
                <w:rFonts w:ascii="Times New Roman" w:hAnsi="Times New Roman" w:eastAsia="仿宋_GB2312"/>
                <w:color w:val="auto"/>
                <w:sz w:val="24"/>
                <w:szCs w:val="24"/>
                <w:highlight w:val="none"/>
              </w:rPr>
            </w:pPr>
          </w:p>
        </w:tc>
        <w:tc>
          <w:tcPr>
            <w:tcW w:w="1417" w:type="dxa"/>
          </w:tcPr>
          <w:p w14:paraId="779F7F43">
            <w:pPr>
              <w:pStyle w:val="28"/>
              <w:ind w:left="1080" w:leftChars="257" w:hanging="540"/>
              <w:rPr>
                <w:rFonts w:ascii="Times New Roman" w:hAnsi="Times New Roman" w:eastAsia="仿宋_GB2312"/>
                <w:color w:val="auto"/>
                <w:sz w:val="24"/>
                <w:szCs w:val="24"/>
                <w:highlight w:val="none"/>
              </w:rPr>
            </w:pPr>
          </w:p>
        </w:tc>
        <w:tc>
          <w:tcPr>
            <w:tcW w:w="2195" w:type="dxa"/>
          </w:tcPr>
          <w:p w14:paraId="20E44ED7">
            <w:pPr>
              <w:pStyle w:val="28"/>
              <w:ind w:left="1080" w:leftChars="257" w:hanging="540"/>
              <w:rPr>
                <w:rFonts w:ascii="Times New Roman" w:hAnsi="Times New Roman" w:eastAsia="仿宋_GB2312"/>
                <w:color w:val="auto"/>
                <w:sz w:val="24"/>
                <w:szCs w:val="24"/>
                <w:highlight w:val="none"/>
              </w:rPr>
            </w:pPr>
          </w:p>
        </w:tc>
      </w:tr>
      <w:tr w14:paraId="79C4D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3CC7532A">
            <w:pPr>
              <w:pStyle w:val="28"/>
              <w:ind w:left="1080" w:leftChars="257" w:hanging="540"/>
              <w:rPr>
                <w:rFonts w:ascii="Times New Roman" w:hAnsi="Times New Roman" w:eastAsia="仿宋_GB2312"/>
                <w:color w:val="auto"/>
                <w:sz w:val="24"/>
                <w:szCs w:val="24"/>
                <w:highlight w:val="none"/>
              </w:rPr>
            </w:pPr>
          </w:p>
        </w:tc>
        <w:tc>
          <w:tcPr>
            <w:tcW w:w="2835" w:type="dxa"/>
          </w:tcPr>
          <w:p w14:paraId="15FE0782">
            <w:pPr>
              <w:pStyle w:val="28"/>
              <w:ind w:left="1080" w:leftChars="257" w:hanging="540"/>
              <w:rPr>
                <w:rFonts w:ascii="Times New Roman" w:hAnsi="Times New Roman" w:eastAsia="仿宋_GB2312"/>
                <w:color w:val="auto"/>
                <w:sz w:val="24"/>
                <w:szCs w:val="24"/>
                <w:highlight w:val="none"/>
              </w:rPr>
            </w:pPr>
          </w:p>
        </w:tc>
        <w:tc>
          <w:tcPr>
            <w:tcW w:w="1701" w:type="dxa"/>
          </w:tcPr>
          <w:p w14:paraId="6F116E09">
            <w:pPr>
              <w:pStyle w:val="28"/>
              <w:ind w:left="1080" w:leftChars="257" w:hanging="540"/>
              <w:rPr>
                <w:rFonts w:ascii="Times New Roman" w:hAnsi="Times New Roman" w:eastAsia="仿宋_GB2312"/>
                <w:color w:val="auto"/>
                <w:sz w:val="24"/>
                <w:szCs w:val="24"/>
                <w:highlight w:val="none"/>
              </w:rPr>
            </w:pPr>
          </w:p>
        </w:tc>
        <w:tc>
          <w:tcPr>
            <w:tcW w:w="1417" w:type="dxa"/>
          </w:tcPr>
          <w:p w14:paraId="5F6C774F">
            <w:pPr>
              <w:pStyle w:val="28"/>
              <w:ind w:left="1080" w:leftChars="257" w:hanging="540"/>
              <w:rPr>
                <w:rFonts w:ascii="Times New Roman" w:hAnsi="Times New Roman" w:eastAsia="仿宋_GB2312"/>
                <w:color w:val="auto"/>
                <w:sz w:val="24"/>
                <w:szCs w:val="24"/>
                <w:highlight w:val="none"/>
              </w:rPr>
            </w:pPr>
          </w:p>
        </w:tc>
        <w:tc>
          <w:tcPr>
            <w:tcW w:w="2195" w:type="dxa"/>
          </w:tcPr>
          <w:p w14:paraId="541A59EC">
            <w:pPr>
              <w:pStyle w:val="28"/>
              <w:ind w:left="1080" w:leftChars="257" w:hanging="540"/>
              <w:rPr>
                <w:rFonts w:ascii="Times New Roman" w:hAnsi="Times New Roman" w:eastAsia="仿宋_GB2312"/>
                <w:color w:val="auto"/>
                <w:sz w:val="24"/>
                <w:szCs w:val="24"/>
                <w:highlight w:val="none"/>
              </w:rPr>
            </w:pPr>
          </w:p>
        </w:tc>
      </w:tr>
      <w:tr w14:paraId="42491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5A0917E0">
            <w:pPr>
              <w:pStyle w:val="28"/>
              <w:ind w:left="1080" w:leftChars="257" w:hanging="540"/>
              <w:rPr>
                <w:rFonts w:ascii="Times New Roman" w:hAnsi="Times New Roman" w:eastAsia="仿宋_GB2312"/>
                <w:color w:val="auto"/>
                <w:sz w:val="24"/>
                <w:szCs w:val="24"/>
                <w:highlight w:val="none"/>
              </w:rPr>
            </w:pPr>
          </w:p>
        </w:tc>
        <w:tc>
          <w:tcPr>
            <w:tcW w:w="2835" w:type="dxa"/>
          </w:tcPr>
          <w:p w14:paraId="5861AA85">
            <w:pPr>
              <w:pStyle w:val="28"/>
              <w:ind w:left="1080" w:leftChars="257" w:hanging="540"/>
              <w:rPr>
                <w:rFonts w:ascii="Times New Roman" w:hAnsi="Times New Roman" w:eastAsia="仿宋_GB2312"/>
                <w:color w:val="auto"/>
                <w:sz w:val="24"/>
                <w:szCs w:val="24"/>
                <w:highlight w:val="none"/>
              </w:rPr>
            </w:pPr>
          </w:p>
        </w:tc>
        <w:tc>
          <w:tcPr>
            <w:tcW w:w="1701" w:type="dxa"/>
          </w:tcPr>
          <w:p w14:paraId="5A866BA3">
            <w:pPr>
              <w:pStyle w:val="28"/>
              <w:ind w:left="1080" w:leftChars="257" w:hanging="540"/>
              <w:rPr>
                <w:rFonts w:ascii="Times New Roman" w:hAnsi="Times New Roman" w:eastAsia="仿宋_GB2312"/>
                <w:color w:val="auto"/>
                <w:sz w:val="24"/>
                <w:szCs w:val="24"/>
                <w:highlight w:val="none"/>
              </w:rPr>
            </w:pPr>
          </w:p>
        </w:tc>
        <w:tc>
          <w:tcPr>
            <w:tcW w:w="1417" w:type="dxa"/>
          </w:tcPr>
          <w:p w14:paraId="6078A943">
            <w:pPr>
              <w:pStyle w:val="28"/>
              <w:ind w:left="1080" w:leftChars="257" w:hanging="540"/>
              <w:rPr>
                <w:rFonts w:ascii="Times New Roman" w:hAnsi="Times New Roman" w:eastAsia="仿宋_GB2312"/>
                <w:color w:val="auto"/>
                <w:sz w:val="24"/>
                <w:szCs w:val="24"/>
                <w:highlight w:val="none"/>
              </w:rPr>
            </w:pPr>
          </w:p>
        </w:tc>
        <w:tc>
          <w:tcPr>
            <w:tcW w:w="2195" w:type="dxa"/>
          </w:tcPr>
          <w:p w14:paraId="63CC824D">
            <w:pPr>
              <w:pStyle w:val="28"/>
              <w:ind w:left="1080" w:leftChars="257" w:hanging="540"/>
              <w:rPr>
                <w:rFonts w:ascii="Times New Roman" w:hAnsi="Times New Roman" w:eastAsia="仿宋_GB2312"/>
                <w:color w:val="auto"/>
                <w:sz w:val="24"/>
                <w:szCs w:val="24"/>
                <w:highlight w:val="none"/>
              </w:rPr>
            </w:pPr>
          </w:p>
        </w:tc>
      </w:tr>
      <w:tr w14:paraId="7A80C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5" w:hRule="atLeast"/>
          <w:jc w:val="center"/>
        </w:trPr>
        <w:tc>
          <w:tcPr>
            <w:tcW w:w="780" w:type="dxa"/>
          </w:tcPr>
          <w:p w14:paraId="14261136">
            <w:pPr>
              <w:pStyle w:val="28"/>
              <w:ind w:left="1080" w:leftChars="257" w:hanging="540"/>
              <w:rPr>
                <w:rFonts w:ascii="Times New Roman" w:hAnsi="Times New Roman" w:eastAsia="仿宋_GB2312"/>
                <w:color w:val="auto"/>
                <w:sz w:val="24"/>
                <w:szCs w:val="24"/>
                <w:highlight w:val="none"/>
              </w:rPr>
            </w:pPr>
          </w:p>
        </w:tc>
        <w:tc>
          <w:tcPr>
            <w:tcW w:w="2835" w:type="dxa"/>
          </w:tcPr>
          <w:p w14:paraId="4448F5BF">
            <w:pPr>
              <w:pStyle w:val="28"/>
              <w:ind w:left="1080" w:leftChars="257" w:hanging="540"/>
              <w:rPr>
                <w:rFonts w:ascii="Times New Roman" w:hAnsi="Times New Roman" w:eastAsia="仿宋_GB2312"/>
                <w:color w:val="auto"/>
                <w:sz w:val="24"/>
                <w:szCs w:val="24"/>
                <w:highlight w:val="none"/>
              </w:rPr>
            </w:pPr>
          </w:p>
        </w:tc>
        <w:tc>
          <w:tcPr>
            <w:tcW w:w="1701" w:type="dxa"/>
          </w:tcPr>
          <w:p w14:paraId="41379A39">
            <w:pPr>
              <w:pStyle w:val="28"/>
              <w:ind w:left="1080" w:leftChars="257" w:hanging="540"/>
              <w:rPr>
                <w:rFonts w:ascii="Times New Roman" w:hAnsi="Times New Roman" w:eastAsia="仿宋_GB2312"/>
                <w:color w:val="auto"/>
                <w:sz w:val="24"/>
                <w:szCs w:val="24"/>
                <w:highlight w:val="none"/>
              </w:rPr>
            </w:pPr>
          </w:p>
        </w:tc>
        <w:tc>
          <w:tcPr>
            <w:tcW w:w="1417" w:type="dxa"/>
          </w:tcPr>
          <w:p w14:paraId="6C1D22B0">
            <w:pPr>
              <w:pStyle w:val="28"/>
              <w:ind w:left="1080" w:leftChars="257" w:hanging="540"/>
              <w:rPr>
                <w:rFonts w:ascii="Times New Roman" w:hAnsi="Times New Roman" w:eastAsia="仿宋_GB2312"/>
                <w:color w:val="auto"/>
                <w:sz w:val="24"/>
                <w:szCs w:val="24"/>
                <w:highlight w:val="none"/>
              </w:rPr>
            </w:pPr>
          </w:p>
        </w:tc>
        <w:tc>
          <w:tcPr>
            <w:tcW w:w="2195" w:type="dxa"/>
          </w:tcPr>
          <w:p w14:paraId="0E08DE28">
            <w:pPr>
              <w:pStyle w:val="28"/>
              <w:ind w:left="1080" w:leftChars="257" w:hanging="540"/>
              <w:rPr>
                <w:rFonts w:ascii="Times New Roman" w:hAnsi="Times New Roman" w:eastAsia="仿宋_GB2312"/>
                <w:color w:val="auto"/>
                <w:sz w:val="24"/>
                <w:szCs w:val="24"/>
                <w:highlight w:val="none"/>
              </w:rPr>
            </w:pPr>
          </w:p>
        </w:tc>
      </w:tr>
      <w:tr w14:paraId="786D8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0C73111E">
            <w:pPr>
              <w:pStyle w:val="28"/>
              <w:ind w:left="1080" w:leftChars="257" w:hanging="540"/>
              <w:rPr>
                <w:rFonts w:ascii="Times New Roman" w:hAnsi="Times New Roman" w:eastAsia="仿宋_GB2312"/>
                <w:color w:val="auto"/>
                <w:sz w:val="24"/>
                <w:szCs w:val="24"/>
                <w:highlight w:val="none"/>
              </w:rPr>
            </w:pPr>
          </w:p>
        </w:tc>
        <w:tc>
          <w:tcPr>
            <w:tcW w:w="2835" w:type="dxa"/>
          </w:tcPr>
          <w:p w14:paraId="7DE32022">
            <w:pPr>
              <w:pStyle w:val="28"/>
              <w:ind w:left="1080" w:leftChars="257" w:hanging="540"/>
              <w:rPr>
                <w:rFonts w:ascii="Times New Roman" w:hAnsi="Times New Roman" w:eastAsia="仿宋_GB2312"/>
                <w:color w:val="auto"/>
                <w:sz w:val="24"/>
                <w:szCs w:val="24"/>
                <w:highlight w:val="none"/>
              </w:rPr>
            </w:pPr>
          </w:p>
        </w:tc>
        <w:tc>
          <w:tcPr>
            <w:tcW w:w="1701" w:type="dxa"/>
          </w:tcPr>
          <w:p w14:paraId="3E2A8CE6">
            <w:pPr>
              <w:pStyle w:val="28"/>
              <w:ind w:left="1080" w:leftChars="257" w:hanging="540"/>
              <w:rPr>
                <w:rFonts w:ascii="Times New Roman" w:hAnsi="Times New Roman" w:eastAsia="仿宋_GB2312"/>
                <w:color w:val="auto"/>
                <w:sz w:val="24"/>
                <w:szCs w:val="24"/>
                <w:highlight w:val="none"/>
              </w:rPr>
            </w:pPr>
          </w:p>
        </w:tc>
        <w:tc>
          <w:tcPr>
            <w:tcW w:w="1417" w:type="dxa"/>
          </w:tcPr>
          <w:p w14:paraId="467808F3">
            <w:pPr>
              <w:pStyle w:val="28"/>
              <w:ind w:left="1080" w:leftChars="257" w:hanging="540"/>
              <w:rPr>
                <w:rFonts w:ascii="Times New Roman" w:hAnsi="Times New Roman" w:eastAsia="仿宋_GB2312"/>
                <w:color w:val="auto"/>
                <w:sz w:val="24"/>
                <w:szCs w:val="24"/>
                <w:highlight w:val="none"/>
              </w:rPr>
            </w:pPr>
          </w:p>
        </w:tc>
        <w:tc>
          <w:tcPr>
            <w:tcW w:w="2195" w:type="dxa"/>
          </w:tcPr>
          <w:p w14:paraId="66EE3449">
            <w:pPr>
              <w:pStyle w:val="28"/>
              <w:ind w:left="1080" w:leftChars="257" w:hanging="540"/>
              <w:rPr>
                <w:rFonts w:ascii="Times New Roman" w:hAnsi="Times New Roman" w:eastAsia="仿宋_GB2312"/>
                <w:color w:val="auto"/>
                <w:sz w:val="24"/>
                <w:szCs w:val="24"/>
                <w:highlight w:val="none"/>
              </w:rPr>
            </w:pPr>
          </w:p>
        </w:tc>
      </w:tr>
    </w:tbl>
    <w:p w14:paraId="5FAD4B84">
      <w:pPr>
        <w:pStyle w:val="28"/>
        <w:ind w:left="1080" w:leftChars="257" w:hanging="540"/>
        <w:rPr>
          <w:rFonts w:ascii="Times New Roman" w:hAnsi="Times New Roman" w:eastAsia="仿宋_GB2312"/>
          <w:color w:val="auto"/>
          <w:sz w:val="24"/>
          <w:szCs w:val="24"/>
          <w:highlight w:val="none"/>
        </w:rPr>
      </w:pPr>
    </w:p>
    <w:p w14:paraId="39F655FD">
      <w:pPr>
        <w:spacing w:before="120" w:after="120" w:line="360" w:lineRule="auto"/>
        <w:ind w:firstLine="480" w:firstLineChars="200"/>
        <w:rPr>
          <w:rFonts w:eastAsia="仿宋_GB2312"/>
          <w:color w:val="auto"/>
          <w:sz w:val="24"/>
          <w:highlight w:val="none"/>
          <w:u w:val="single"/>
        </w:rPr>
      </w:pPr>
      <w:r>
        <w:rPr>
          <w:rFonts w:eastAsia="仿宋_GB2312"/>
          <w:color w:val="auto"/>
          <w:sz w:val="24"/>
          <w:highlight w:val="none"/>
        </w:rPr>
        <w:t xml:space="preserve">供应商（公章）： </w:t>
      </w:r>
      <w:r>
        <w:rPr>
          <w:rFonts w:eastAsia="仿宋_GB2312"/>
          <w:color w:val="auto"/>
          <w:sz w:val="24"/>
          <w:highlight w:val="none"/>
          <w:u w:val="single"/>
        </w:rPr>
        <w:t xml:space="preserve">              </w:t>
      </w:r>
      <w:r>
        <w:rPr>
          <w:rFonts w:eastAsia="仿宋_GB2312"/>
          <w:color w:val="auto"/>
          <w:sz w:val="24"/>
          <w:highlight w:val="none"/>
        </w:rPr>
        <w:t>法定代表人或其授权代表（签字或盖章）：</w:t>
      </w:r>
      <w:r>
        <w:rPr>
          <w:rFonts w:eastAsia="仿宋_GB2312"/>
          <w:color w:val="auto"/>
          <w:sz w:val="24"/>
          <w:highlight w:val="none"/>
          <w:u w:val="single"/>
        </w:rPr>
        <w:t xml:space="preserve">                  </w:t>
      </w:r>
    </w:p>
    <w:p w14:paraId="0B7FDD31">
      <w:pPr>
        <w:spacing w:before="120" w:after="120" w:line="360" w:lineRule="auto"/>
        <w:ind w:firstLine="4320" w:firstLineChars="1800"/>
        <w:rPr>
          <w:rFonts w:eastAsia="仿宋_GB2312"/>
          <w:color w:val="auto"/>
          <w:sz w:val="24"/>
          <w:highlight w:val="none"/>
        </w:rPr>
      </w:pPr>
      <w:r>
        <w:rPr>
          <w:rFonts w:eastAsia="仿宋_GB2312"/>
          <w:color w:val="auto"/>
          <w:sz w:val="24"/>
          <w:highlight w:val="none"/>
        </w:rPr>
        <w:t>日    期：</w:t>
      </w:r>
      <w:r>
        <w:rPr>
          <w:rFonts w:eastAsia="仿宋_GB2312"/>
          <w:color w:val="auto"/>
          <w:sz w:val="24"/>
          <w:highlight w:val="none"/>
          <w:u w:val="single"/>
        </w:rPr>
        <w:t xml:space="preserve">     </w:t>
      </w:r>
      <w:r>
        <w:rPr>
          <w:rFonts w:eastAsia="仿宋_GB2312"/>
          <w:color w:val="auto"/>
          <w:sz w:val="24"/>
          <w:highlight w:val="none"/>
        </w:rPr>
        <w:t>年</w:t>
      </w:r>
      <w:r>
        <w:rPr>
          <w:rFonts w:eastAsia="仿宋_GB2312"/>
          <w:color w:val="auto"/>
          <w:sz w:val="24"/>
          <w:highlight w:val="none"/>
          <w:u w:val="single"/>
        </w:rPr>
        <w:t xml:space="preserve">      </w:t>
      </w:r>
      <w:r>
        <w:rPr>
          <w:rFonts w:eastAsia="仿宋_GB2312"/>
          <w:color w:val="auto"/>
          <w:sz w:val="24"/>
          <w:highlight w:val="none"/>
        </w:rPr>
        <w:t>月</w:t>
      </w:r>
      <w:r>
        <w:rPr>
          <w:rFonts w:eastAsia="仿宋_GB2312"/>
          <w:color w:val="auto"/>
          <w:sz w:val="24"/>
          <w:highlight w:val="none"/>
          <w:u w:val="single"/>
        </w:rPr>
        <w:t xml:space="preserve">     </w:t>
      </w:r>
      <w:r>
        <w:rPr>
          <w:rFonts w:eastAsia="仿宋_GB2312"/>
          <w:color w:val="auto"/>
          <w:sz w:val="24"/>
          <w:highlight w:val="none"/>
        </w:rPr>
        <w:t>日</w:t>
      </w:r>
    </w:p>
    <w:p w14:paraId="25A16780">
      <w:pPr>
        <w:snapToGrid w:val="0"/>
        <w:spacing w:after="120" w:afterLines="50"/>
        <w:ind w:left="910" w:leftChars="203" w:hanging="484" w:hangingChars="202"/>
        <w:rPr>
          <w:rFonts w:eastAsia="仿宋_GB2312"/>
          <w:color w:val="auto"/>
          <w:highlight w:val="none"/>
        </w:rPr>
      </w:pPr>
      <w:r>
        <w:rPr>
          <w:rFonts w:eastAsia="仿宋_GB2312"/>
          <w:color w:val="auto"/>
          <w:sz w:val="24"/>
          <w:highlight w:val="none"/>
        </w:rPr>
        <w:t>注：</w:t>
      </w:r>
      <w:r>
        <w:rPr>
          <w:rFonts w:eastAsia="仿宋_GB2312"/>
          <w:color w:val="auto"/>
          <w:highlight w:val="none"/>
        </w:rPr>
        <w:tab/>
      </w:r>
      <w:r>
        <w:rPr>
          <w:rFonts w:eastAsia="仿宋_GB2312"/>
          <w:color w:val="auto"/>
          <w:highlight w:val="none"/>
        </w:rPr>
        <w:t>1、对完全响应的，在下表相应列中标注“○”。对有偏离的条目在本表相应列中标注“正偏离”或“负偏离”，并在“偏离简述”栏中加以说明。</w:t>
      </w:r>
    </w:p>
    <w:p w14:paraId="59BAFD95">
      <w:pPr>
        <w:snapToGrid w:val="0"/>
        <w:spacing w:after="120" w:afterLines="50"/>
        <w:ind w:left="842" w:leftChars="401"/>
        <w:rPr>
          <w:rFonts w:eastAsia="仿宋_GB2312"/>
          <w:color w:val="auto"/>
          <w:highlight w:val="none"/>
        </w:rPr>
      </w:pPr>
      <w:r>
        <w:rPr>
          <w:rFonts w:eastAsia="仿宋_GB2312"/>
          <w:color w:val="auto"/>
          <w:highlight w:val="none"/>
        </w:rPr>
        <w:t>2、正偏离是指应答的条件高于磋商文件要求，负偏离是指应答的条件低于磋商文件要求，正偏离项目不作扣分处理。</w:t>
      </w:r>
    </w:p>
    <w:p w14:paraId="5D40863D">
      <w:pPr>
        <w:snapToGrid w:val="0"/>
        <w:spacing w:after="120" w:afterLines="50"/>
        <w:ind w:left="842" w:leftChars="401"/>
        <w:rPr>
          <w:rFonts w:eastAsia="仿宋_GB2312"/>
          <w:color w:val="auto"/>
          <w:highlight w:val="none"/>
        </w:rPr>
      </w:pPr>
      <w:r>
        <w:rPr>
          <w:rFonts w:eastAsia="仿宋_GB2312"/>
          <w:color w:val="auto"/>
          <w:highlight w:val="none"/>
        </w:rPr>
        <w:t>3、供应商须完整填写响应表。如果未完整填写本表的各项内容则视作供应商已经对磋商文件相关要求和内容完全理解并同意，其报价为在此基础上的完全价格。</w:t>
      </w:r>
    </w:p>
    <w:p w14:paraId="3EAFB318">
      <w:pPr>
        <w:snapToGrid w:val="0"/>
        <w:spacing w:after="120" w:afterLines="50"/>
        <w:ind w:left="842" w:leftChars="401"/>
        <w:rPr>
          <w:rFonts w:eastAsia="仿宋_GB2312"/>
          <w:color w:val="auto"/>
          <w:highlight w:val="none"/>
        </w:rPr>
      </w:pPr>
      <w:r>
        <w:rPr>
          <w:rFonts w:eastAsia="仿宋_GB2312"/>
          <w:color w:val="auto"/>
          <w:highlight w:val="none"/>
        </w:rPr>
        <w:t>4、在采购人与成交供应商签订合同时，如成交供应商未在响应文件“响应表”中列出偏离说明，无论已发生或即将发生任何情形，均视为完全符合磋商文件要求，并写入合同。若成交供应商在合同签订前，以上述事项为借口而不履行合同签订手续及执行合同，则视作拒绝与采购人签订合同。</w:t>
      </w:r>
    </w:p>
    <w:p w14:paraId="44F57302">
      <w:pPr>
        <w:pStyle w:val="28"/>
        <w:ind w:left="1080" w:leftChars="257" w:hanging="540"/>
        <w:rPr>
          <w:rFonts w:ascii="Times New Roman" w:hAnsi="Times New Roman" w:eastAsia="仿宋_GB2312"/>
          <w:color w:val="auto"/>
          <w:sz w:val="24"/>
          <w:szCs w:val="24"/>
          <w:highlight w:val="none"/>
        </w:rPr>
      </w:pPr>
    </w:p>
    <w:p w14:paraId="019A5181">
      <w:pPr>
        <w:jc w:val="center"/>
        <w:rPr>
          <w:rFonts w:ascii="Times New Roman" w:hAnsi="Times New Roman" w:eastAsia="仿宋_GB2312"/>
          <w:color w:val="auto"/>
          <w:highlight w:val="none"/>
        </w:rPr>
      </w:pPr>
      <w:r>
        <w:rPr>
          <w:rFonts w:ascii="仿宋_GB2312" w:hAnsi="仿宋_GB2312" w:eastAsia="仿宋_GB2312" w:cs="仿宋_GB2312"/>
          <w:b/>
          <w:bCs/>
          <w:color w:val="auto"/>
          <w:sz w:val="28"/>
          <w:szCs w:val="36"/>
          <w:highlight w:val="none"/>
        </w:rPr>
        <w:br w:type="page"/>
      </w:r>
      <w:r>
        <w:rPr>
          <w:rFonts w:ascii="仿宋_GB2312" w:hAnsi="仿宋_GB2312" w:eastAsia="仿宋_GB2312" w:cs="仿宋_GB2312"/>
          <w:b/>
          <w:bCs/>
          <w:color w:val="auto"/>
          <w:sz w:val="28"/>
          <w:szCs w:val="36"/>
          <w:highlight w:val="none"/>
        </w:rPr>
        <w:t>二、技术偏离表</w:t>
      </w:r>
    </w:p>
    <w:p w14:paraId="33C162BB">
      <w:pPr>
        <w:pStyle w:val="22"/>
        <w:rPr>
          <w:rFonts w:ascii="Times New Roman" w:hAnsi="Times New Roman" w:eastAsia="仿宋_GB2312"/>
          <w:color w:val="auto"/>
          <w:sz w:val="24"/>
          <w:highlight w:val="none"/>
          <w:u w:val="single"/>
        </w:rPr>
      </w:pPr>
      <w:r>
        <w:rPr>
          <w:rFonts w:ascii="Times New Roman" w:hAnsi="Times New Roman" w:eastAsia="仿宋_GB2312"/>
          <w:color w:val="auto"/>
          <w:sz w:val="24"/>
          <w:highlight w:val="none"/>
        </w:rPr>
        <w:t>项目编号：</w:t>
      </w:r>
      <w:r>
        <w:rPr>
          <w:rFonts w:ascii="Times New Roman" w:hAnsi="Times New Roman" w:eastAsia="仿宋_GB2312"/>
          <w:color w:val="auto"/>
          <w:sz w:val="24"/>
          <w:highlight w:val="none"/>
          <w:u w:val="single"/>
        </w:rPr>
        <w:t xml:space="preserve">              </w:t>
      </w:r>
    </w:p>
    <w:p w14:paraId="5D8EA277">
      <w:pPr>
        <w:pStyle w:val="22"/>
        <w:rPr>
          <w:color w:val="auto"/>
          <w:highlight w:val="none"/>
        </w:rPr>
      </w:pPr>
      <w:r>
        <w:rPr>
          <w:rFonts w:ascii="Times New Roman" w:hAnsi="Times New Roman" w:eastAsia="仿宋_GB2312"/>
          <w:color w:val="auto"/>
          <w:sz w:val="24"/>
          <w:highlight w:val="none"/>
        </w:rPr>
        <w:t>项目名称：</w:t>
      </w:r>
    </w:p>
    <w:tbl>
      <w:tblPr>
        <w:tblStyle w:val="50"/>
        <w:tblW w:w="906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268"/>
        <w:gridCol w:w="1932"/>
        <w:gridCol w:w="1236"/>
        <w:gridCol w:w="1236"/>
        <w:gridCol w:w="2394"/>
      </w:tblGrid>
      <w:tr w14:paraId="1885D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54" w:hRule="atLeast"/>
          <w:jc w:val="center"/>
        </w:trPr>
        <w:tc>
          <w:tcPr>
            <w:tcW w:w="2268" w:type="dxa"/>
          </w:tcPr>
          <w:p w14:paraId="11018A73">
            <w:pPr>
              <w:spacing w:line="400" w:lineRule="exact"/>
              <w:jc w:val="center"/>
              <w:rPr>
                <w:rFonts w:eastAsia="仿宋_GB2312"/>
                <w:color w:val="auto"/>
                <w:sz w:val="24"/>
                <w:highlight w:val="none"/>
              </w:rPr>
            </w:pPr>
            <w:r>
              <w:rPr>
                <w:rFonts w:eastAsia="仿宋_GB2312"/>
                <w:color w:val="auto"/>
                <w:sz w:val="24"/>
                <w:highlight w:val="none"/>
              </w:rPr>
              <w:t>磋商文件条目号</w:t>
            </w:r>
          </w:p>
        </w:tc>
        <w:tc>
          <w:tcPr>
            <w:tcW w:w="1932" w:type="dxa"/>
          </w:tcPr>
          <w:p w14:paraId="556DB210">
            <w:pPr>
              <w:spacing w:line="400" w:lineRule="exact"/>
              <w:jc w:val="center"/>
              <w:rPr>
                <w:rFonts w:eastAsia="仿宋_GB2312"/>
                <w:color w:val="auto"/>
                <w:sz w:val="24"/>
                <w:highlight w:val="none"/>
              </w:rPr>
            </w:pPr>
            <w:r>
              <w:rPr>
                <w:rFonts w:eastAsia="仿宋_GB2312"/>
                <w:color w:val="auto"/>
                <w:sz w:val="24"/>
                <w:highlight w:val="none"/>
              </w:rPr>
              <w:t>技术条款要求</w:t>
            </w:r>
          </w:p>
        </w:tc>
        <w:tc>
          <w:tcPr>
            <w:tcW w:w="1236" w:type="dxa"/>
          </w:tcPr>
          <w:p w14:paraId="16D33CE6">
            <w:pPr>
              <w:spacing w:line="400" w:lineRule="exact"/>
              <w:jc w:val="center"/>
              <w:rPr>
                <w:rFonts w:eastAsia="仿宋_GB2312"/>
                <w:color w:val="auto"/>
                <w:sz w:val="24"/>
                <w:highlight w:val="none"/>
              </w:rPr>
            </w:pPr>
            <w:r>
              <w:rPr>
                <w:rFonts w:eastAsia="仿宋_GB2312"/>
                <w:color w:val="auto"/>
                <w:sz w:val="24"/>
                <w:highlight w:val="none"/>
              </w:rPr>
              <w:t>完全响应</w:t>
            </w:r>
          </w:p>
        </w:tc>
        <w:tc>
          <w:tcPr>
            <w:tcW w:w="1236" w:type="dxa"/>
          </w:tcPr>
          <w:p w14:paraId="75CB2A69">
            <w:pPr>
              <w:spacing w:line="400" w:lineRule="exact"/>
              <w:jc w:val="center"/>
              <w:rPr>
                <w:rFonts w:eastAsia="仿宋_GB2312"/>
                <w:color w:val="auto"/>
                <w:sz w:val="24"/>
                <w:highlight w:val="none"/>
              </w:rPr>
            </w:pPr>
            <w:r>
              <w:rPr>
                <w:rFonts w:eastAsia="仿宋_GB2312"/>
                <w:color w:val="auto"/>
                <w:sz w:val="24"/>
                <w:highlight w:val="none"/>
              </w:rPr>
              <w:t>有偏离</w:t>
            </w:r>
          </w:p>
        </w:tc>
        <w:tc>
          <w:tcPr>
            <w:tcW w:w="2394" w:type="dxa"/>
          </w:tcPr>
          <w:p w14:paraId="10718CC2">
            <w:pPr>
              <w:spacing w:line="400" w:lineRule="exact"/>
              <w:jc w:val="center"/>
              <w:rPr>
                <w:rFonts w:eastAsia="仿宋_GB2312"/>
                <w:color w:val="auto"/>
                <w:sz w:val="24"/>
                <w:highlight w:val="none"/>
              </w:rPr>
            </w:pPr>
            <w:r>
              <w:rPr>
                <w:rFonts w:eastAsia="仿宋_GB2312"/>
                <w:color w:val="auto"/>
                <w:sz w:val="24"/>
                <w:highlight w:val="none"/>
              </w:rPr>
              <w:t>偏离简述</w:t>
            </w:r>
          </w:p>
        </w:tc>
      </w:tr>
      <w:tr w14:paraId="0AA14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4A63FABA">
            <w:pPr>
              <w:spacing w:line="400" w:lineRule="exact"/>
              <w:rPr>
                <w:rFonts w:eastAsia="仿宋_GB2312"/>
                <w:color w:val="auto"/>
                <w:sz w:val="24"/>
                <w:highlight w:val="none"/>
              </w:rPr>
            </w:pPr>
          </w:p>
        </w:tc>
        <w:tc>
          <w:tcPr>
            <w:tcW w:w="1932" w:type="dxa"/>
          </w:tcPr>
          <w:p w14:paraId="594091C2">
            <w:pPr>
              <w:spacing w:line="400" w:lineRule="exact"/>
              <w:rPr>
                <w:rFonts w:eastAsia="仿宋_GB2312"/>
                <w:color w:val="auto"/>
                <w:sz w:val="24"/>
                <w:highlight w:val="none"/>
              </w:rPr>
            </w:pPr>
          </w:p>
        </w:tc>
        <w:tc>
          <w:tcPr>
            <w:tcW w:w="1236" w:type="dxa"/>
          </w:tcPr>
          <w:p w14:paraId="6B07B1A2">
            <w:pPr>
              <w:spacing w:line="400" w:lineRule="exact"/>
              <w:rPr>
                <w:rFonts w:eastAsia="仿宋_GB2312"/>
                <w:color w:val="auto"/>
                <w:sz w:val="24"/>
                <w:highlight w:val="none"/>
              </w:rPr>
            </w:pPr>
          </w:p>
        </w:tc>
        <w:tc>
          <w:tcPr>
            <w:tcW w:w="1236" w:type="dxa"/>
          </w:tcPr>
          <w:p w14:paraId="5AD6F7FE">
            <w:pPr>
              <w:spacing w:line="400" w:lineRule="exact"/>
              <w:rPr>
                <w:rFonts w:eastAsia="仿宋_GB2312"/>
                <w:color w:val="auto"/>
                <w:sz w:val="24"/>
                <w:highlight w:val="none"/>
              </w:rPr>
            </w:pPr>
          </w:p>
        </w:tc>
        <w:tc>
          <w:tcPr>
            <w:tcW w:w="2394" w:type="dxa"/>
          </w:tcPr>
          <w:p w14:paraId="38F23D15">
            <w:pPr>
              <w:spacing w:line="400" w:lineRule="exact"/>
              <w:rPr>
                <w:rFonts w:eastAsia="仿宋_GB2312"/>
                <w:color w:val="auto"/>
                <w:sz w:val="24"/>
                <w:highlight w:val="none"/>
              </w:rPr>
            </w:pPr>
          </w:p>
        </w:tc>
      </w:tr>
      <w:tr w14:paraId="5878E5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7211014E">
            <w:pPr>
              <w:spacing w:line="400" w:lineRule="exact"/>
              <w:rPr>
                <w:rFonts w:eastAsia="仿宋_GB2312"/>
                <w:color w:val="auto"/>
                <w:sz w:val="24"/>
                <w:highlight w:val="none"/>
              </w:rPr>
            </w:pPr>
          </w:p>
        </w:tc>
        <w:tc>
          <w:tcPr>
            <w:tcW w:w="1932" w:type="dxa"/>
          </w:tcPr>
          <w:p w14:paraId="33B5B824">
            <w:pPr>
              <w:spacing w:line="400" w:lineRule="exact"/>
              <w:rPr>
                <w:rFonts w:eastAsia="仿宋_GB2312"/>
                <w:color w:val="auto"/>
                <w:sz w:val="24"/>
                <w:highlight w:val="none"/>
              </w:rPr>
            </w:pPr>
          </w:p>
        </w:tc>
        <w:tc>
          <w:tcPr>
            <w:tcW w:w="1236" w:type="dxa"/>
          </w:tcPr>
          <w:p w14:paraId="499541D5">
            <w:pPr>
              <w:spacing w:line="400" w:lineRule="exact"/>
              <w:rPr>
                <w:rFonts w:eastAsia="仿宋_GB2312"/>
                <w:color w:val="auto"/>
                <w:sz w:val="24"/>
                <w:highlight w:val="none"/>
              </w:rPr>
            </w:pPr>
          </w:p>
        </w:tc>
        <w:tc>
          <w:tcPr>
            <w:tcW w:w="1236" w:type="dxa"/>
          </w:tcPr>
          <w:p w14:paraId="37FD2737">
            <w:pPr>
              <w:spacing w:line="400" w:lineRule="exact"/>
              <w:rPr>
                <w:rFonts w:eastAsia="仿宋_GB2312"/>
                <w:color w:val="auto"/>
                <w:sz w:val="24"/>
                <w:highlight w:val="none"/>
              </w:rPr>
            </w:pPr>
          </w:p>
        </w:tc>
        <w:tc>
          <w:tcPr>
            <w:tcW w:w="2394" w:type="dxa"/>
          </w:tcPr>
          <w:p w14:paraId="2ECE1550">
            <w:pPr>
              <w:spacing w:line="400" w:lineRule="exact"/>
              <w:rPr>
                <w:rFonts w:eastAsia="仿宋_GB2312"/>
                <w:color w:val="auto"/>
                <w:sz w:val="24"/>
                <w:highlight w:val="none"/>
              </w:rPr>
            </w:pPr>
          </w:p>
        </w:tc>
      </w:tr>
      <w:tr w14:paraId="5F6942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69167051">
            <w:pPr>
              <w:spacing w:line="400" w:lineRule="exact"/>
              <w:rPr>
                <w:rFonts w:eastAsia="仿宋_GB2312"/>
                <w:color w:val="auto"/>
                <w:sz w:val="24"/>
                <w:highlight w:val="none"/>
              </w:rPr>
            </w:pPr>
          </w:p>
        </w:tc>
        <w:tc>
          <w:tcPr>
            <w:tcW w:w="1932" w:type="dxa"/>
          </w:tcPr>
          <w:p w14:paraId="7DC27916">
            <w:pPr>
              <w:spacing w:line="400" w:lineRule="exact"/>
              <w:rPr>
                <w:rFonts w:eastAsia="仿宋_GB2312"/>
                <w:color w:val="auto"/>
                <w:sz w:val="24"/>
                <w:highlight w:val="none"/>
              </w:rPr>
            </w:pPr>
          </w:p>
        </w:tc>
        <w:tc>
          <w:tcPr>
            <w:tcW w:w="1236" w:type="dxa"/>
          </w:tcPr>
          <w:p w14:paraId="51B7EEBA">
            <w:pPr>
              <w:spacing w:line="400" w:lineRule="exact"/>
              <w:rPr>
                <w:rFonts w:eastAsia="仿宋_GB2312"/>
                <w:color w:val="auto"/>
                <w:sz w:val="24"/>
                <w:highlight w:val="none"/>
              </w:rPr>
            </w:pPr>
          </w:p>
        </w:tc>
        <w:tc>
          <w:tcPr>
            <w:tcW w:w="1236" w:type="dxa"/>
          </w:tcPr>
          <w:p w14:paraId="37C99220">
            <w:pPr>
              <w:spacing w:line="400" w:lineRule="exact"/>
              <w:rPr>
                <w:rFonts w:eastAsia="仿宋_GB2312"/>
                <w:color w:val="auto"/>
                <w:sz w:val="24"/>
                <w:highlight w:val="none"/>
              </w:rPr>
            </w:pPr>
          </w:p>
        </w:tc>
        <w:tc>
          <w:tcPr>
            <w:tcW w:w="2394" w:type="dxa"/>
          </w:tcPr>
          <w:p w14:paraId="50E66AA0">
            <w:pPr>
              <w:spacing w:line="400" w:lineRule="exact"/>
              <w:rPr>
                <w:rFonts w:eastAsia="仿宋_GB2312"/>
                <w:color w:val="auto"/>
                <w:sz w:val="24"/>
                <w:highlight w:val="none"/>
              </w:rPr>
            </w:pPr>
          </w:p>
        </w:tc>
      </w:tr>
      <w:tr w14:paraId="4BE2E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5C30D58F">
            <w:pPr>
              <w:spacing w:line="400" w:lineRule="exact"/>
              <w:rPr>
                <w:rFonts w:eastAsia="仿宋_GB2312"/>
                <w:color w:val="auto"/>
                <w:sz w:val="24"/>
                <w:highlight w:val="none"/>
              </w:rPr>
            </w:pPr>
          </w:p>
        </w:tc>
        <w:tc>
          <w:tcPr>
            <w:tcW w:w="1932" w:type="dxa"/>
          </w:tcPr>
          <w:p w14:paraId="72102708">
            <w:pPr>
              <w:spacing w:line="400" w:lineRule="exact"/>
              <w:rPr>
                <w:rFonts w:eastAsia="仿宋_GB2312"/>
                <w:color w:val="auto"/>
                <w:sz w:val="24"/>
                <w:highlight w:val="none"/>
              </w:rPr>
            </w:pPr>
          </w:p>
        </w:tc>
        <w:tc>
          <w:tcPr>
            <w:tcW w:w="1236" w:type="dxa"/>
          </w:tcPr>
          <w:p w14:paraId="225975E9">
            <w:pPr>
              <w:spacing w:line="400" w:lineRule="exact"/>
              <w:rPr>
                <w:rFonts w:eastAsia="仿宋_GB2312"/>
                <w:color w:val="auto"/>
                <w:sz w:val="24"/>
                <w:highlight w:val="none"/>
              </w:rPr>
            </w:pPr>
          </w:p>
        </w:tc>
        <w:tc>
          <w:tcPr>
            <w:tcW w:w="1236" w:type="dxa"/>
          </w:tcPr>
          <w:p w14:paraId="7642CF6A">
            <w:pPr>
              <w:spacing w:line="400" w:lineRule="exact"/>
              <w:rPr>
                <w:rFonts w:eastAsia="仿宋_GB2312"/>
                <w:color w:val="auto"/>
                <w:sz w:val="24"/>
                <w:highlight w:val="none"/>
              </w:rPr>
            </w:pPr>
          </w:p>
        </w:tc>
        <w:tc>
          <w:tcPr>
            <w:tcW w:w="2394" w:type="dxa"/>
          </w:tcPr>
          <w:p w14:paraId="2F28164A">
            <w:pPr>
              <w:spacing w:line="400" w:lineRule="exact"/>
              <w:rPr>
                <w:rFonts w:eastAsia="仿宋_GB2312"/>
                <w:color w:val="auto"/>
                <w:sz w:val="24"/>
                <w:highlight w:val="none"/>
              </w:rPr>
            </w:pPr>
          </w:p>
        </w:tc>
      </w:tr>
      <w:tr w14:paraId="1F9AA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66721FF2">
            <w:pPr>
              <w:spacing w:line="400" w:lineRule="exact"/>
              <w:rPr>
                <w:rFonts w:eastAsia="仿宋_GB2312"/>
                <w:color w:val="auto"/>
                <w:sz w:val="24"/>
                <w:highlight w:val="none"/>
              </w:rPr>
            </w:pPr>
          </w:p>
        </w:tc>
        <w:tc>
          <w:tcPr>
            <w:tcW w:w="1932" w:type="dxa"/>
          </w:tcPr>
          <w:p w14:paraId="47424ABB">
            <w:pPr>
              <w:spacing w:line="400" w:lineRule="exact"/>
              <w:rPr>
                <w:rFonts w:eastAsia="仿宋_GB2312"/>
                <w:color w:val="auto"/>
                <w:sz w:val="24"/>
                <w:highlight w:val="none"/>
              </w:rPr>
            </w:pPr>
          </w:p>
        </w:tc>
        <w:tc>
          <w:tcPr>
            <w:tcW w:w="1236" w:type="dxa"/>
          </w:tcPr>
          <w:p w14:paraId="235CF12A">
            <w:pPr>
              <w:spacing w:line="400" w:lineRule="exact"/>
              <w:rPr>
                <w:rFonts w:eastAsia="仿宋_GB2312"/>
                <w:color w:val="auto"/>
                <w:sz w:val="24"/>
                <w:highlight w:val="none"/>
              </w:rPr>
            </w:pPr>
          </w:p>
        </w:tc>
        <w:tc>
          <w:tcPr>
            <w:tcW w:w="1236" w:type="dxa"/>
          </w:tcPr>
          <w:p w14:paraId="38045D34">
            <w:pPr>
              <w:spacing w:line="400" w:lineRule="exact"/>
              <w:rPr>
                <w:rFonts w:eastAsia="仿宋_GB2312"/>
                <w:color w:val="auto"/>
                <w:sz w:val="24"/>
                <w:highlight w:val="none"/>
              </w:rPr>
            </w:pPr>
          </w:p>
        </w:tc>
        <w:tc>
          <w:tcPr>
            <w:tcW w:w="2394" w:type="dxa"/>
          </w:tcPr>
          <w:p w14:paraId="658F7BFC">
            <w:pPr>
              <w:spacing w:line="400" w:lineRule="exact"/>
              <w:rPr>
                <w:rFonts w:eastAsia="仿宋_GB2312"/>
                <w:color w:val="auto"/>
                <w:sz w:val="24"/>
                <w:highlight w:val="none"/>
              </w:rPr>
            </w:pPr>
          </w:p>
        </w:tc>
      </w:tr>
      <w:tr w14:paraId="13ACB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54" w:hRule="atLeast"/>
          <w:jc w:val="center"/>
        </w:trPr>
        <w:tc>
          <w:tcPr>
            <w:tcW w:w="2268" w:type="dxa"/>
          </w:tcPr>
          <w:p w14:paraId="1737D521">
            <w:pPr>
              <w:spacing w:line="400" w:lineRule="exact"/>
              <w:rPr>
                <w:rFonts w:eastAsia="仿宋_GB2312"/>
                <w:color w:val="auto"/>
                <w:sz w:val="24"/>
                <w:highlight w:val="none"/>
              </w:rPr>
            </w:pPr>
          </w:p>
        </w:tc>
        <w:tc>
          <w:tcPr>
            <w:tcW w:w="1932" w:type="dxa"/>
          </w:tcPr>
          <w:p w14:paraId="7FC0B5A0">
            <w:pPr>
              <w:spacing w:line="400" w:lineRule="exact"/>
              <w:rPr>
                <w:rFonts w:eastAsia="仿宋_GB2312"/>
                <w:bCs/>
                <w:color w:val="auto"/>
                <w:sz w:val="24"/>
                <w:highlight w:val="none"/>
              </w:rPr>
            </w:pPr>
          </w:p>
        </w:tc>
        <w:tc>
          <w:tcPr>
            <w:tcW w:w="1236" w:type="dxa"/>
          </w:tcPr>
          <w:p w14:paraId="6AE6298D">
            <w:pPr>
              <w:spacing w:line="400" w:lineRule="exact"/>
              <w:rPr>
                <w:rFonts w:eastAsia="仿宋_GB2312"/>
                <w:color w:val="auto"/>
                <w:sz w:val="24"/>
                <w:highlight w:val="none"/>
              </w:rPr>
            </w:pPr>
          </w:p>
        </w:tc>
        <w:tc>
          <w:tcPr>
            <w:tcW w:w="1236" w:type="dxa"/>
          </w:tcPr>
          <w:p w14:paraId="3DF6E06A">
            <w:pPr>
              <w:spacing w:line="400" w:lineRule="exact"/>
              <w:rPr>
                <w:rFonts w:eastAsia="仿宋_GB2312"/>
                <w:color w:val="auto"/>
                <w:sz w:val="24"/>
                <w:highlight w:val="none"/>
              </w:rPr>
            </w:pPr>
          </w:p>
        </w:tc>
        <w:tc>
          <w:tcPr>
            <w:tcW w:w="2394" w:type="dxa"/>
          </w:tcPr>
          <w:p w14:paraId="6D737373">
            <w:pPr>
              <w:spacing w:line="400" w:lineRule="exact"/>
              <w:rPr>
                <w:rFonts w:eastAsia="仿宋_GB2312"/>
                <w:color w:val="auto"/>
                <w:sz w:val="24"/>
                <w:highlight w:val="none"/>
              </w:rPr>
            </w:pPr>
          </w:p>
        </w:tc>
      </w:tr>
      <w:tr w14:paraId="58FF1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511DF827">
            <w:pPr>
              <w:spacing w:line="400" w:lineRule="exact"/>
              <w:rPr>
                <w:rFonts w:eastAsia="仿宋_GB2312"/>
                <w:color w:val="auto"/>
                <w:sz w:val="24"/>
                <w:highlight w:val="none"/>
              </w:rPr>
            </w:pPr>
          </w:p>
        </w:tc>
        <w:tc>
          <w:tcPr>
            <w:tcW w:w="1932" w:type="dxa"/>
          </w:tcPr>
          <w:p w14:paraId="45DA80EA">
            <w:pPr>
              <w:spacing w:line="400" w:lineRule="exact"/>
              <w:rPr>
                <w:rFonts w:eastAsia="仿宋_GB2312"/>
                <w:bCs/>
                <w:color w:val="auto"/>
                <w:sz w:val="24"/>
                <w:highlight w:val="none"/>
              </w:rPr>
            </w:pPr>
          </w:p>
        </w:tc>
        <w:tc>
          <w:tcPr>
            <w:tcW w:w="1236" w:type="dxa"/>
          </w:tcPr>
          <w:p w14:paraId="40083208">
            <w:pPr>
              <w:spacing w:line="400" w:lineRule="exact"/>
              <w:rPr>
                <w:rFonts w:eastAsia="仿宋_GB2312"/>
                <w:color w:val="auto"/>
                <w:sz w:val="24"/>
                <w:highlight w:val="none"/>
              </w:rPr>
            </w:pPr>
          </w:p>
        </w:tc>
        <w:tc>
          <w:tcPr>
            <w:tcW w:w="1236" w:type="dxa"/>
          </w:tcPr>
          <w:p w14:paraId="3A45DCF7">
            <w:pPr>
              <w:spacing w:line="400" w:lineRule="exact"/>
              <w:rPr>
                <w:rFonts w:eastAsia="仿宋_GB2312"/>
                <w:color w:val="auto"/>
                <w:sz w:val="24"/>
                <w:highlight w:val="none"/>
              </w:rPr>
            </w:pPr>
          </w:p>
        </w:tc>
        <w:tc>
          <w:tcPr>
            <w:tcW w:w="2394" w:type="dxa"/>
          </w:tcPr>
          <w:p w14:paraId="1B29D126">
            <w:pPr>
              <w:spacing w:line="400" w:lineRule="exact"/>
              <w:rPr>
                <w:rFonts w:eastAsia="仿宋_GB2312"/>
                <w:color w:val="auto"/>
                <w:sz w:val="24"/>
                <w:highlight w:val="none"/>
              </w:rPr>
            </w:pPr>
          </w:p>
        </w:tc>
      </w:tr>
    </w:tbl>
    <w:p w14:paraId="4E75BDB7">
      <w:pPr>
        <w:spacing w:before="120" w:after="120" w:line="360" w:lineRule="auto"/>
        <w:ind w:firstLine="480" w:firstLineChars="200"/>
        <w:rPr>
          <w:rFonts w:eastAsia="仿宋_GB2312"/>
          <w:color w:val="auto"/>
          <w:sz w:val="24"/>
          <w:highlight w:val="none"/>
          <w:u w:val="single"/>
        </w:rPr>
      </w:pPr>
      <w:r>
        <w:rPr>
          <w:rFonts w:eastAsia="仿宋_GB2312"/>
          <w:color w:val="auto"/>
          <w:sz w:val="24"/>
          <w:highlight w:val="none"/>
        </w:rPr>
        <w:t xml:space="preserve">供应商（公章）： </w:t>
      </w:r>
      <w:r>
        <w:rPr>
          <w:rFonts w:eastAsia="仿宋_GB2312"/>
          <w:color w:val="auto"/>
          <w:sz w:val="24"/>
          <w:highlight w:val="none"/>
          <w:u w:val="single"/>
        </w:rPr>
        <w:t xml:space="preserve">              </w:t>
      </w:r>
    </w:p>
    <w:p w14:paraId="356DA789">
      <w:pPr>
        <w:spacing w:before="120" w:after="120" w:line="360" w:lineRule="auto"/>
        <w:ind w:firstLine="480" w:firstLineChars="200"/>
        <w:rPr>
          <w:rFonts w:eastAsia="仿宋_GB2312"/>
          <w:color w:val="auto"/>
          <w:sz w:val="24"/>
          <w:highlight w:val="none"/>
          <w:u w:val="single"/>
        </w:rPr>
      </w:pPr>
      <w:r>
        <w:rPr>
          <w:rFonts w:eastAsia="仿宋_GB2312"/>
          <w:color w:val="auto"/>
          <w:sz w:val="24"/>
          <w:highlight w:val="none"/>
        </w:rPr>
        <w:t>法定代表人或其授权代表（签字或盖章）：</w:t>
      </w:r>
      <w:r>
        <w:rPr>
          <w:rFonts w:eastAsia="仿宋_GB2312"/>
          <w:color w:val="auto"/>
          <w:sz w:val="24"/>
          <w:highlight w:val="none"/>
          <w:u w:val="single"/>
        </w:rPr>
        <w:t xml:space="preserve">                  </w:t>
      </w:r>
    </w:p>
    <w:p w14:paraId="2C55EE19">
      <w:pPr>
        <w:spacing w:before="120" w:after="120" w:line="360" w:lineRule="auto"/>
        <w:ind w:firstLine="480" w:firstLineChars="200"/>
        <w:rPr>
          <w:rFonts w:eastAsia="仿宋_GB2312"/>
          <w:color w:val="auto"/>
          <w:sz w:val="24"/>
          <w:highlight w:val="none"/>
        </w:rPr>
      </w:pPr>
      <w:r>
        <w:rPr>
          <w:rFonts w:eastAsia="仿宋_GB2312"/>
          <w:color w:val="auto"/>
          <w:sz w:val="24"/>
          <w:highlight w:val="none"/>
        </w:rPr>
        <w:t>日    期：</w:t>
      </w:r>
      <w:r>
        <w:rPr>
          <w:rFonts w:eastAsia="仿宋_GB2312"/>
          <w:color w:val="auto"/>
          <w:sz w:val="24"/>
          <w:highlight w:val="none"/>
          <w:u w:val="single"/>
        </w:rPr>
        <w:t xml:space="preserve">     </w:t>
      </w:r>
      <w:r>
        <w:rPr>
          <w:rFonts w:eastAsia="仿宋_GB2312"/>
          <w:color w:val="auto"/>
          <w:sz w:val="24"/>
          <w:highlight w:val="none"/>
        </w:rPr>
        <w:t>年</w:t>
      </w:r>
      <w:r>
        <w:rPr>
          <w:rFonts w:eastAsia="仿宋_GB2312"/>
          <w:color w:val="auto"/>
          <w:sz w:val="24"/>
          <w:highlight w:val="none"/>
          <w:u w:val="single"/>
        </w:rPr>
        <w:t xml:space="preserve">      </w:t>
      </w:r>
      <w:r>
        <w:rPr>
          <w:rFonts w:eastAsia="仿宋_GB2312"/>
          <w:color w:val="auto"/>
          <w:sz w:val="24"/>
          <w:highlight w:val="none"/>
        </w:rPr>
        <w:t>月</w:t>
      </w:r>
      <w:r>
        <w:rPr>
          <w:rFonts w:eastAsia="仿宋_GB2312"/>
          <w:color w:val="auto"/>
          <w:sz w:val="24"/>
          <w:highlight w:val="none"/>
          <w:u w:val="single"/>
        </w:rPr>
        <w:t xml:space="preserve">     </w:t>
      </w:r>
      <w:r>
        <w:rPr>
          <w:rFonts w:eastAsia="仿宋_GB2312"/>
          <w:color w:val="auto"/>
          <w:sz w:val="24"/>
          <w:highlight w:val="none"/>
        </w:rPr>
        <w:t>日</w:t>
      </w:r>
    </w:p>
    <w:p w14:paraId="08DD7073">
      <w:pPr>
        <w:spacing w:line="360" w:lineRule="auto"/>
        <w:rPr>
          <w:rFonts w:eastAsia="仿宋_GB2312"/>
          <w:color w:val="auto"/>
          <w:highlight w:val="none"/>
        </w:rPr>
      </w:pPr>
    </w:p>
    <w:p w14:paraId="4CD49D21">
      <w:pPr>
        <w:snapToGrid w:val="0"/>
        <w:spacing w:after="120" w:afterLines="50"/>
        <w:ind w:left="850" w:hanging="850" w:hangingChars="405"/>
        <w:rPr>
          <w:rFonts w:eastAsia="仿宋_GB2312"/>
          <w:color w:val="auto"/>
          <w:highlight w:val="none"/>
        </w:rPr>
      </w:pPr>
      <w:r>
        <w:rPr>
          <w:rFonts w:eastAsia="仿宋_GB2312"/>
          <w:color w:val="auto"/>
          <w:highlight w:val="none"/>
        </w:rPr>
        <w:t>注：1.</w:t>
      </w:r>
      <w:r>
        <w:rPr>
          <w:rFonts w:eastAsia="仿宋_GB2312"/>
          <w:color w:val="auto"/>
          <w:highlight w:val="none"/>
        </w:rPr>
        <w:tab/>
      </w:r>
      <w:r>
        <w:rPr>
          <w:rFonts w:eastAsia="仿宋_GB2312"/>
          <w:color w:val="auto"/>
          <w:highlight w:val="none"/>
        </w:rPr>
        <w:t>对完全响应的条目在本表相应列中标注“○”。对有偏离的条目在本表相应列中标注“正偏离”或“负偏离”。并在“偏离简述”栏中加以说明。</w:t>
      </w:r>
    </w:p>
    <w:p w14:paraId="61D5AA21">
      <w:pPr>
        <w:tabs>
          <w:tab w:val="left" w:pos="1200"/>
        </w:tabs>
        <w:snapToGrid w:val="0"/>
        <w:spacing w:after="120" w:afterLines="50"/>
        <w:ind w:left="850" w:leftChars="203" w:hanging="424" w:hangingChars="202"/>
        <w:rPr>
          <w:rFonts w:eastAsia="仿宋_GB2312"/>
          <w:color w:val="auto"/>
          <w:highlight w:val="none"/>
        </w:rPr>
      </w:pPr>
      <w:r>
        <w:rPr>
          <w:rFonts w:eastAsia="仿宋_GB2312"/>
          <w:color w:val="auto"/>
          <w:highlight w:val="none"/>
        </w:rPr>
        <w:t>2.</w:t>
      </w:r>
      <w:r>
        <w:rPr>
          <w:rFonts w:eastAsia="仿宋_GB2312"/>
          <w:color w:val="auto"/>
          <w:highlight w:val="none"/>
        </w:rPr>
        <w:tab/>
      </w:r>
      <w:r>
        <w:rPr>
          <w:rFonts w:eastAsia="仿宋_GB2312"/>
          <w:color w:val="auto"/>
          <w:highlight w:val="none"/>
        </w:rPr>
        <w:t>正偏离是指应答的条件高于磋商文件要求，负偏离是指应答的条件低于磋商文件要求，正偏离项目不作扣分处理。</w:t>
      </w:r>
    </w:p>
    <w:p w14:paraId="3B4F7FC1">
      <w:pPr>
        <w:tabs>
          <w:tab w:val="left" w:pos="1200"/>
        </w:tabs>
        <w:snapToGrid w:val="0"/>
        <w:spacing w:after="120" w:afterLines="50"/>
        <w:ind w:left="850" w:leftChars="203" w:hanging="424" w:hangingChars="202"/>
        <w:rPr>
          <w:rFonts w:eastAsia="仿宋_GB2312"/>
          <w:color w:val="auto"/>
          <w:highlight w:val="none"/>
        </w:rPr>
      </w:pPr>
      <w:r>
        <w:rPr>
          <w:rFonts w:eastAsia="仿宋_GB2312"/>
          <w:color w:val="auto"/>
          <w:highlight w:val="none"/>
        </w:rPr>
        <w:t>3</w:t>
      </w:r>
      <w:r>
        <w:rPr>
          <w:rFonts w:eastAsia="仿宋_GB2312"/>
          <w:color w:val="auto"/>
          <w:highlight w:val="none"/>
        </w:rPr>
        <w:tab/>
      </w:r>
      <w:r>
        <w:rPr>
          <w:rFonts w:eastAsia="仿宋_GB2312"/>
          <w:color w:val="auto"/>
          <w:highlight w:val="none"/>
        </w:rPr>
        <w:t>供应商须按照用户需求书逐条完整填写响应表。如果未完整填写响应表的各项内容则视作供应商已经对磋商文件相关要求和内容完全理解并同意，其报价为在此基础上的完全价格。</w:t>
      </w:r>
    </w:p>
    <w:p w14:paraId="59C23817">
      <w:pPr>
        <w:tabs>
          <w:tab w:val="left" w:pos="1200"/>
        </w:tabs>
        <w:snapToGrid w:val="0"/>
        <w:spacing w:after="120" w:afterLines="50"/>
        <w:ind w:left="850" w:leftChars="203" w:hanging="424" w:hangingChars="202"/>
        <w:rPr>
          <w:rFonts w:eastAsia="仿宋_GB2312"/>
          <w:color w:val="auto"/>
          <w:highlight w:val="none"/>
        </w:rPr>
      </w:pPr>
      <w:r>
        <w:rPr>
          <w:rFonts w:eastAsia="仿宋_GB2312"/>
          <w:color w:val="auto"/>
          <w:highlight w:val="none"/>
        </w:rPr>
        <w:t>4</w:t>
      </w:r>
      <w:r>
        <w:rPr>
          <w:rFonts w:eastAsia="仿宋_GB2312"/>
          <w:color w:val="auto"/>
          <w:highlight w:val="none"/>
        </w:rPr>
        <w:tab/>
      </w:r>
      <w:r>
        <w:rPr>
          <w:rFonts w:eastAsia="仿宋_GB2312"/>
          <w:color w:val="auto"/>
          <w:highlight w:val="none"/>
        </w:rPr>
        <w:t>在采购人与成交供应商签订合同时，如成交供应商未在响应文件“响应表”中列出偏离说明，无论即将发生或已发生任何情形，均视为完全符合磋商文件要求，并写入合同。若成交供应商在合同签订前，以上述事项为借口而不履行合同签订手续及执行合同，则视作拒绝与采购人签订合同。</w:t>
      </w:r>
    </w:p>
    <w:p w14:paraId="78AEFF1F">
      <w:pPr>
        <w:autoSpaceDE w:val="0"/>
        <w:autoSpaceDN w:val="0"/>
        <w:adjustRightInd w:val="0"/>
        <w:snapToGrid w:val="0"/>
        <w:spacing w:line="360" w:lineRule="auto"/>
        <w:jc w:val="center"/>
        <w:rPr>
          <w:rFonts w:eastAsia="仿宋_GB2312"/>
          <w:b/>
          <w:color w:val="auto"/>
          <w:sz w:val="32"/>
          <w:szCs w:val="32"/>
          <w:highlight w:val="none"/>
        </w:rPr>
      </w:pPr>
    </w:p>
    <w:p w14:paraId="5EDA8BA7">
      <w:pPr>
        <w:autoSpaceDE w:val="0"/>
        <w:autoSpaceDN w:val="0"/>
        <w:adjustRightInd w:val="0"/>
        <w:snapToGrid w:val="0"/>
        <w:spacing w:line="360" w:lineRule="auto"/>
        <w:jc w:val="center"/>
        <w:rPr>
          <w:rFonts w:eastAsia="仿宋_GB2312"/>
          <w:b/>
          <w:bCs/>
          <w:color w:val="auto"/>
          <w:sz w:val="24"/>
          <w:highlight w:val="none"/>
        </w:rPr>
      </w:pPr>
      <w:r>
        <w:rPr>
          <w:rFonts w:eastAsia="仿宋_GB2312"/>
          <w:color w:val="auto"/>
          <w:highlight w:val="none"/>
        </w:rPr>
        <w:br w:type="page"/>
      </w:r>
    </w:p>
    <w:p w14:paraId="0E61B877">
      <w:pPr>
        <w:pStyle w:val="3"/>
        <w:jc w:val="center"/>
        <w:rPr>
          <w:rFonts w:ascii="仿宋_GB2312" w:hAnsi="仿宋_GB2312" w:eastAsia="仿宋_GB2312" w:cs="仿宋_GB2312"/>
          <w:b/>
          <w:bCs/>
          <w:color w:val="auto"/>
          <w:highlight w:val="none"/>
        </w:rPr>
      </w:pPr>
      <w:bookmarkStart w:id="513" w:name="_Toc13664"/>
      <w:bookmarkStart w:id="514" w:name="_Toc2584"/>
      <w:r>
        <w:rPr>
          <w:rFonts w:ascii="仿宋_GB2312" w:hAnsi="仿宋_GB2312" w:eastAsia="仿宋_GB2312" w:cs="仿宋_GB2312"/>
          <w:b/>
          <w:bCs/>
          <w:color w:val="auto"/>
          <w:highlight w:val="none"/>
        </w:rPr>
        <w:t>第四部分  响应方案说明</w:t>
      </w:r>
      <w:bookmarkEnd w:id="513"/>
      <w:bookmarkEnd w:id="514"/>
    </w:p>
    <w:p w14:paraId="40FBB3E1">
      <w:pPr>
        <w:pStyle w:val="22"/>
        <w:rPr>
          <w:rFonts w:ascii="Times New Roman" w:hAnsi="Times New Roman" w:eastAsia="仿宋_GB2312"/>
          <w:color w:val="auto"/>
          <w:highlight w:val="none"/>
          <w:lang w:val="zh-CN"/>
        </w:rPr>
      </w:pPr>
    </w:p>
    <w:p w14:paraId="57C623C3">
      <w:pPr>
        <w:autoSpaceDE w:val="0"/>
        <w:autoSpaceDN w:val="0"/>
        <w:adjustRightInd w:val="0"/>
        <w:spacing w:line="360" w:lineRule="auto"/>
        <w:jc w:val="center"/>
        <w:rPr>
          <w:rFonts w:eastAsia="仿宋_GB2312"/>
          <w:color w:val="auto"/>
          <w:sz w:val="28"/>
          <w:szCs w:val="28"/>
          <w:highlight w:val="none"/>
          <w:lang w:val="zh-CN"/>
        </w:rPr>
      </w:pPr>
      <w:r>
        <w:rPr>
          <w:rFonts w:eastAsia="仿宋_GB2312"/>
          <w:color w:val="auto"/>
          <w:sz w:val="28"/>
          <w:szCs w:val="28"/>
          <w:highlight w:val="none"/>
          <w:lang w:val="zh-CN"/>
        </w:rPr>
        <w:t>（格式自拟，内容需符合评审办法中要求的内容要求）</w:t>
      </w:r>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sectPr>
      <w:pgSz w:w="11906" w:h="16838"/>
      <w:pgMar w:top="1418" w:right="1418" w:bottom="1418" w:left="1418" w:header="851" w:footer="992"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ì.">
    <w:altName w:val="宋体"/>
    <w:panose1 w:val="00000000000000000000"/>
    <w:charset w:val="86"/>
    <w:family w:val="swiss"/>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Helvetica Neue">
    <w:altName w:val="Segoe Print"/>
    <w:panose1 w:val="00000000000000000000"/>
    <w:charset w:val="00"/>
    <w:family w:val="auto"/>
    <w:pitch w:val="default"/>
    <w:sig w:usb0="00000000" w:usb1="00000000" w:usb2="00000010" w:usb3="00000000" w:csb0="00000001" w:csb1="00000000"/>
  </w:font>
  <w:font w:name="微软雅黑">
    <w:panose1 w:val="020B0503020204020204"/>
    <w:charset w:val="86"/>
    <w:family w:val="swiss"/>
    <w:pitch w:val="default"/>
    <w:sig w:usb0="80000287" w:usb1="2ACF3C50" w:usb2="00000016" w:usb3="00000000" w:csb0="0004001F"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MS Sans Serif">
    <w:altName w:val="Arial"/>
    <w:panose1 w:val="00000000000000000000"/>
    <w:charset w:val="00"/>
    <w:family w:val="swiss"/>
    <w:pitch w:val="default"/>
    <w:sig w:usb0="00000000" w:usb1="00000000" w:usb2="00000000" w:usb3="00000000" w:csb0="00000001" w:csb1="00000000"/>
  </w:font>
  <w:font w:name="长城仿宋">
    <w:altName w:val="宋体"/>
    <w:panose1 w:val="00000000000000000000"/>
    <w:charset w:val="86"/>
    <w:family w:val="modern"/>
    <w:pitch w:val="default"/>
    <w:sig w:usb0="00000000" w:usb1="00000000" w:usb2="00000010" w:usb3="00000000" w:csb0="00040000" w:csb1="00000000"/>
  </w:font>
  <w:font w:name="华文细黑">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9DEE1F">
    <w:pPr>
      <w:pStyle w:val="33"/>
      <w:framePr w:wrap="around" w:vAnchor="text" w:hAnchor="margin" w:xAlign="center" w:y="1"/>
      <w:rPr>
        <w:rStyle w:val="54"/>
      </w:rPr>
    </w:pPr>
    <w:r>
      <w:fldChar w:fldCharType="begin"/>
    </w:r>
    <w:r>
      <w:rPr>
        <w:rStyle w:val="54"/>
      </w:rPr>
      <w:instrText xml:space="preserve">PAGE  </w:instrText>
    </w:r>
    <w:r>
      <w:fldChar w:fldCharType="separate"/>
    </w:r>
    <w:r>
      <w:rPr>
        <w:rStyle w:val="54"/>
      </w:rPr>
      <w:t>48</w:t>
    </w:r>
    <w:r>
      <w:fldChar w:fldCharType="end"/>
    </w:r>
  </w:p>
  <w:p w14:paraId="16587D29">
    <w:pPr>
      <w:pStyle w:val="3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31FFDC">
    <w:pPr>
      <w:pStyle w:val="3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A77B24">
    <w:pPr>
      <w:pStyle w:val="3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24363F">
    <w:pPr>
      <w:pStyle w:val="3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69198D">
                          <w:pPr>
                            <w:pStyle w:val="3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B69198D">
                    <w:pPr>
                      <w:pStyle w:val="33"/>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8096AB">
    <w:pPr>
      <w:pStyle w:val="3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B73C4D6">
                          <w:pPr>
                            <w:pStyle w:val="33"/>
                          </w:pPr>
                          <w:r>
                            <w:fldChar w:fldCharType="begin"/>
                          </w:r>
                          <w:r>
                            <w:instrText xml:space="preserve"> PAGE  \* MERGEFORMAT </w:instrText>
                          </w:r>
                          <w: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2xRpIyAgAAZ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99ejdODiwfgUsdYkaahh4mUutKjFdpd&#10;2/PcmeIEms50k+It39QoZct8uGcOo4HysTzhDp9SGqQ0vUVJZdzXf93HeHQMXkoajFpONTaLEvlB&#10;o5MADIPhBmM3GPqgbg1md4KltDyZeOCCHMzSGfUFG7WKOeBimiNTTsNg3oZu3LGRXKxWKQizZ1nY&#10;6gfLI3SUx9vVIUDOpHIUpVMC3YkHTF/qU78pcbz/PKeop3+H5S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XbFGkjICAABlBAAADgAAAAAAAAABACAAAAAfAQAAZHJzL2Uyb0RvYy54bWxQSwUG&#10;AAAAAAYABgBZAQAAwwUAAAAA&#10;">
              <v:fill on="f" focussize="0,0"/>
              <v:stroke on="f" weight="0.5pt"/>
              <v:imagedata o:title=""/>
              <o:lock v:ext="edit" aspectratio="f"/>
              <v:textbox inset="0mm,0mm,0mm,0mm" style="mso-fit-shape-to-text:t;">
                <w:txbxContent>
                  <w:p w14:paraId="5B73C4D6">
                    <w:pPr>
                      <w:pStyle w:val="33"/>
                    </w:pPr>
                    <w:r>
                      <w:fldChar w:fldCharType="begin"/>
                    </w:r>
                    <w:r>
                      <w:instrText xml:space="preserve"> PAGE  \* MERGEFORMAT </w:instrText>
                    </w:r>
                    <w:r>
                      <w:fldChar w:fldCharType="separate"/>
                    </w:r>
                    <w:r>
                      <w:rPr>
                        <w:rFonts w:hint="eastAsia"/>
                      </w:rPr>
                      <w:t>1</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76329A">
    <w:pPr>
      <w:pStyle w:val="34"/>
      <w:pBdr>
        <w:bottom w:val="none" w:color="auto" w:sz="0" w:space="1"/>
      </w:pBdr>
      <w:tabs>
        <w:tab w:val="clear" w:pos="8306"/>
      </w:tabs>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DEAD83">
    <w:pPr>
      <w:pStyle w:val="34"/>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55DB96"/>
  <w:p w14:paraId="4BFE3512">
    <w:pPr>
      <w:pStyle w:val="34"/>
      <w:pBdr>
        <w:bottom w:val="none" w:color="auto" w:sz="0" w:space="0"/>
      </w:pBdr>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numPicBullet w:numPicBulletId="0">
    <w:pict>
      <v:shape id="0" type="#_x0000_t75" style="width:15px;height:15px" o:bullet="t">
        <v:imagedata r:id="rId1" o:title=""/>
      </v:shape>
    </w:pict>
  </w:numPicBullet>
  <w:numPicBullet w:numPicBulletId="1">
    <w:pict>
      <v:shape id="1" type="#_x0000_t75" style="width:15px;height:15px" o:bullet="t">
        <v:imagedata r:id="rId2" o:title=""/>
      </v:shape>
    </w:pict>
  </w:numPicBullet>
  <w:abstractNum w:abstractNumId="0">
    <w:nsid w:val="E711101E"/>
    <w:multiLevelType w:val="singleLevel"/>
    <w:tmpl w:val="E711101E"/>
    <w:lvl w:ilvl="0" w:tentative="0">
      <w:start w:val="1"/>
      <w:numFmt w:val="decimal"/>
      <w:lvlText w:val="(%1)"/>
      <w:lvlJc w:val="left"/>
      <w:pPr>
        <w:tabs>
          <w:tab w:val="left" w:pos="420"/>
        </w:tabs>
        <w:ind w:left="845" w:hanging="425"/>
      </w:pPr>
      <w:rPr>
        <w:rFonts w:hint="default"/>
      </w:rPr>
    </w:lvl>
  </w:abstractNum>
  <w:abstractNum w:abstractNumId="1">
    <w:nsid w:val="FA2D3D5B"/>
    <w:multiLevelType w:val="singleLevel"/>
    <w:tmpl w:val="FA2D3D5B"/>
    <w:lvl w:ilvl="0" w:tentative="0">
      <w:start w:val="30"/>
      <w:numFmt w:val="decimal"/>
      <w:suff w:val="space"/>
      <w:lvlText w:val="%1."/>
      <w:lvlJc w:val="left"/>
    </w:lvl>
  </w:abstractNum>
  <w:abstractNum w:abstractNumId="2">
    <w:nsid w:val="0000000E"/>
    <w:multiLevelType w:val="multilevel"/>
    <w:tmpl w:val="0000000E"/>
    <w:lvl w:ilvl="0" w:tentative="0">
      <w:start w:val="1"/>
      <w:numFmt w:val="decimal"/>
      <w:pStyle w:val="95"/>
      <w:lvlText w:val="%1）"/>
      <w:lvlJc w:val="left"/>
      <w:pPr>
        <w:ind w:left="1560" w:hanging="720"/>
      </w:pPr>
      <w:rPr>
        <w:rFonts w:hint="eastAsia"/>
        <w:snapToGrid w:val="0"/>
        <w:kern w:val="0"/>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3">
    <w:nsid w:val="0000000F"/>
    <w:multiLevelType w:val="multilevel"/>
    <w:tmpl w:val="0000000F"/>
    <w:lvl w:ilvl="0" w:tentative="0">
      <w:start w:val="1"/>
      <w:numFmt w:val="bullet"/>
      <w:lvlText w:val=""/>
      <w:lvlPicBulletId w:val="0"/>
      <w:lvlJc w:val="left"/>
      <w:pPr>
        <w:tabs>
          <w:tab w:val="left" w:pos="840"/>
        </w:tabs>
        <w:ind w:left="840" w:hanging="420"/>
      </w:pPr>
      <w:rPr>
        <w:rFonts w:hint="default" w:ascii="Wingdings" w:hAnsi="Wingdings"/>
      </w:rPr>
    </w:lvl>
    <w:lvl w:ilvl="1" w:tentative="0">
      <w:start w:val="1"/>
      <w:numFmt w:val="bullet"/>
      <w:pStyle w:val="25"/>
      <w:lvlText w:val=""/>
      <w:lvlPicBulletId w:val="1"/>
      <w:lvlJc w:val="left"/>
      <w:pPr>
        <w:tabs>
          <w:tab w:val="left" w:pos="840"/>
        </w:tabs>
        <w:ind w:left="840" w:hanging="420"/>
      </w:pPr>
      <w:rPr>
        <w:rFonts w:hint="default" w:ascii="Symbol" w:hAnsi="Symbol"/>
        <w:color w:val="auto"/>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09343BCE"/>
    <w:multiLevelType w:val="multilevel"/>
    <w:tmpl w:val="09343BCE"/>
    <w:lvl w:ilvl="0" w:tentative="0">
      <w:start w:val="1"/>
      <w:numFmt w:val="decimal"/>
      <w:lvlText w:val="（%1）"/>
      <w:lvlJc w:val="left"/>
      <w:pPr>
        <w:ind w:left="1146" w:hanging="720"/>
      </w:pPr>
      <w:rPr>
        <w:rFonts w:hint="default"/>
      </w:rPr>
    </w:lvl>
    <w:lvl w:ilvl="1" w:tentative="0">
      <w:start w:val="1"/>
      <w:numFmt w:val="lowerLetter"/>
      <w:lvlText w:val="%2)"/>
      <w:lvlJc w:val="left"/>
      <w:pPr>
        <w:ind w:left="1266" w:hanging="420"/>
      </w:pPr>
    </w:lvl>
    <w:lvl w:ilvl="2" w:tentative="0">
      <w:start w:val="1"/>
      <w:numFmt w:val="lowerRoman"/>
      <w:lvlText w:val="%3."/>
      <w:lvlJc w:val="right"/>
      <w:pPr>
        <w:ind w:left="1686" w:hanging="420"/>
      </w:pPr>
    </w:lvl>
    <w:lvl w:ilvl="3" w:tentative="0">
      <w:start w:val="1"/>
      <w:numFmt w:val="decimal"/>
      <w:lvlText w:val="%4."/>
      <w:lvlJc w:val="left"/>
      <w:pPr>
        <w:ind w:left="2106" w:hanging="420"/>
      </w:p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abstractNum w:abstractNumId="5">
    <w:nsid w:val="1035497F"/>
    <w:multiLevelType w:val="singleLevel"/>
    <w:tmpl w:val="1035497F"/>
    <w:lvl w:ilvl="0" w:tentative="0">
      <w:start w:val="5"/>
      <w:numFmt w:val="decimal"/>
      <w:suff w:val="space"/>
      <w:lvlText w:val="%1."/>
      <w:lvlJc w:val="left"/>
    </w:lvl>
  </w:abstractNum>
  <w:abstractNum w:abstractNumId="6">
    <w:nsid w:val="3CF0316B"/>
    <w:multiLevelType w:val="singleLevel"/>
    <w:tmpl w:val="3CF0316B"/>
    <w:lvl w:ilvl="0" w:tentative="0">
      <w:start w:val="1"/>
      <w:numFmt w:val="decimal"/>
      <w:suff w:val="space"/>
      <w:lvlText w:val="%1."/>
      <w:lvlJc w:val="left"/>
      <w:pPr>
        <w:tabs>
          <w:tab w:val="left" w:pos="0"/>
        </w:tabs>
        <w:ind w:left="0" w:firstLine="0"/>
      </w:pPr>
      <w:rPr>
        <w:rFonts w:hint="default"/>
      </w:rPr>
    </w:lvl>
  </w:abstractNum>
  <w:abstractNum w:abstractNumId="7">
    <w:nsid w:val="416D2876"/>
    <w:multiLevelType w:val="singleLevel"/>
    <w:tmpl w:val="416D2876"/>
    <w:lvl w:ilvl="0" w:tentative="0">
      <w:start w:val="1"/>
      <w:numFmt w:val="decimal"/>
      <w:lvlText w:val="(%1)"/>
      <w:lvlJc w:val="left"/>
      <w:pPr>
        <w:tabs>
          <w:tab w:val="left" w:pos="420"/>
        </w:tabs>
        <w:ind w:left="845" w:hanging="425"/>
      </w:pPr>
      <w:rPr>
        <w:rFonts w:hint="default"/>
      </w:rPr>
    </w:lvl>
  </w:abstractNum>
  <w:abstractNum w:abstractNumId="8">
    <w:nsid w:val="44C50F90"/>
    <w:multiLevelType w:val="multilevel"/>
    <w:tmpl w:val="44C50F90"/>
    <w:lvl w:ilvl="0" w:tentative="0">
      <w:start w:val="1"/>
      <w:numFmt w:val="lowerLetter"/>
      <w:lvlText w:val="%1)"/>
      <w:lvlJc w:val="left"/>
      <w:pPr>
        <w:tabs>
          <w:tab w:val="left" w:pos="735"/>
        </w:tabs>
        <w:ind w:left="734" w:hanging="419"/>
      </w:pPr>
      <w:rPr>
        <w:rFonts w:hint="eastAsia" w:ascii="宋体" w:hAnsi="Times New Roman" w:eastAsia="宋体"/>
        <w:b w:val="0"/>
        <w:i w:val="0"/>
        <w:sz w:val="21"/>
        <w:szCs w:val="21"/>
      </w:rPr>
    </w:lvl>
    <w:lvl w:ilvl="1" w:tentative="0">
      <w:start w:val="1"/>
      <w:numFmt w:val="decimal"/>
      <w:pStyle w:val="304"/>
      <w:lvlText w:val="%2)"/>
      <w:lvlJc w:val="left"/>
      <w:pPr>
        <w:tabs>
          <w:tab w:val="left" w:pos="1260"/>
        </w:tabs>
        <w:ind w:left="1259" w:hanging="419"/>
      </w:pPr>
    </w:lvl>
    <w:lvl w:ilvl="2" w:tentative="0">
      <w:start w:val="1"/>
      <w:numFmt w:val="decimal"/>
      <w:lvlText w:val="(%3)"/>
      <w:lvlJc w:val="left"/>
      <w:pPr>
        <w:tabs>
          <w:tab w:val="left" w:pos="0"/>
        </w:tabs>
        <w:ind w:left="1679" w:hanging="420"/>
      </w:pPr>
      <w:rPr>
        <w:rFonts w:hint="eastAsia" w:ascii="宋体" w:hAnsi="Times New Roman" w:eastAsia="宋体"/>
        <w:b w:val="0"/>
        <w:i w:val="0"/>
        <w:sz w:val="21"/>
        <w:szCs w:val="21"/>
      </w:rPr>
    </w:lvl>
    <w:lvl w:ilvl="3" w:tentative="0">
      <w:start w:val="1"/>
      <w:numFmt w:val="decimal"/>
      <w:lvlText w:val="%4."/>
      <w:lvlJc w:val="left"/>
      <w:pPr>
        <w:tabs>
          <w:tab w:val="left" w:pos="2100"/>
        </w:tabs>
        <w:ind w:left="2099" w:hanging="419"/>
      </w:pPr>
    </w:lvl>
    <w:lvl w:ilvl="4" w:tentative="0">
      <w:start w:val="1"/>
      <w:numFmt w:val="lowerLetter"/>
      <w:lvlText w:val="%5)"/>
      <w:lvlJc w:val="left"/>
      <w:pPr>
        <w:tabs>
          <w:tab w:val="left" w:pos="2520"/>
        </w:tabs>
        <w:ind w:left="2519" w:hanging="419"/>
      </w:pPr>
    </w:lvl>
    <w:lvl w:ilvl="5" w:tentative="0">
      <w:start w:val="1"/>
      <w:numFmt w:val="lowerRoman"/>
      <w:lvlText w:val="%6."/>
      <w:lvlJc w:val="right"/>
      <w:pPr>
        <w:tabs>
          <w:tab w:val="left" w:pos="2940"/>
        </w:tabs>
        <w:ind w:left="2939" w:hanging="419"/>
      </w:pPr>
    </w:lvl>
    <w:lvl w:ilvl="6" w:tentative="0">
      <w:start w:val="1"/>
      <w:numFmt w:val="decimal"/>
      <w:lvlText w:val="%7."/>
      <w:lvlJc w:val="left"/>
      <w:pPr>
        <w:tabs>
          <w:tab w:val="left" w:pos="3360"/>
        </w:tabs>
        <w:ind w:left="3359" w:hanging="419"/>
      </w:pPr>
    </w:lvl>
    <w:lvl w:ilvl="7" w:tentative="0">
      <w:start w:val="1"/>
      <w:numFmt w:val="lowerLetter"/>
      <w:lvlText w:val="%8)"/>
      <w:lvlJc w:val="left"/>
      <w:pPr>
        <w:tabs>
          <w:tab w:val="left" w:pos="3780"/>
        </w:tabs>
        <w:ind w:left="3779" w:hanging="419"/>
      </w:pPr>
    </w:lvl>
    <w:lvl w:ilvl="8" w:tentative="0">
      <w:start w:val="1"/>
      <w:numFmt w:val="lowerRoman"/>
      <w:lvlText w:val="%9."/>
      <w:lvlJc w:val="right"/>
      <w:pPr>
        <w:tabs>
          <w:tab w:val="left" w:pos="4200"/>
        </w:tabs>
        <w:ind w:left="4199" w:hanging="419"/>
      </w:pPr>
    </w:lvl>
  </w:abstractNum>
  <w:abstractNum w:abstractNumId="9">
    <w:nsid w:val="537AA372"/>
    <w:multiLevelType w:val="singleLevel"/>
    <w:tmpl w:val="537AA372"/>
    <w:lvl w:ilvl="0" w:tentative="0">
      <w:start w:val="21"/>
      <w:numFmt w:val="decimal"/>
      <w:suff w:val="space"/>
      <w:lvlText w:val="%1."/>
      <w:lvlJc w:val="left"/>
    </w:lvl>
  </w:abstractNum>
  <w:abstractNum w:abstractNumId="10">
    <w:nsid w:val="624D1350"/>
    <w:multiLevelType w:val="singleLevel"/>
    <w:tmpl w:val="624D1350"/>
    <w:lvl w:ilvl="0" w:tentative="0">
      <w:start w:val="25"/>
      <w:numFmt w:val="decimal"/>
      <w:suff w:val="space"/>
      <w:lvlText w:val="%1."/>
      <w:lvlJc w:val="left"/>
    </w:lvl>
  </w:abstractNum>
  <w:abstractNum w:abstractNumId="11">
    <w:nsid w:val="6CEA2025"/>
    <w:multiLevelType w:val="multilevel"/>
    <w:tmpl w:val="6CEA2025"/>
    <w:lvl w:ilvl="0" w:tentative="0">
      <w:start w:val="1"/>
      <w:numFmt w:val="none"/>
      <w:pStyle w:val="243"/>
      <w:suff w:val="nothing"/>
      <w:lvlText w:val="%1"/>
      <w:lvlJc w:val="left"/>
      <w:pPr>
        <w:ind w:left="0" w:firstLine="0"/>
      </w:pPr>
      <w:rPr>
        <w:rFonts w:hint="default" w:ascii="Times New Roman" w:hAnsi="Times New Roman"/>
        <w:b/>
        <w:i w:val="0"/>
        <w:sz w:val="21"/>
      </w:rPr>
    </w:lvl>
    <w:lvl w:ilvl="1" w:tentative="0">
      <w:start w:val="1"/>
      <w:numFmt w:val="decimal"/>
      <w:pStyle w:val="244"/>
      <w:suff w:val="nothing"/>
      <w:lvlText w:val="%1%2　"/>
      <w:lvlJc w:val="left"/>
      <w:pPr>
        <w:ind w:left="315" w:firstLine="0"/>
      </w:pPr>
      <w:rPr>
        <w:rFonts w:hint="eastAsia" w:ascii="黑体" w:hAnsi="Times New Roman" w:eastAsia="黑体"/>
        <w:b w:val="0"/>
        <w:i w:val="0"/>
        <w:sz w:val="21"/>
      </w:rPr>
    </w:lvl>
    <w:lvl w:ilvl="2" w:tentative="0">
      <w:start w:val="1"/>
      <w:numFmt w:val="decimal"/>
      <w:pStyle w:val="245"/>
      <w:suff w:val="nothing"/>
      <w:lvlText w:val="%1%2.%3　"/>
      <w:lvlJc w:val="left"/>
      <w:pPr>
        <w:ind w:left="630" w:firstLine="0"/>
      </w:pPr>
      <w:rPr>
        <w:rFonts w:hint="eastAsia" w:ascii="黑体" w:hAnsi="Times New Roman" w:eastAsia="黑体"/>
        <w:b w:val="0"/>
        <w:i w:val="0"/>
        <w:sz w:val="21"/>
      </w:rPr>
    </w:lvl>
    <w:lvl w:ilvl="3" w:tentative="0">
      <w:start w:val="1"/>
      <w:numFmt w:val="decimal"/>
      <w:pStyle w:val="246"/>
      <w:suff w:val="nothing"/>
      <w:lvlText w:val="%1%2.%3.%4　"/>
      <w:lvlJc w:val="left"/>
      <w:pPr>
        <w:ind w:left="567" w:firstLine="0"/>
      </w:pPr>
      <w:rPr>
        <w:rFonts w:hint="eastAsia" w:ascii="黑体" w:hAnsi="Times New Roman" w:eastAsia="黑体"/>
        <w:b w:val="0"/>
        <w:i w:val="0"/>
        <w:sz w:val="21"/>
      </w:rPr>
    </w:lvl>
    <w:lvl w:ilvl="4" w:tentative="0">
      <w:start w:val="1"/>
      <w:numFmt w:val="decimal"/>
      <w:pStyle w:val="248"/>
      <w:suff w:val="nothing"/>
      <w:lvlText w:val="%1%2.%3.%4.%5　"/>
      <w:lvlJc w:val="left"/>
      <w:pPr>
        <w:ind w:left="1050" w:firstLine="0"/>
      </w:pPr>
      <w:rPr>
        <w:rFonts w:hint="eastAsia" w:ascii="黑体" w:hAnsi="Times New Roman" w:eastAsia="黑体"/>
        <w:b w:val="0"/>
        <w:i w:val="0"/>
        <w:sz w:val="21"/>
        <w:szCs w:val="21"/>
      </w:rPr>
    </w:lvl>
    <w:lvl w:ilvl="5" w:tentative="0">
      <w:start w:val="1"/>
      <w:numFmt w:val="decimal"/>
      <w:pStyle w:val="249"/>
      <w:suff w:val="nothing"/>
      <w:lvlText w:val="%1%2.%3.%4.%5.%6　"/>
      <w:lvlJc w:val="left"/>
      <w:pPr>
        <w:ind w:left="0" w:firstLine="0"/>
      </w:pPr>
      <w:rPr>
        <w:rFonts w:hint="eastAsia" w:ascii="黑体" w:hAnsi="Times New Roman" w:eastAsia="黑体"/>
        <w:b w:val="0"/>
        <w:i w:val="0"/>
        <w:sz w:val="21"/>
      </w:rPr>
    </w:lvl>
    <w:lvl w:ilvl="6" w:tentative="0">
      <w:start w:val="1"/>
      <w:numFmt w:val="decimal"/>
      <w:pStyle w:val="250"/>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2">
    <w:nsid w:val="74681D32"/>
    <w:multiLevelType w:val="multilevel"/>
    <w:tmpl w:val="74681D32"/>
    <w:lvl w:ilvl="0" w:tentative="0">
      <w:start w:val="1"/>
      <w:numFmt w:val="decimal"/>
      <w:lvlText w:val="%1."/>
      <w:lvlJc w:val="left"/>
      <w:pPr>
        <w:ind w:left="960" w:hanging="360"/>
      </w:pPr>
      <w:rPr>
        <w:rFonts w:hint="default"/>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13">
    <w:nsid w:val="76933334"/>
    <w:multiLevelType w:val="multilevel"/>
    <w:tmpl w:val="76933334"/>
    <w:lvl w:ilvl="0" w:tentative="0">
      <w:start w:val="1"/>
      <w:numFmt w:val="none"/>
      <w:pStyle w:val="247"/>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3"/>
  </w:num>
  <w:num w:numId="2">
    <w:abstractNumId w:val="2"/>
  </w:num>
  <w:num w:numId="3">
    <w:abstractNumId w:val="11"/>
  </w:num>
  <w:num w:numId="4">
    <w:abstractNumId w:val="13"/>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7"/>
  </w:num>
  <w:num w:numId="8">
    <w:abstractNumId w:val="0"/>
  </w:num>
  <w:num w:numId="9">
    <w:abstractNumId w:val="9"/>
  </w:num>
  <w:num w:numId="10">
    <w:abstractNumId w:val="10"/>
  </w:num>
  <w:num w:numId="11">
    <w:abstractNumId w:val="4"/>
  </w:num>
  <w:num w:numId="12">
    <w:abstractNumId w:val="1"/>
  </w:num>
  <w:num w:numId="13">
    <w:abstractNumId w:val="6"/>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U3NDQxYWM0MTczYjBhMzlmYjdkYmMwMzBhMmYwMWMifQ=="/>
  </w:docVars>
  <w:rsids>
    <w:rsidRoot w:val="00172A27"/>
    <w:rsid w:val="000076EB"/>
    <w:rsid w:val="00010824"/>
    <w:rsid w:val="00011C69"/>
    <w:rsid w:val="00012B84"/>
    <w:rsid w:val="00017F4A"/>
    <w:rsid w:val="000206FB"/>
    <w:rsid w:val="0002561E"/>
    <w:rsid w:val="00026358"/>
    <w:rsid w:val="0003091F"/>
    <w:rsid w:val="0003167F"/>
    <w:rsid w:val="00035C01"/>
    <w:rsid w:val="000360A4"/>
    <w:rsid w:val="00037A8B"/>
    <w:rsid w:val="00041AF7"/>
    <w:rsid w:val="000432ED"/>
    <w:rsid w:val="00043EA6"/>
    <w:rsid w:val="00043F6D"/>
    <w:rsid w:val="000449A9"/>
    <w:rsid w:val="00047D64"/>
    <w:rsid w:val="00051DDB"/>
    <w:rsid w:val="000524DF"/>
    <w:rsid w:val="00060BDF"/>
    <w:rsid w:val="00065875"/>
    <w:rsid w:val="000739EC"/>
    <w:rsid w:val="00084E49"/>
    <w:rsid w:val="000864F6"/>
    <w:rsid w:val="00090E0B"/>
    <w:rsid w:val="00091EC9"/>
    <w:rsid w:val="0009361A"/>
    <w:rsid w:val="0009381E"/>
    <w:rsid w:val="00093935"/>
    <w:rsid w:val="0009799D"/>
    <w:rsid w:val="000A15A6"/>
    <w:rsid w:val="000A2D28"/>
    <w:rsid w:val="000A4FE6"/>
    <w:rsid w:val="000B4D6D"/>
    <w:rsid w:val="000B5CCC"/>
    <w:rsid w:val="000C135C"/>
    <w:rsid w:val="000C3906"/>
    <w:rsid w:val="000C5BB6"/>
    <w:rsid w:val="000D231B"/>
    <w:rsid w:val="000D4A95"/>
    <w:rsid w:val="000D6BDC"/>
    <w:rsid w:val="000E103E"/>
    <w:rsid w:val="000E1212"/>
    <w:rsid w:val="000E2D1B"/>
    <w:rsid w:val="000E5101"/>
    <w:rsid w:val="000E638B"/>
    <w:rsid w:val="000F3A5B"/>
    <w:rsid w:val="000F4579"/>
    <w:rsid w:val="000F4DE0"/>
    <w:rsid w:val="001012E7"/>
    <w:rsid w:val="001019AA"/>
    <w:rsid w:val="001027AD"/>
    <w:rsid w:val="00106BC6"/>
    <w:rsid w:val="00112F6D"/>
    <w:rsid w:val="0011313B"/>
    <w:rsid w:val="0012603F"/>
    <w:rsid w:val="00130EAA"/>
    <w:rsid w:val="00134EE0"/>
    <w:rsid w:val="00136E83"/>
    <w:rsid w:val="00145E81"/>
    <w:rsid w:val="001500A1"/>
    <w:rsid w:val="0015108F"/>
    <w:rsid w:val="0015361A"/>
    <w:rsid w:val="00153D2A"/>
    <w:rsid w:val="001618BA"/>
    <w:rsid w:val="00162B16"/>
    <w:rsid w:val="001633CE"/>
    <w:rsid w:val="00167244"/>
    <w:rsid w:val="00170E92"/>
    <w:rsid w:val="00172A27"/>
    <w:rsid w:val="00173C23"/>
    <w:rsid w:val="00175AAF"/>
    <w:rsid w:val="00183796"/>
    <w:rsid w:val="00185079"/>
    <w:rsid w:val="001850DA"/>
    <w:rsid w:val="00187220"/>
    <w:rsid w:val="00194AEF"/>
    <w:rsid w:val="001A31AB"/>
    <w:rsid w:val="001A4716"/>
    <w:rsid w:val="001B023A"/>
    <w:rsid w:val="001B1FDC"/>
    <w:rsid w:val="001B223C"/>
    <w:rsid w:val="001B2823"/>
    <w:rsid w:val="001B354A"/>
    <w:rsid w:val="001B3620"/>
    <w:rsid w:val="001B388E"/>
    <w:rsid w:val="001B3B0E"/>
    <w:rsid w:val="001B7144"/>
    <w:rsid w:val="001C1032"/>
    <w:rsid w:val="001C180D"/>
    <w:rsid w:val="001C2A34"/>
    <w:rsid w:val="001C3B26"/>
    <w:rsid w:val="001D0DA4"/>
    <w:rsid w:val="001D19C2"/>
    <w:rsid w:val="001D3446"/>
    <w:rsid w:val="001D4132"/>
    <w:rsid w:val="001D5293"/>
    <w:rsid w:val="001D5FDA"/>
    <w:rsid w:val="001D634D"/>
    <w:rsid w:val="001E0BCB"/>
    <w:rsid w:val="001E13CC"/>
    <w:rsid w:val="001E5ACA"/>
    <w:rsid w:val="001E6E32"/>
    <w:rsid w:val="001F2DA3"/>
    <w:rsid w:val="001F3C44"/>
    <w:rsid w:val="001F642F"/>
    <w:rsid w:val="00200AA2"/>
    <w:rsid w:val="00210A41"/>
    <w:rsid w:val="0021263B"/>
    <w:rsid w:val="0021351E"/>
    <w:rsid w:val="002156D3"/>
    <w:rsid w:val="0021613C"/>
    <w:rsid w:val="00220DD5"/>
    <w:rsid w:val="00222276"/>
    <w:rsid w:val="0022779B"/>
    <w:rsid w:val="00231621"/>
    <w:rsid w:val="00235E72"/>
    <w:rsid w:val="00237812"/>
    <w:rsid w:val="00240C69"/>
    <w:rsid w:val="00246479"/>
    <w:rsid w:val="00247D31"/>
    <w:rsid w:val="002527EC"/>
    <w:rsid w:val="0026051F"/>
    <w:rsid w:val="00262E9E"/>
    <w:rsid w:val="00264FEE"/>
    <w:rsid w:val="0026552B"/>
    <w:rsid w:val="002713C4"/>
    <w:rsid w:val="0027169F"/>
    <w:rsid w:val="002717D2"/>
    <w:rsid w:val="0027314A"/>
    <w:rsid w:val="00276156"/>
    <w:rsid w:val="0028153C"/>
    <w:rsid w:val="0028435C"/>
    <w:rsid w:val="00290692"/>
    <w:rsid w:val="00290B93"/>
    <w:rsid w:val="002939B1"/>
    <w:rsid w:val="00293DE8"/>
    <w:rsid w:val="0029438A"/>
    <w:rsid w:val="00294F2B"/>
    <w:rsid w:val="002957B2"/>
    <w:rsid w:val="002A0D21"/>
    <w:rsid w:val="002A276A"/>
    <w:rsid w:val="002A5A2C"/>
    <w:rsid w:val="002B1655"/>
    <w:rsid w:val="002B1779"/>
    <w:rsid w:val="002B1CDB"/>
    <w:rsid w:val="002B28F2"/>
    <w:rsid w:val="002B4680"/>
    <w:rsid w:val="002B46E7"/>
    <w:rsid w:val="002B5FA1"/>
    <w:rsid w:val="002B646E"/>
    <w:rsid w:val="002B68F2"/>
    <w:rsid w:val="002B7042"/>
    <w:rsid w:val="002C20D3"/>
    <w:rsid w:val="002C4263"/>
    <w:rsid w:val="002D1DB2"/>
    <w:rsid w:val="002D224B"/>
    <w:rsid w:val="002D225D"/>
    <w:rsid w:val="002D4A13"/>
    <w:rsid w:val="002E321E"/>
    <w:rsid w:val="002E32E8"/>
    <w:rsid w:val="002E4406"/>
    <w:rsid w:val="002E5A17"/>
    <w:rsid w:val="002E601A"/>
    <w:rsid w:val="002F1770"/>
    <w:rsid w:val="002F2F49"/>
    <w:rsid w:val="002F2FB6"/>
    <w:rsid w:val="002F5F72"/>
    <w:rsid w:val="002F6981"/>
    <w:rsid w:val="00304929"/>
    <w:rsid w:val="00310A20"/>
    <w:rsid w:val="00313160"/>
    <w:rsid w:val="003217B1"/>
    <w:rsid w:val="00326D08"/>
    <w:rsid w:val="00334EF7"/>
    <w:rsid w:val="00351550"/>
    <w:rsid w:val="00353CCD"/>
    <w:rsid w:val="00354E99"/>
    <w:rsid w:val="00355542"/>
    <w:rsid w:val="00355C44"/>
    <w:rsid w:val="00367444"/>
    <w:rsid w:val="003703B4"/>
    <w:rsid w:val="0037250B"/>
    <w:rsid w:val="00373E63"/>
    <w:rsid w:val="0037458F"/>
    <w:rsid w:val="003778AA"/>
    <w:rsid w:val="003803CD"/>
    <w:rsid w:val="0038123D"/>
    <w:rsid w:val="003816EF"/>
    <w:rsid w:val="00383DEC"/>
    <w:rsid w:val="0038577F"/>
    <w:rsid w:val="00387748"/>
    <w:rsid w:val="0039011E"/>
    <w:rsid w:val="00394350"/>
    <w:rsid w:val="00394484"/>
    <w:rsid w:val="003A02D7"/>
    <w:rsid w:val="003A0A59"/>
    <w:rsid w:val="003A443C"/>
    <w:rsid w:val="003A6B66"/>
    <w:rsid w:val="003B75AA"/>
    <w:rsid w:val="003C1B37"/>
    <w:rsid w:val="003C5F20"/>
    <w:rsid w:val="003D08D2"/>
    <w:rsid w:val="003D0CD9"/>
    <w:rsid w:val="003D1432"/>
    <w:rsid w:val="003D2F85"/>
    <w:rsid w:val="003D378B"/>
    <w:rsid w:val="003D6CC0"/>
    <w:rsid w:val="003D6F83"/>
    <w:rsid w:val="003E0455"/>
    <w:rsid w:val="003E369E"/>
    <w:rsid w:val="003E6091"/>
    <w:rsid w:val="003E6268"/>
    <w:rsid w:val="003F1C98"/>
    <w:rsid w:val="003F598A"/>
    <w:rsid w:val="00400609"/>
    <w:rsid w:val="00402745"/>
    <w:rsid w:val="0040289E"/>
    <w:rsid w:val="004035B3"/>
    <w:rsid w:val="00410849"/>
    <w:rsid w:val="00421C0B"/>
    <w:rsid w:val="004229B4"/>
    <w:rsid w:val="004247BB"/>
    <w:rsid w:val="00424FDA"/>
    <w:rsid w:val="00424FED"/>
    <w:rsid w:val="00425851"/>
    <w:rsid w:val="00425E9F"/>
    <w:rsid w:val="0042628C"/>
    <w:rsid w:val="00427494"/>
    <w:rsid w:val="0043286E"/>
    <w:rsid w:val="00435785"/>
    <w:rsid w:val="00441E37"/>
    <w:rsid w:val="00442A84"/>
    <w:rsid w:val="00443C15"/>
    <w:rsid w:val="0044619C"/>
    <w:rsid w:val="00456876"/>
    <w:rsid w:val="00465B46"/>
    <w:rsid w:val="00467B48"/>
    <w:rsid w:val="004746FD"/>
    <w:rsid w:val="00476F85"/>
    <w:rsid w:val="00490B57"/>
    <w:rsid w:val="00494A82"/>
    <w:rsid w:val="004A0A68"/>
    <w:rsid w:val="004A4BC1"/>
    <w:rsid w:val="004A6CB2"/>
    <w:rsid w:val="004B012C"/>
    <w:rsid w:val="004B0D73"/>
    <w:rsid w:val="004B4658"/>
    <w:rsid w:val="004B498E"/>
    <w:rsid w:val="004B631E"/>
    <w:rsid w:val="004B69A0"/>
    <w:rsid w:val="004C2993"/>
    <w:rsid w:val="004D1511"/>
    <w:rsid w:val="004D3A80"/>
    <w:rsid w:val="004D5228"/>
    <w:rsid w:val="004E0461"/>
    <w:rsid w:val="004E069A"/>
    <w:rsid w:val="004E7CDF"/>
    <w:rsid w:val="004F204C"/>
    <w:rsid w:val="004F4B90"/>
    <w:rsid w:val="00500014"/>
    <w:rsid w:val="0050046A"/>
    <w:rsid w:val="00504579"/>
    <w:rsid w:val="00504DD9"/>
    <w:rsid w:val="00505D0E"/>
    <w:rsid w:val="00507022"/>
    <w:rsid w:val="005118AC"/>
    <w:rsid w:val="005120B4"/>
    <w:rsid w:val="00520A9F"/>
    <w:rsid w:val="00521994"/>
    <w:rsid w:val="00531619"/>
    <w:rsid w:val="00533DBA"/>
    <w:rsid w:val="005349DD"/>
    <w:rsid w:val="00543323"/>
    <w:rsid w:val="00553423"/>
    <w:rsid w:val="005625EF"/>
    <w:rsid w:val="00562743"/>
    <w:rsid w:val="00562C82"/>
    <w:rsid w:val="0057296E"/>
    <w:rsid w:val="00572DA7"/>
    <w:rsid w:val="00573153"/>
    <w:rsid w:val="00573C62"/>
    <w:rsid w:val="00574517"/>
    <w:rsid w:val="00593302"/>
    <w:rsid w:val="00594BFB"/>
    <w:rsid w:val="005A3176"/>
    <w:rsid w:val="005A3911"/>
    <w:rsid w:val="005B0EE1"/>
    <w:rsid w:val="005B22FF"/>
    <w:rsid w:val="005B4961"/>
    <w:rsid w:val="005B79C7"/>
    <w:rsid w:val="005C1347"/>
    <w:rsid w:val="005C2FC9"/>
    <w:rsid w:val="005C32D0"/>
    <w:rsid w:val="005C3A22"/>
    <w:rsid w:val="005C55A4"/>
    <w:rsid w:val="005C6B61"/>
    <w:rsid w:val="005C75CD"/>
    <w:rsid w:val="005D0DAD"/>
    <w:rsid w:val="005D3236"/>
    <w:rsid w:val="005D391F"/>
    <w:rsid w:val="005D4608"/>
    <w:rsid w:val="005D594D"/>
    <w:rsid w:val="005D5C6A"/>
    <w:rsid w:val="005D626C"/>
    <w:rsid w:val="005E226F"/>
    <w:rsid w:val="005E62A2"/>
    <w:rsid w:val="005E725B"/>
    <w:rsid w:val="005F2153"/>
    <w:rsid w:val="005F5F4A"/>
    <w:rsid w:val="005F65DF"/>
    <w:rsid w:val="005F7683"/>
    <w:rsid w:val="00610176"/>
    <w:rsid w:val="00611981"/>
    <w:rsid w:val="00621F53"/>
    <w:rsid w:val="00622CBE"/>
    <w:rsid w:val="0062765A"/>
    <w:rsid w:val="0063060A"/>
    <w:rsid w:val="00630C07"/>
    <w:rsid w:val="00630C0C"/>
    <w:rsid w:val="0064266B"/>
    <w:rsid w:val="0064366D"/>
    <w:rsid w:val="00643C14"/>
    <w:rsid w:val="00646D85"/>
    <w:rsid w:val="00651B51"/>
    <w:rsid w:val="0065448D"/>
    <w:rsid w:val="006561CA"/>
    <w:rsid w:val="0065724B"/>
    <w:rsid w:val="00660AD9"/>
    <w:rsid w:val="00661C43"/>
    <w:rsid w:val="0066575C"/>
    <w:rsid w:val="00670409"/>
    <w:rsid w:val="00671ACE"/>
    <w:rsid w:val="0067503A"/>
    <w:rsid w:val="00675BB2"/>
    <w:rsid w:val="006760B5"/>
    <w:rsid w:val="00682569"/>
    <w:rsid w:val="00684CC0"/>
    <w:rsid w:val="00685847"/>
    <w:rsid w:val="006859E8"/>
    <w:rsid w:val="00691990"/>
    <w:rsid w:val="00691C24"/>
    <w:rsid w:val="00694AD5"/>
    <w:rsid w:val="006A3C80"/>
    <w:rsid w:val="006A414E"/>
    <w:rsid w:val="006A5F7C"/>
    <w:rsid w:val="006A6858"/>
    <w:rsid w:val="006A7003"/>
    <w:rsid w:val="006B00F6"/>
    <w:rsid w:val="006B31C3"/>
    <w:rsid w:val="006C0DD3"/>
    <w:rsid w:val="006C20DF"/>
    <w:rsid w:val="006C3F78"/>
    <w:rsid w:val="006C6120"/>
    <w:rsid w:val="006C7DB2"/>
    <w:rsid w:val="006D02B6"/>
    <w:rsid w:val="006D063F"/>
    <w:rsid w:val="006D0CE9"/>
    <w:rsid w:val="006D2517"/>
    <w:rsid w:val="006D4A26"/>
    <w:rsid w:val="006D5FD5"/>
    <w:rsid w:val="006D6999"/>
    <w:rsid w:val="006E165D"/>
    <w:rsid w:val="006E4B98"/>
    <w:rsid w:val="006E4E35"/>
    <w:rsid w:val="006E6E80"/>
    <w:rsid w:val="006F1B11"/>
    <w:rsid w:val="006F1E2E"/>
    <w:rsid w:val="006F70E2"/>
    <w:rsid w:val="006F72F9"/>
    <w:rsid w:val="006F7DCD"/>
    <w:rsid w:val="0070043D"/>
    <w:rsid w:val="00705212"/>
    <w:rsid w:val="007079A5"/>
    <w:rsid w:val="007108A1"/>
    <w:rsid w:val="00711EA4"/>
    <w:rsid w:val="00716957"/>
    <w:rsid w:val="00720269"/>
    <w:rsid w:val="007219AF"/>
    <w:rsid w:val="007247E7"/>
    <w:rsid w:val="007249D9"/>
    <w:rsid w:val="00724A04"/>
    <w:rsid w:val="00725394"/>
    <w:rsid w:val="00726A49"/>
    <w:rsid w:val="00732AA0"/>
    <w:rsid w:val="00735AA2"/>
    <w:rsid w:val="00735EA4"/>
    <w:rsid w:val="00740059"/>
    <w:rsid w:val="00740FB3"/>
    <w:rsid w:val="00741789"/>
    <w:rsid w:val="00744A89"/>
    <w:rsid w:val="00745687"/>
    <w:rsid w:val="00747962"/>
    <w:rsid w:val="0075070D"/>
    <w:rsid w:val="00751324"/>
    <w:rsid w:val="0075194C"/>
    <w:rsid w:val="00752C78"/>
    <w:rsid w:val="007603C6"/>
    <w:rsid w:val="00762641"/>
    <w:rsid w:val="00767EB5"/>
    <w:rsid w:val="0077123A"/>
    <w:rsid w:val="00772B56"/>
    <w:rsid w:val="0077391F"/>
    <w:rsid w:val="007755FC"/>
    <w:rsid w:val="00777AD6"/>
    <w:rsid w:val="00781479"/>
    <w:rsid w:val="007820A4"/>
    <w:rsid w:val="007847E9"/>
    <w:rsid w:val="00787F49"/>
    <w:rsid w:val="00790A08"/>
    <w:rsid w:val="0079126F"/>
    <w:rsid w:val="007925D2"/>
    <w:rsid w:val="0079403C"/>
    <w:rsid w:val="007971F8"/>
    <w:rsid w:val="00797C0F"/>
    <w:rsid w:val="007A466D"/>
    <w:rsid w:val="007A5B87"/>
    <w:rsid w:val="007A71C3"/>
    <w:rsid w:val="007B3285"/>
    <w:rsid w:val="007B5519"/>
    <w:rsid w:val="007C4C08"/>
    <w:rsid w:val="007C6A3F"/>
    <w:rsid w:val="007D2F26"/>
    <w:rsid w:val="007D47D5"/>
    <w:rsid w:val="007E1E5B"/>
    <w:rsid w:val="007E260F"/>
    <w:rsid w:val="007E2EF7"/>
    <w:rsid w:val="007E4CA5"/>
    <w:rsid w:val="007E5109"/>
    <w:rsid w:val="007E5F14"/>
    <w:rsid w:val="007E5F57"/>
    <w:rsid w:val="007E71F5"/>
    <w:rsid w:val="007E73B0"/>
    <w:rsid w:val="007F4D32"/>
    <w:rsid w:val="00801DEF"/>
    <w:rsid w:val="0080217E"/>
    <w:rsid w:val="008031F1"/>
    <w:rsid w:val="00804A4E"/>
    <w:rsid w:val="00807872"/>
    <w:rsid w:val="00817CCC"/>
    <w:rsid w:val="00817E5E"/>
    <w:rsid w:val="00826B74"/>
    <w:rsid w:val="00831006"/>
    <w:rsid w:val="008357E9"/>
    <w:rsid w:val="00845769"/>
    <w:rsid w:val="0084595F"/>
    <w:rsid w:val="00855B04"/>
    <w:rsid w:val="00855CA5"/>
    <w:rsid w:val="00862426"/>
    <w:rsid w:val="00865539"/>
    <w:rsid w:val="00867C65"/>
    <w:rsid w:val="00870169"/>
    <w:rsid w:val="00872B82"/>
    <w:rsid w:val="00874426"/>
    <w:rsid w:val="00875626"/>
    <w:rsid w:val="008761AB"/>
    <w:rsid w:val="00881621"/>
    <w:rsid w:val="008855E4"/>
    <w:rsid w:val="00885B23"/>
    <w:rsid w:val="008861AE"/>
    <w:rsid w:val="00886814"/>
    <w:rsid w:val="008934F5"/>
    <w:rsid w:val="008A594E"/>
    <w:rsid w:val="008B4671"/>
    <w:rsid w:val="008B5C32"/>
    <w:rsid w:val="008B7216"/>
    <w:rsid w:val="008C000B"/>
    <w:rsid w:val="008C3554"/>
    <w:rsid w:val="008C4E5C"/>
    <w:rsid w:val="008C633E"/>
    <w:rsid w:val="008C6C96"/>
    <w:rsid w:val="008D228F"/>
    <w:rsid w:val="008D47E6"/>
    <w:rsid w:val="008E1587"/>
    <w:rsid w:val="008E64B8"/>
    <w:rsid w:val="008F0894"/>
    <w:rsid w:val="008F2860"/>
    <w:rsid w:val="008F2A45"/>
    <w:rsid w:val="008F42F1"/>
    <w:rsid w:val="008F4DFF"/>
    <w:rsid w:val="008F5042"/>
    <w:rsid w:val="00902DE7"/>
    <w:rsid w:val="00904AE8"/>
    <w:rsid w:val="009054F9"/>
    <w:rsid w:val="0091049B"/>
    <w:rsid w:val="00912229"/>
    <w:rsid w:val="00915E8C"/>
    <w:rsid w:val="00921008"/>
    <w:rsid w:val="00921EB2"/>
    <w:rsid w:val="009224A5"/>
    <w:rsid w:val="009238F5"/>
    <w:rsid w:val="00927B77"/>
    <w:rsid w:val="009312FA"/>
    <w:rsid w:val="0093690A"/>
    <w:rsid w:val="0094157C"/>
    <w:rsid w:val="00945555"/>
    <w:rsid w:val="0095126F"/>
    <w:rsid w:val="009523E8"/>
    <w:rsid w:val="0095414E"/>
    <w:rsid w:val="00954420"/>
    <w:rsid w:val="00957118"/>
    <w:rsid w:val="00960773"/>
    <w:rsid w:val="00961697"/>
    <w:rsid w:val="009633A0"/>
    <w:rsid w:val="00965083"/>
    <w:rsid w:val="00972AD9"/>
    <w:rsid w:val="00972D74"/>
    <w:rsid w:val="0097394C"/>
    <w:rsid w:val="00976333"/>
    <w:rsid w:val="00976425"/>
    <w:rsid w:val="009807F9"/>
    <w:rsid w:val="009808B4"/>
    <w:rsid w:val="00985D63"/>
    <w:rsid w:val="009864F9"/>
    <w:rsid w:val="0099054D"/>
    <w:rsid w:val="00992349"/>
    <w:rsid w:val="00992AA1"/>
    <w:rsid w:val="00994A20"/>
    <w:rsid w:val="009954FA"/>
    <w:rsid w:val="009A00B0"/>
    <w:rsid w:val="009A10A6"/>
    <w:rsid w:val="009B42B8"/>
    <w:rsid w:val="009B5AAB"/>
    <w:rsid w:val="009B5D0A"/>
    <w:rsid w:val="009B5E2B"/>
    <w:rsid w:val="009B633E"/>
    <w:rsid w:val="009C08A6"/>
    <w:rsid w:val="009C0994"/>
    <w:rsid w:val="009C339F"/>
    <w:rsid w:val="009C401D"/>
    <w:rsid w:val="009C7C3E"/>
    <w:rsid w:val="009D1A82"/>
    <w:rsid w:val="009D1BC2"/>
    <w:rsid w:val="009D4E57"/>
    <w:rsid w:val="009D571B"/>
    <w:rsid w:val="009E6071"/>
    <w:rsid w:val="009E695E"/>
    <w:rsid w:val="009F19A2"/>
    <w:rsid w:val="009F4C1B"/>
    <w:rsid w:val="009F56F2"/>
    <w:rsid w:val="009F61CC"/>
    <w:rsid w:val="00A1373A"/>
    <w:rsid w:val="00A13B44"/>
    <w:rsid w:val="00A14F27"/>
    <w:rsid w:val="00A22E4D"/>
    <w:rsid w:val="00A245D3"/>
    <w:rsid w:val="00A26715"/>
    <w:rsid w:val="00A30D88"/>
    <w:rsid w:val="00A32E49"/>
    <w:rsid w:val="00A32FE3"/>
    <w:rsid w:val="00A34F06"/>
    <w:rsid w:val="00A36093"/>
    <w:rsid w:val="00A369F4"/>
    <w:rsid w:val="00A36F6B"/>
    <w:rsid w:val="00A37966"/>
    <w:rsid w:val="00A4310B"/>
    <w:rsid w:val="00A45ECA"/>
    <w:rsid w:val="00A52C70"/>
    <w:rsid w:val="00A556AC"/>
    <w:rsid w:val="00A60B1F"/>
    <w:rsid w:val="00A62048"/>
    <w:rsid w:val="00A627F3"/>
    <w:rsid w:val="00A62DE0"/>
    <w:rsid w:val="00A65FA9"/>
    <w:rsid w:val="00A747FF"/>
    <w:rsid w:val="00A77387"/>
    <w:rsid w:val="00A80309"/>
    <w:rsid w:val="00A80EE8"/>
    <w:rsid w:val="00A85050"/>
    <w:rsid w:val="00A85AED"/>
    <w:rsid w:val="00A90DBF"/>
    <w:rsid w:val="00A91861"/>
    <w:rsid w:val="00A96E50"/>
    <w:rsid w:val="00AA24F4"/>
    <w:rsid w:val="00AB0C96"/>
    <w:rsid w:val="00AB3A97"/>
    <w:rsid w:val="00AB4466"/>
    <w:rsid w:val="00AB5D9E"/>
    <w:rsid w:val="00AB762D"/>
    <w:rsid w:val="00AB7A64"/>
    <w:rsid w:val="00AB7CB0"/>
    <w:rsid w:val="00AC3C7D"/>
    <w:rsid w:val="00AC5E2A"/>
    <w:rsid w:val="00AD2213"/>
    <w:rsid w:val="00AE1D80"/>
    <w:rsid w:val="00AE4799"/>
    <w:rsid w:val="00AF0FAA"/>
    <w:rsid w:val="00AF1C97"/>
    <w:rsid w:val="00AF28CD"/>
    <w:rsid w:val="00AF7370"/>
    <w:rsid w:val="00B02899"/>
    <w:rsid w:val="00B02F52"/>
    <w:rsid w:val="00B15DFE"/>
    <w:rsid w:val="00B168B4"/>
    <w:rsid w:val="00B20110"/>
    <w:rsid w:val="00B20DF2"/>
    <w:rsid w:val="00B21407"/>
    <w:rsid w:val="00B310FE"/>
    <w:rsid w:val="00B31F50"/>
    <w:rsid w:val="00B32028"/>
    <w:rsid w:val="00B335B1"/>
    <w:rsid w:val="00B35514"/>
    <w:rsid w:val="00B36EA2"/>
    <w:rsid w:val="00B3729D"/>
    <w:rsid w:val="00B46D0B"/>
    <w:rsid w:val="00B51A48"/>
    <w:rsid w:val="00B5212F"/>
    <w:rsid w:val="00B52AF4"/>
    <w:rsid w:val="00B537AA"/>
    <w:rsid w:val="00B56FF2"/>
    <w:rsid w:val="00B70A9D"/>
    <w:rsid w:val="00B72D2A"/>
    <w:rsid w:val="00B8179D"/>
    <w:rsid w:val="00B84903"/>
    <w:rsid w:val="00B92025"/>
    <w:rsid w:val="00B93EAA"/>
    <w:rsid w:val="00B93F2F"/>
    <w:rsid w:val="00B967ED"/>
    <w:rsid w:val="00BA17CC"/>
    <w:rsid w:val="00BA6742"/>
    <w:rsid w:val="00BA7DCB"/>
    <w:rsid w:val="00BB1F02"/>
    <w:rsid w:val="00BB40C2"/>
    <w:rsid w:val="00BC231E"/>
    <w:rsid w:val="00BC3338"/>
    <w:rsid w:val="00BC495B"/>
    <w:rsid w:val="00BC4FE1"/>
    <w:rsid w:val="00BC5F50"/>
    <w:rsid w:val="00BD2C47"/>
    <w:rsid w:val="00BD4D76"/>
    <w:rsid w:val="00BD4E36"/>
    <w:rsid w:val="00BD763B"/>
    <w:rsid w:val="00BE0BD0"/>
    <w:rsid w:val="00BE0C40"/>
    <w:rsid w:val="00BE4C8A"/>
    <w:rsid w:val="00BF0E19"/>
    <w:rsid w:val="00BF1038"/>
    <w:rsid w:val="00BF233E"/>
    <w:rsid w:val="00BF3315"/>
    <w:rsid w:val="00BF63A3"/>
    <w:rsid w:val="00BF6944"/>
    <w:rsid w:val="00C00D16"/>
    <w:rsid w:val="00C053B5"/>
    <w:rsid w:val="00C05BD3"/>
    <w:rsid w:val="00C06780"/>
    <w:rsid w:val="00C06B71"/>
    <w:rsid w:val="00C12DE3"/>
    <w:rsid w:val="00C17134"/>
    <w:rsid w:val="00C20ACB"/>
    <w:rsid w:val="00C22317"/>
    <w:rsid w:val="00C224CF"/>
    <w:rsid w:val="00C271C3"/>
    <w:rsid w:val="00C34B36"/>
    <w:rsid w:val="00C362FD"/>
    <w:rsid w:val="00C4668B"/>
    <w:rsid w:val="00C46A4C"/>
    <w:rsid w:val="00C5104C"/>
    <w:rsid w:val="00C52136"/>
    <w:rsid w:val="00C53775"/>
    <w:rsid w:val="00C57033"/>
    <w:rsid w:val="00C603FA"/>
    <w:rsid w:val="00C6149A"/>
    <w:rsid w:val="00C61A4D"/>
    <w:rsid w:val="00C6281E"/>
    <w:rsid w:val="00C63AD6"/>
    <w:rsid w:val="00C63FF4"/>
    <w:rsid w:val="00C650C0"/>
    <w:rsid w:val="00C72612"/>
    <w:rsid w:val="00C8377E"/>
    <w:rsid w:val="00C93B99"/>
    <w:rsid w:val="00C94EED"/>
    <w:rsid w:val="00C9738A"/>
    <w:rsid w:val="00CA5206"/>
    <w:rsid w:val="00CA6B7F"/>
    <w:rsid w:val="00CB450A"/>
    <w:rsid w:val="00CB5439"/>
    <w:rsid w:val="00CB689E"/>
    <w:rsid w:val="00CB694A"/>
    <w:rsid w:val="00CB77BE"/>
    <w:rsid w:val="00CC0844"/>
    <w:rsid w:val="00CC0E95"/>
    <w:rsid w:val="00CC2D24"/>
    <w:rsid w:val="00CC3041"/>
    <w:rsid w:val="00CD26A8"/>
    <w:rsid w:val="00CD3EB4"/>
    <w:rsid w:val="00CD68B8"/>
    <w:rsid w:val="00CE1EC9"/>
    <w:rsid w:val="00CE68B4"/>
    <w:rsid w:val="00CE768C"/>
    <w:rsid w:val="00D01379"/>
    <w:rsid w:val="00D0569E"/>
    <w:rsid w:val="00D23560"/>
    <w:rsid w:val="00D25854"/>
    <w:rsid w:val="00D27402"/>
    <w:rsid w:val="00D30536"/>
    <w:rsid w:val="00D31E4B"/>
    <w:rsid w:val="00D325EA"/>
    <w:rsid w:val="00D35348"/>
    <w:rsid w:val="00D3565A"/>
    <w:rsid w:val="00D411BC"/>
    <w:rsid w:val="00D41306"/>
    <w:rsid w:val="00D45F64"/>
    <w:rsid w:val="00D506F5"/>
    <w:rsid w:val="00D51A3F"/>
    <w:rsid w:val="00D54273"/>
    <w:rsid w:val="00D55ADC"/>
    <w:rsid w:val="00D62DF1"/>
    <w:rsid w:val="00D667BC"/>
    <w:rsid w:val="00D66BBD"/>
    <w:rsid w:val="00D67830"/>
    <w:rsid w:val="00D71514"/>
    <w:rsid w:val="00D72228"/>
    <w:rsid w:val="00D72BB3"/>
    <w:rsid w:val="00D75CAE"/>
    <w:rsid w:val="00D761EE"/>
    <w:rsid w:val="00D80FE1"/>
    <w:rsid w:val="00D829AD"/>
    <w:rsid w:val="00D83EE7"/>
    <w:rsid w:val="00D852B7"/>
    <w:rsid w:val="00D860F4"/>
    <w:rsid w:val="00D8765D"/>
    <w:rsid w:val="00D91269"/>
    <w:rsid w:val="00D912A3"/>
    <w:rsid w:val="00D92486"/>
    <w:rsid w:val="00D9350B"/>
    <w:rsid w:val="00D96F9A"/>
    <w:rsid w:val="00DA178E"/>
    <w:rsid w:val="00DA1939"/>
    <w:rsid w:val="00DA2674"/>
    <w:rsid w:val="00DA6A22"/>
    <w:rsid w:val="00DC0934"/>
    <w:rsid w:val="00DD10CD"/>
    <w:rsid w:val="00DE0471"/>
    <w:rsid w:val="00DE2A91"/>
    <w:rsid w:val="00DE3536"/>
    <w:rsid w:val="00DE4818"/>
    <w:rsid w:val="00DF2F86"/>
    <w:rsid w:val="00DF4D97"/>
    <w:rsid w:val="00DF780E"/>
    <w:rsid w:val="00E04115"/>
    <w:rsid w:val="00E05A25"/>
    <w:rsid w:val="00E06BE5"/>
    <w:rsid w:val="00E114E0"/>
    <w:rsid w:val="00E11E91"/>
    <w:rsid w:val="00E127EE"/>
    <w:rsid w:val="00E14C04"/>
    <w:rsid w:val="00E15234"/>
    <w:rsid w:val="00E1663B"/>
    <w:rsid w:val="00E251B3"/>
    <w:rsid w:val="00E26CB6"/>
    <w:rsid w:val="00E32C0B"/>
    <w:rsid w:val="00E33989"/>
    <w:rsid w:val="00E34F72"/>
    <w:rsid w:val="00E41A7C"/>
    <w:rsid w:val="00E42196"/>
    <w:rsid w:val="00E43AA8"/>
    <w:rsid w:val="00E43FE5"/>
    <w:rsid w:val="00E44511"/>
    <w:rsid w:val="00E547C7"/>
    <w:rsid w:val="00E54D24"/>
    <w:rsid w:val="00E6011D"/>
    <w:rsid w:val="00E66313"/>
    <w:rsid w:val="00E663AD"/>
    <w:rsid w:val="00E667D8"/>
    <w:rsid w:val="00E71EEB"/>
    <w:rsid w:val="00E723ED"/>
    <w:rsid w:val="00E80D1E"/>
    <w:rsid w:val="00E81B72"/>
    <w:rsid w:val="00E85A51"/>
    <w:rsid w:val="00E90FA3"/>
    <w:rsid w:val="00E950EE"/>
    <w:rsid w:val="00E972E9"/>
    <w:rsid w:val="00EA4AF9"/>
    <w:rsid w:val="00EB1478"/>
    <w:rsid w:val="00EB17A4"/>
    <w:rsid w:val="00EB3115"/>
    <w:rsid w:val="00EB330A"/>
    <w:rsid w:val="00EB34F2"/>
    <w:rsid w:val="00EB556C"/>
    <w:rsid w:val="00EB5B56"/>
    <w:rsid w:val="00EB75AB"/>
    <w:rsid w:val="00EC4AB3"/>
    <w:rsid w:val="00EC603D"/>
    <w:rsid w:val="00EC618E"/>
    <w:rsid w:val="00EC7BAA"/>
    <w:rsid w:val="00ED12D4"/>
    <w:rsid w:val="00ED4E89"/>
    <w:rsid w:val="00EE20B7"/>
    <w:rsid w:val="00EE31C7"/>
    <w:rsid w:val="00EE7F37"/>
    <w:rsid w:val="00EF17CE"/>
    <w:rsid w:val="00EF77C3"/>
    <w:rsid w:val="00F00998"/>
    <w:rsid w:val="00F05477"/>
    <w:rsid w:val="00F06D26"/>
    <w:rsid w:val="00F0784F"/>
    <w:rsid w:val="00F10E30"/>
    <w:rsid w:val="00F204B5"/>
    <w:rsid w:val="00F22F9D"/>
    <w:rsid w:val="00F2464A"/>
    <w:rsid w:val="00F25E73"/>
    <w:rsid w:val="00F26088"/>
    <w:rsid w:val="00F41DAF"/>
    <w:rsid w:val="00F44F67"/>
    <w:rsid w:val="00F52936"/>
    <w:rsid w:val="00F52B8C"/>
    <w:rsid w:val="00F602DF"/>
    <w:rsid w:val="00F67C33"/>
    <w:rsid w:val="00F7008C"/>
    <w:rsid w:val="00F704E9"/>
    <w:rsid w:val="00F74506"/>
    <w:rsid w:val="00F74A57"/>
    <w:rsid w:val="00F77351"/>
    <w:rsid w:val="00F81A9D"/>
    <w:rsid w:val="00F83C5D"/>
    <w:rsid w:val="00F83DAA"/>
    <w:rsid w:val="00F854CB"/>
    <w:rsid w:val="00F92E18"/>
    <w:rsid w:val="00F9422F"/>
    <w:rsid w:val="00F95CCB"/>
    <w:rsid w:val="00F977A0"/>
    <w:rsid w:val="00FA1D2C"/>
    <w:rsid w:val="00FA1F1A"/>
    <w:rsid w:val="00FA2237"/>
    <w:rsid w:val="00FA2C5D"/>
    <w:rsid w:val="00FA5FF9"/>
    <w:rsid w:val="00FB49E3"/>
    <w:rsid w:val="00FB64AE"/>
    <w:rsid w:val="00FB7DA7"/>
    <w:rsid w:val="00FC2897"/>
    <w:rsid w:val="00FD2F77"/>
    <w:rsid w:val="00FD2F93"/>
    <w:rsid w:val="00FD71F3"/>
    <w:rsid w:val="00FE0F0F"/>
    <w:rsid w:val="00FE423D"/>
    <w:rsid w:val="00FE7373"/>
    <w:rsid w:val="00FF1ECD"/>
    <w:rsid w:val="00FF522D"/>
    <w:rsid w:val="00FF6AE6"/>
    <w:rsid w:val="010827C0"/>
    <w:rsid w:val="01086C64"/>
    <w:rsid w:val="01115B19"/>
    <w:rsid w:val="01170C55"/>
    <w:rsid w:val="011C6431"/>
    <w:rsid w:val="01276CE6"/>
    <w:rsid w:val="01347A59"/>
    <w:rsid w:val="0136732D"/>
    <w:rsid w:val="01391AF7"/>
    <w:rsid w:val="01396E1E"/>
    <w:rsid w:val="013C06BC"/>
    <w:rsid w:val="01487061"/>
    <w:rsid w:val="014F03EF"/>
    <w:rsid w:val="01521C8D"/>
    <w:rsid w:val="0156177E"/>
    <w:rsid w:val="015974C0"/>
    <w:rsid w:val="01610122"/>
    <w:rsid w:val="016814B1"/>
    <w:rsid w:val="01877B89"/>
    <w:rsid w:val="018C1643"/>
    <w:rsid w:val="018C33F1"/>
    <w:rsid w:val="018E53BB"/>
    <w:rsid w:val="019404F8"/>
    <w:rsid w:val="0194674A"/>
    <w:rsid w:val="01A26771"/>
    <w:rsid w:val="01A56820"/>
    <w:rsid w:val="01A71FD9"/>
    <w:rsid w:val="01A87AFF"/>
    <w:rsid w:val="01A95C2A"/>
    <w:rsid w:val="01AA1AC9"/>
    <w:rsid w:val="01B73196"/>
    <w:rsid w:val="01B82438"/>
    <w:rsid w:val="01BA61B0"/>
    <w:rsid w:val="01BD35AB"/>
    <w:rsid w:val="01C0309B"/>
    <w:rsid w:val="01C74429"/>
    <w:rsid w:val="01D32DCE"/>
    <w:rsid w:val="01D92217"/>
    <w:rsid w:val="01DB0F21"/>
    <w:rsid w:val="01EA0118"/>
    <w:rsid w:val="01F85948"/>
    <w:rsid w:val="01FA47FF"/>
    <w:rsid w:val="01FE5971"/>
    <w:rsid w:val="020E2058"/>
    <w:rsid w:val="02104C13"/>
    <w:rsid w:val="021533E7"/>
    <w:rsid w:val="02186A33"/>
    <w:rsid w:val="02223D56"/>
    <w:rsid w:val="022C6982"/>
    <w:rsid w:val="02335DA9"/>
    <w:rsid w:val="023870D5"/>
    <w:rsid w:val="024617F2"/>
    <w:rsid w:val="024A0BB7"/>
    <w:rsid w:val="024E4B4B"/>
    <w:rsid w:val="025263E9"/>
    <w:rsid w:val="02571C51"/>
    <w:rsid w:val="025D2470"/>
    <w:rsid w:val="025D6B3C"/>
    <w:rsid w:val="026305F6"/>
    <w:rsid w:val="02680110"/>
    <w:rsid w:val="02783976"/>
    <w:rsid w:val="027D1EDC"/>
    <w:rsid w:val="0284056C"/>
    <w:rsid w:val="02906F11"/>
    <w:rsid w:val="029415CA"/>
    <w:rsid w:val="02954528"/>
    <w:rsid w:val="02963DFC"/>
    <w:rsid w:val="02973AA1"/>
    <w:rsid w:val="02A12ECC"/>
    <w:rsid w:val="02A227A1"/>
    <w:rsid w:val="02A604E3"/>
    <w:rsid w:val="02AA6F17"/>
    <w:rsid w:val="02BC7D06"/>
    <w:rsid w:val="02C62933"/>
    <w:rsid w:val="02C941D1"/>
    <w:rsid w:val="02E46D6A"/>
    <w:rsid w:val="02E5725D"/>
    <w:rsid w:val="02E6429D"/>
    <w:rsid w:val="02E80AFB"/>
    <w:rsid w:val="02E828A9"/>
    <w:rsid w:val="02ED6112"/>
    <w:rsid w:val="02ED7EC0"/>
    <w:rsid w:val="030516AD"/>
    <w:rsid w:val="03142715"/>
    <w:rsid w:val="03232622"/>
    <w:rsid w:val="03237D85"/>
    <w:rsid w:val="032B09E8"/>
    <w:rsid w:val="032E5AB3"/>
    <w:rsid w:val="0332621A"/>
    <w:rsid w:val="033461FC"/>
    <w:rsid w:val="03367AB9"/>
    <w:rsid w:val="034104E4"/>
    <w:rsid w:val="03435D32"/>
    <w:rsid w:val="03457CFC"/>
    <w:rsid w:val="034C72DC"/>
    <w:rsid w:val="034D4FEF"/>
    <w:rsid w:val="0350044F"/>
    <w:rsid w:val="03541CED"/>
    <w:rsid w:val="035B751F"/>
    <w:rsid w:val="036A1510"/>
    <w:rsid w:val="0374238F"/>
    <w:rsid w:val="03800D34"/>
    <w:rsid w:val="0380752A"/>
    <w:rsid w:val="03810E94"/>
    <w:rsid w:val="038720C2"/>
    <w:rsid w:val="03993BA4"/>
    <w:rsid w:val="03AC38D7"/>
    <w:rsid w:val="03B60BF9"/>
    <w:rsid w:val="03B629A7"/>
    <w:rsid w:val="03B92498"/>
    <w:rsid w:val="03BD5AE4"/>
    <w:rsid w:val="03BE360A"/>
    <w:rsid w:val="03BE7AAE"/>
    <w:rsid w:val="03C03826"/>
    <w:rsid w:val="03C07382"/>
    <w:rsid w:val="03C230FA"/>
    <w:rsid w:val="03C3303C"/>
    <w:rsid w:val="03C4317A"/>
    <w:rsid w:val="03C70711"/>
    <w:rsid w:val="03C84489"/>
    <w:rsid w:val="03D270B5"/>
    <w:rsid w:val="03D33559"/>
    <w:rsid w:val="03D35307"/>
    <w:rsid w:val="03DB41BC"/>
    <w:rsid w:val="03E219EE"/>
    <w:rsid w:val="03EC0177"/>
    <w:rsid w:val="03EE3EEF"/>
    <w:rsid w:val="0405748B"/>
    <w:rsid w:val="04073203"/>
    <w:rsid w:val="040D64B5"/>
    <w:rsid w:val="041A1F5F"/>
    <w:rsid w:val="041B6CAE"/>
    <w:rsid w:val="041E1097"/>
    <w:rsid w:val="042E69E2"/>
    <w:rsid w:val="043438CC"/>
    <w:rsid w:val="04365896"/>
    <w:rsid w:val="04406715"/>
    <w:rsid w:val="04446205"/>
    <w:rsid w:val="04477B9D"/>
    <w:rsid w:val="0449381C"/>
    <w:rsid w:val="04576BB0"/>
    <w:rsid w:val="04581CB1"/>
    <w:rsid w:val="045A3333"/>
    <w:rsid w:val="045C7D59"/>
    <w:rsid w:val="046441B2"/>
    <w:rsid w:val="04695C6C"/>
    <w:rsid w:val="046B3792"/>
    <w:rsid w:val="04781A0B"/>
    <w:rsid w:val="0486237A"/>
    <w:rsid w:val="04874841"/>
    <w:rsid w:val="048B7990"/>
    <w:rsid w:val="048D5BAA"/>
    <w:rsid w:val="049251C3"/>
    <w:rsid w:val="04A44EF6"/>
    <w:rsid w:val="04AB3B8E"/>
    <w:rsid w:val="04AE7B23"/>
    <w:rsid w:val="04AF0DC0"/>
    <w:rsid w:val="04B17D98"/>
    <w:rsid w:val="04B70785"/>
    <w:rsid w:val="04BA0275"/>
    <w:rsid w:val="04BD7D66"/>
    <w:rsid w:val="04C42EA2"/>
    <w:rsid w:val="04C91410"/>
    <w:rsid w:val="04D17976"/>
    <w:rsid w:val="04E13A54"/>
    <w:rsid w:val="04E35F2C"/>
    <w:rsid w:val="04E62E18"/>
    <w:rsid w:val="04EB4ECE"/>
    <w:rsid w:val="04F04BD3"/>
    <w:rsid w:val="04F75026"/>
    <w:rsid w:val="04FE4606"/>
    <w:rsid w:val="04FF3EDA"/>
    <w:rsid w:val="050D4849"/>
    <w:rsid w:val="051060E7"/>
    <w:rsid w:val="05137986"/>
    <w:rsid w:val="05157BA2"/>
    <w:rsid w:val="051A51B8"/>
    <w:rsid w:val="052D0A47"/>
    <w:rsid w:val="053371D4"/>
    <w:rsid w:val="0537115D"/>
    <w:rsid w:val="053B700A"/>
    <w:rsid w:val="0543026B"/>
    <w:rsid w:val="05507F0F"/>
    <w:rsid w:val="05551447"/>
    <w:rsid w:val="05575AC4"/>
    <w:rsid w:val="05595CE0"/>
    <w:rsid w:val="055F19BB"/>
    <w:rsid w:val="05600E1D"/>
    <w:rsid w:val="056106F1"/>
    <w:rsid w:val="05812B41"/>
    <w:rsid w:val="058B39C0"/>
    <w:rsid w:val="05900FD6"/>
    <w:rsid w:val="059138AB"/>
    <w:rsid w:val="05A76A4C"/>
    <w:rsid w:val="05A9381E"/>
    <w:rsid w:val="05AD1B88"/>
    <w:rsid w:val="05B253F0"/>
    <w:rsid w:val="05B64EE1"/>
    <w:rsid w:val="05BB42A5"/>
    <w:rsid w:val="05BC064C"/>
    <w:rsid w:val="05C313AC"/>
    <w:rsid w:val="05C375FE"/>
    <w:rsid w:val="05C80770"/>
    <w:rsid w:val="05CA3B1B"/>
    <w:rsid w:val="05CA44E8"/>
    <w:rsid w:val="05D215EF"/>
    <w:rsid w:val="05D40F8A"/>
    <w:rsid w:val="05D709B3"/>
    <w:rsid w:val="05E91F4B"/>
    <w:rsid w:val="05E97CB2"/>
    <w:rsid w:val="05EA6938"/>
    <w:rsid w:val="05EC445F"/>
    <w:rsid w:val="05F257ED"/>
    <w:rsid w:val="05F6352F"/>
    <w:rsid w:val="05F94DCD"/>
    <w:rsid w:val="05FD48BE"/>
    <w:rsid w:val="060D6A3B"/>
    <w:rsid w:val="06150573"/>
    <w:rsid w:val="06193B1E"/>
    <w:rsid w:val="0619597F"/>
    <w:rsid w:val="061C626A"/>
    <w:rsid w:val="062067FE"/>
    <w:rsid w:val="0622219B"/>
    <w:rsid w:val="06345E06"/>
    <w:rsid w:val="06383B48"/>
    <w:rsid w:val="06383C8B"/>
    <w:rsid w:val="063858F6"/>
    <w:rsid w:val="063B7194"/>
    <w:rsid w:val="06431DD6"/>
    <w:rsid w:val="06451DC1"/>
    <w:rsid w:val="064A5629"/>
    <w:rsid w:val="06513A19"/>
    <w:rsid w:val="06563FCE"/>
    <w:rsid w:val="06585F98"/>
    <w:rsid w:val="06606BFB"/>
    <w:rsid w:val="06652463"/>
    <w:rsid w:val="066A5A55"/>
    <w:rsid w:val="066C1A43"/>
    <w:rsid w:val="0673692E"/>
    <w:rsid w:val="0676641E"/>
    <w:rsid w:val="06783F44"/>
    <w:rsid w:val="068D470D"/>
    <w:rsid w:val="068F128E"/>
    <w:rsid w:val="069A210C"/>
    <w:rsid w:val="069D1BFD"/>
    <w:rsid w:val="06AB60C8"/>
    <w:rsid w:val="06AB6FF1"/>
    <w:rsid w:val="06AC1E40"/>
    <w:rsid w:val="06AE7966"/>
    <w:rsid w:val="06B37672"/>
    <w:rsid w:val="06B900B8"/>
    <w:rsid w:val="06BD229F"/>
    <w:rsid w:val="06BD404D"/>
    <w:rsid w:val="06C54CB0"/>
    <w:rsid w:val="06C6067E"/>
    <w:rsid w:val="06C90C44"/>
    <w:rsid w:val="06CE1DB6"/>
    <w:rsid w:val="06D01FD2"/>
    <w:rsid w:val="06DF18E2"/>
    <w:rsid w:val="06E15F8D"/>
    <w:rsid w:val="06EC66E0"/>
    <w:rsid w:val="06F23CF7"/>
    <w:rsid w:val="06F40C24"/>
    <w:rsid w:val="06F86E33"/>
    <w:rsid w:val="06FA58B5"/>
    <w:rsid w:val="06FD08ED"/>
    <w:rsid w:val="0707497A"/>
    <w:rsid w:val="070752C8"/>
    <w:rsid w:val="07100621"/>
    <w:rsid w:val="072365A6"/>
    <w:rsid w:val="07375BAD"/>
    <w:rsid w:val="07394A3D"/>
    <w:rsid w:val="073E6F3C"/>
    <w:rsid w:val="07416329"/>
    <w:rsid w:val="0744651C"/>
    <w:rsid w:val="074D717F"/>
    <w:rsid w:val="074F1551"/>
    <w:rsid w:val="074F5A1D"/>
    <w:rsid w:val="07501B9E"/>
    <w:rsid w:val="07524795"/>
    <w:rsid w:val="075C73C2"/>
    <w:rsid w:val="07634BF4"/>
    <w:rsid w:val="07666493"/>
    <w:rsid w:val="076F161C"/>
    <w:rsid w:val="07746E01"/>
    <w:rsid w:val="07750484"/>
    <w:rsid w:val="077C74E6"/>
    <w:rsid w:val="077E558A"/>
    <w:rsid w:val="078B414B"/>
    <w:rsid w:val="078E1545"/>
    <w:rsid w:val="078F59E9"/>
    <w:rsid w:val="07921036"/>
    <w:rsid w:val="079D726B"/>
    <w:rsid w:val="07AF7E3A"/>
    <w:rsid w:val="07B45450"/>
    <w:rsid w:val="07B54D24"/>
    <w:rsid w:val="07CC279A"/>
    <w:rsid w:val="07E07FF3"/>
    <w:rsid w:val="07E27170"/>
    <w:rsid w:val="07E927DE"/>
    <w:rsid w:val="07F27D26"/>
    <w:rsid w:val="07F341CA"/>
    <w:rsid w:val="080261BB"/>
    <w:rsid w:val="08030185"/>
    <w:rsid w:val="080A1514"/>
    <w:rsid w:val="080C0DE8"/>
    <w:rsid w:val="080C703A"/>
    <w:rsid w:val="080F08D8"/>
    <w:rsid w:val="08145EEF"/>
    <w:rsid w:val="08167EB9"/>
    <w:rsid w:val="08185D1F"/>
    <w:rsid w:val="08275C22"/>
    <w:rsid w:val="082B0E32"/>
    <w:rsid w:val="082D6FB0"/>
    <w:rsid w:val="0838785B"/>
    <w:rsid w:val="083E2F6B"/>
    <w:rsid w:val="0845254C"/>
    <w:rsid w:val="08487157"/>
    <w:rsid w:val="084D5692"/>
    <w:rsid w:val="084F5179"/>
    <w:rsid w:val="08517143"/>
    <w:rsid w:val="085B58CB"/>
    <w:rsid w:val="085D1644"/>
    <w:rsid w:val="085E53BC"/>
    <w:rsid w:val="086230FE"/>
    <w:rsid w:val="086C7AD9"/>
    <w:rsid w:val="08727C1D"/>
    <w:rsid w:val="08760957"/>
    <w:rsid w:val="087D0B78"/>
    <w:rsid w:val="08874912"/>
    <w:rsid w:val="08894DF6"/>
    <w:rsid w:val="0895702F"/>
    <w:rsid w:val="08A94889"/>
    <w:rsid w:val="08B927DF"/>
    <w:rsid w:val="08BD0334"/>
    <w:rsid w:val="08C72F61"/>
    <w:rsid w:val="08CE42EF"/>
    <w:rsid w:val="08F5187C"/>
    <w:rsid w:val="08F875BE"/>
    <w:rsid w:val="090146C5"/>
    <w:rsid w:val="090441B5"/>
    <w:rsid w:val="090D306A"/>
    <w:rsid w:val="09102B5A"/>
    <w:rsid w:val="0911242E"/>
    <w:rsid w:val="09153CCC"/>
    <w:rsid w:val="0920129B"/>
    <w:rsid w:val="09246605"/>
    <w:rsid w:val="0925299D"/>
    <w:rsid w:val="092E2FE0"/>
    <w:rsid w:val="093F343F"/>
    <w:rsid w:val="0946032A"/>
    <w:rsid w:val="09497E1A"/>
    <w:rsid w:val="094E5430"/>
    <w:rsid w:val="095073FA"/>
    <w:rsid w:val="0966277A"/>
    <w:rsid w:val="09670B6A"/>
    <w:rsid w:val="096864F2"/>
    <w:rsid w:val="09694018"/>
    <w:rsid w:val="096A04BC"/>
    <w:rsid w:val="097053A7"/>
    <w:rsid w:val="09734E97"/>
    <w:rsid w:val="0978425B"/>
    <w:rsid w:val="098175B4"/>
    <w:rsid w:val="09823E4D"/>
    <w:rsid w:val="098805B6"/>
    <w:rsid w:val="098852A8"/>
    <w:rsid w:val="098B21E0"/>
    <w:rsid w:val="09912F57"/>
    <w:rsid w:val="0995305F"/>
    <w:rsid w:val="09992B4F"/>
    <w:rsid w:val="099A2423"/>
    <w:rsid w:val="09A06B78"/>
    <w:rsid w:val="09AA4D5C"/>
    <w:rsid w:val="09B259BF"/>
    <w:rsid w:val="09B94817"/>
    <w:rsid w:val="09C13E54"/>
    <w:rsid w:val="09C676BC"/>
    <w:rsid w:val="09D5345C"/>
    <w:rsid w:val="09D61CB2"/>
    <w:rsid w:val="09DE4A06"/>
    <w:rsid w:val="09E0252C"/>
    <w:rsid w:val="09E10052"/>
    <w:rsid w:val="09E33DCA"/>
    <w:rsid w:val="09EA3E64"/>
    <w:rsid w:val="09EC352B"/>
    <w:rsid w:val="09EF451D"/>
    <w:rsid w:val="09F2400E"/>
    <w:rsid w:val="0A0124A3"/>
    <w:rsid w:val="0A026CDD"/>
    <w:rsid w:val="0A0A57FB"/>
    <w:rsid w:val="0A123F9D"/>
    <w:rsid w:val="0A1E12A6"/>
    <w:rsid w:val="0A1E4E03"/>
    <w:rsid w:val="0A23066B"/>
    <w:rsid w:val="0A256191"/>
    <w:rsid w:val="0A2F0DBE"/>
    <w:rsid w:val="0A377FFE"/>
    <w:rsid w:val="0A3C34DB"/>
    <w:rsid w:val="0A3D172D"/>
    <w:rsid w:val="0A442A3C"/>
    <w:rsid w:val="0A4B18CE"/>
    <w:rsid w:val="0A4D56E8"/>
    <w:rsid w:val="0A546A76"/>
    <w:rsid w:val="0A595E3B"/>
    <w:rsid w:val="0A601059"/>
    <w:rsid w:val="0A622F41"/>
    <w:rsid w:val="0A632656"/>
    <w:rsid w:val="0A717628"/>
    <w:rsid w:val="0A7333A0"/>
    <w:rsid w:val="0A7B4003"/>
    <w:rsid w:val="0A8A4B12"/>
    <w:rsid w:val="0A8C635F"/>
    <w:rsid w:val="0A8C7FBE"/>
    <w:rsid w:val="0A913826"/>
    <w:rsid w:val="0A9925EA"/>
    <w:rsid w:val="0A9B28F7"/>
    <w:rsid w:val="0A9F4195"/>
    <w:rsid w:val="0AA47849"/>
    <w:rsid w:val="0AB2170F"/>
    <w:rsid w:val="0AB25DFE"/>
    <w:rsid w:val="0AB80DB3"/>
    <w:rsid w:val="0AC260D6"/>
    <w:rsid w:val="0AC736EC"/>
    <w:rsid w:val="0AC800D5"/>
    <w:rsid w:val="0AD96F7B"/>
    <w:rsid w:val="0ADB7197"/>
    <w:rsid w:val="0AE0030A"/>
    <w:rsid w:val="0AE222D4"/>
    <w:rsid w:val="0AEC6CAF"/>
    <w:rsid w:val="0AF331BD"/>
    <w:rsid w:val="0AF94A91"/>
    <w:rsid w:val="0AFA19A7"/>
    <w:rsid w:val="0AFB3396"/>
    <w:rsid w:val="0AFF69E2"/>
    <w:rsid w:val="0B071D3B"/>
    <w:rsid w:val="0B0B0A13"/>
    <w:rsid w:val="0B0D6E40"/>
    <w:rsid w:val="0B181252"/>
    <w:rsid w:val="0B1E661A"/>
    <w:rsid w:val="0B2543AA"/>
    <w:rsid w:val="0B293A5F"/>
    <w:rsid w:val="0B297F03"/>
    <w:rsid w:val="0B370B78"/>
    <w:rsid w:val="0B3A546B"/>
    <w:rsid w:val="0B3F7726"/>
    <w:rsid w:val="0B422D73"/>
    <w:rsid w:val="0B5807E8"/>
    <w:rsid w:val="0B651CEF"/>
    <w:rsid w:val="0B7C44D7"/>
    <w:rsid w:val="0B890A29"/>
    <w:rsid w:val="0B894B7C"/>
    <w:rsid w:val="0B9101D3"/>
    <w:rsid w:val="0B9A670B"/>
    <w:rsid w:val="0B9D675D"/>
    <w:rsid w:val="0BB2614A"/>
    <w:rsid w:val="0BB7550F"/>
    <w:rsid w:val="0BB93035"/>
    <w:rsid w:val="0BC1013B"/>
    <w:rsid w:val="0BC74660"/>
    <w:rsid w:val="0BC814CA"/>
    <w:rsid w:val="0BCD6AE0"/>
    <w:rsid w:val="0BD05CAE"/>
    <w:rsid w:val="0BD33CF6"/>
    <w:rsid w:val="0BD7170D"/>
    <w:rsid w:val="0BDC6D23"/>
    <w:rsid w:val="0BDF6813"/>
    <w:rsid w:val="0BE43E2A"/>
    <w:rsid w:val="0BE856C8"/>
    <w:rsid w:val="0BEB51B8"/>
    <w:rsid w:val="0BEF5C9E"/>
    <w:rsid w:val="0BFC5617"/>
    <w:rsid w:val="0BFD7954"/>
    <w:rsid w:val="0BFE4EEC"/>
    <w:rsid w:val="0C0D512F"/>
    <w:rsid w:val="0C0F70F9"/>
    <w:rsid w:val="0C142961"/>
    <w:rsid w:val="0C232BA4"/>
    <w:rsid w:val="0C234952"/>
    <w:rsid w:val="0C275A89"/>
    <w:rsid w:val="0C3A0244"/>
    <w:rsid w:val="0C3C77C2"/>
    <w:rsid w:val="0C4072B2"/>
    <w:rsid w:val="0C4274CE"/>
    <w:rsid w:val="0C4549F2"/>
    <w:rsid w:val="0C474AE5"/>
    <w:rsid w:val="0C540FAF"/>
    <w:rsid w:val="0C656D19"/>
    <w:rsid w:val="0C676F35"/>
    <w:rsid w:val="0C684A5B"/>
    <w:rsid w:val="0C6D3E1F"/>
    <w:rsid w:val="0C7D0506"/>
    <w:rsid w:val="0C807CE3"/>
    <w:rsid w:val="0C942F8A"/>
    <w:rsid w:val="0C94382A"/>
    <w:rsid w:val="0C950B9E"/>
    <w:rsid w:val="0C9910B8"/>
    <w:rsid w:val="0CAF268A"/>
    <w:rsid w:val="0CBB5882"/>
    <w:rsid w:val="0CC14C34"/>
    <w:rsid w:val="0CCF0636"/>
    <w:rsid w:val="0CD057CC"/>
    <w:rsid w:val="0CE02843"/>
    <w:rsid w:val="0CE51C08"/>
    <w:rsid w:val="0CE916F8"/>
    <w:rsid w:val="0CF87B8D"/>
    <w:rsid w:val="0CFB767D"/>
    <w:rsid w:val="0CFE134D"/>
    <w:rsid w:val="0D004650"/>
    <w:rsid w:val="0D0B5B12"/>
    <w:rsid w:val="0D1150F2"/>
    <w:rsid w:val="0D15073F"/>
    <w:rsid w:val="0D222E5C"/>
    <w:rsid w:val="0D45313F"/>
    <w:rsid w:val="0D474670"/>
    <w:rsid w:val="0D49488C"/>
    <w:rsid w:val="0D4A35E5"/>
    <w:rsid w:val="0D4D5AFC"/>
    <w:rsid w:val="0D531CDF"/>
    <w:rsid w:val="0D562B05"/>
    <w:rsid w:val="0D5B011C"/>
    <w:rsid w:val="0D5D3E94"/>
    <w:rsid w:val="0D710078"/>
    <w:rsid w:val="0D735465"/>
    <w:rsid w:val="0D766D04"/>
    <w:rsid w:val="0D7A67F4"/>
    <w:rsid w:val="0D7F205C"/>
    <w:rsid w:val="0D815DD4"/>
    <w:rsid w:val="0D894C89"/>
    <w:rsid w:val="0D8C6527"/>
    <w:rsid w:val="0D961154"/>
    <w:rsid w:val="0D9765DF"/>
    <w:rsid w:val="0DB02216"/>
    <w:rsid w:val="0DB461AA"/>
    <w:rsid w:val="0DB963BF"/>
    <w:rsid w:val="0DBC3AA3"/>
    <w:rsid w:val="0DCA3125"/>
    <w:rsid w:val="0DCD2DC7"/>
    <w:rsid w:val="0DD20D93"/>
    <w:rsid w:val="0DD46CBF"/>
    <w:rsid w:val="0DD569B6"/>
    <w:rsid w:val="0DD73C46"/>
    <w:rsid w:val="0DDB451D"/>
    <w:rsid w:val="0DDD6D83"/>
    <w:rsid w:val="0DE819AF"/>
    <w:rsid w:val="0DEB14A0"/>
    <w:rsid w:val="0DF540CC"/>
    <w:rsid w:val="0DFA0557"/>
    <w:rsid w:val="0E0462FA"/>
    <w:rsid w:val="0E09781C"/>
    <w:rsid w:val="0E0B7D94"/>
    <w:rsid w:val="0E1C78AB"/>
    <w:rsid w:val="0E211365"/>
    <w:rsid w:val="0E26697C"/>
    <w:rsid w:val="0E29509C"/>
    <w:rsid w:val="0E2F75DE"/>
    <w:rsid w:val="0E35096D"/>
    <w:rsid w:val="0E370B89"/>
    <w:rsid w:val="0E416A77"/>
    <w:rsid w:val="0E440BB0"/>
    <w:rsid w:val="0E4868F2"/>
    <w:rsid w:val="0E4D3F08"/>
    <w:rsid w:val="0E5C2657"/>
    <w:rsid w:val="0E5C7CE8"/>
    <w:rsid w:val="0E680D42"/>
    <w:rsid w:val="0E72052D"/>
    <w:rsid w:val="0E884F40"/>
    <w:rsid w:val="0E8A2A67"/>
    <w:rsid w:val="0E8C2C83"/>
    <w:rsid w:val="0E920B06"/>
    <w:rsid w:val="0E981627"/>
    <w:rsid w:val="0EA34036"/>
    <w:rsid w:val="0EA93835"/>
    <w:rsid w:val="0EAC2641"/>
    <w:rsid w:val="0EB049DF"/>
    <w:rsid w:val="0EB14497"/>
    <w:rsid w:val="0EB222C7"/>
    <w:rsid w:val="0EB63F9D"/>
    <w:rsid w:val="0EB67D00"/>
    <w:rsid w:val="0EB74F3E"/>
    <w:rsid w:val="0EBF70A2"/>
    <w:rsid w:val="0ECC12D1"/>
    <w:rsid w:val="0ECE329B"/>
    <w:rsid w:val="0EDB32C2"/>
    <w:rsid w:val="0EDC2BF8"/>
    <w:rsid w:val="0EE52393"/>
    <w:rsid w:val="0EE859DF"/>
    <w:rsid w:val="0EE91E83"/>
    <w:rsid w:val="0EEF4FBF"/>
    <w:rsid w:val="0EFA06A7"/>
    <w:rsid w:val="0EFA4090"/>
    <w:rsid w:val="0EFB088D"/>
    <w:rsid w:val="0F032819"/>
    <w:rsid w:val="0F0F11BE"/>
    <w:rsid w:val="0F16079E"/>
    <w:rsid w:val="0F1B4006"/>
    <w:rsid w:val="0F1E1586"/>
    <w:rsid w:val="0F227C07"/>
    <w:rsid w:val="0F245037"/>
    <w:rsid w:val="0F2904D1"/>
    <w:rsid w:val="0F3330FE"/>
    <w:rsid w:val="0F3A448D"/>
    <w:rsid w:val="0F3D5D2B"/>
    <w:rsid w:val="0F44530B"/>
    <w:rsid w:val="0F4C18D4"/>
    <w:rsid w:val="0F54794B"/>
    <w:rsid w:val="0F601728"/>
    <w:rsid w:val="0F601A19"/>
    <w:rsid w:val="0F655282"/>
    <w:rsid w:val="0F692FC4"/>
    <w:rsid w:val="0F6A354E"/>
    <w:rsid w:val="0F6C4862"/>
    <w:rsid w:val="0F6E4136"/>
    <w:rsid w:val="0F704352"/>
    <w:rsid w:val="0F76748F"/>
    <w:rsid w:val="0F7A0D2D"/>
    <w:rsid w:val="0F7A6F7F"/>
    <w:rsid w:val="0F7C2CF7"/>
    <w:rsid w:val="0F7D6A6F"/>
    <w:rsid w:val="0F81030D"/>
    <w:rsid w:val="0F827BE2"/>
    <w:rsid w:val="0F88478D"/>
    <w:rsid w:val="0F8C6CB2"/>
    <w:rsid w:val="0F8E2A2A"/>
    <w:rsid w:val="0F9242C9"/>
    <w:rsid w:val="0F987405"/>
    <w:rsid w:val="0F9D0EBF"/>
    <w:rsid w:val="0F9D2C6D"/>
    <w:rsid w:val="0FAB0EE6"/>
    <w:rsid w:val="0FB73D2F"/>
    <w:rsid w:val="0FB73DA5"/>
    <w:rsid w:val="0FB75ADD"/>
    <w:rsid w:val="0FBC7659"/>
    <w:rsid w:val="0FC06194"/>
    <w:rsid w:val="0FC341AA"/>
    <w:rsid w:val="0FC41FA8"/>
    <w:rsid w:val="0FC85F3C"/>
    <w:rsid w:val="0FCE22FD"/>
    <w:rsid w:val="0FCE37C4"/>
    <w:rsid w:val="0FD22A7F"/>
    <w:rsid w:val="0FD8021C"/>
    <w:rsid w:val="0FDC3304"/>
    <w:rsid w:val="0FDE2587"/>
    <w:rsid w:val="0FDE750E"/>
    <w:rsid w:val="0FE16FFE"/>
    <w:rsid w:val="0FE20680"/>
    <w:rsid w:val="0FF94348"/>
    <w:rsid w:val="0FFA1E6E"/>
    <w:rsid w:val="0FFE195E"/>
    <w:rsid w:val="0FFF1232"/>
    <w:rsid w:val="10093E5F"/>
    <w:rsid w:val="10105429"/>
    <w:rsid w:val="101414CD"/>
    <w:rsid w:val="10150A56"/>
    <w:rsid w:val="101A2510"/>
    <w:rsid w:val="101B0BC4"/>
    <w:rsid w:val="101F18D4"/>
    <w:rsid w:val="102869DB"/>
    <w:rsid w:val="10337AA3"/>
    <w:rsid w:val="103649EC"/>
    <w:rsid w:val="103C4234"/>
    <w:rsid w:val="1040315F"/>
    <w:rsid w:val="10507757"/>
    <w:rsid w:val="1053255D"/>
    <w:rsid w:val="10611EED"/>
    <w:rsid w:val="10637A13"/>
    <w:rsid w:val="106D2640"/>
    <w:rsid w:val="10702130"/>
    <w:rsid w:val="107A1082"/>
    <w:rsid w:val="107A6B0B"/>
    <w:rsid w:val="10861954"/>
    <w:rsid w:val="10863702"/>
    <w:rsid w:val="10961B97"/>
    <w:rsid w:val="109B71AD"/>
    <w:rsid w:val="109E6C9D"/>
    <w:rsid w:val="109E7189"/>
    <w:rsid w:val="10A86610"/>
    <w:rsid w:val="10AE2011"/>
    <w:rsid w:val="10B4201D"/>
    <w:rsid w:val="10B661A8"/>
    <w:rsid w:val="10B97633"/>
    <w:rsid w:val="10C72BB3"/>
    <w:rsid w:val="10CB7366"/>
    <w:rsid w:val="10CC380A"/>
    <w:rsid w:val="10CE108F"/>
    <w:rsid w:val="10D601E5"/>
    <w:rsid w:val="10D91A83"/>
    <w:rsid w:val="10E250B3"/>
    <w:rsid w:val="10E32902"/>
    <w:rsid w:val="10EC5C5A"/>
    <w:rsid w:val="10F142AE"/>
    <w:rsid w:val="10F85FB3"/>
    <w:rsid w:val="11020FDA"/>
    <w:rsid w:val="11052878"/>
    <w:rsid w:val="110C3C07"/>
    <w:rsid w:val="110F7B9B"/>
    <w:rsid w:val="11162CD7"/>
    <w:rsid w:val="111B18D4"/>
    <w:rsid w:val="111D5E14"/>
    <w:rsid w:val="111E1B8C"/>
    <w:rsid w:val="112A22DF"/>
    <w:rsid w:val="112E1DCF"/>
    <w:rsid w:val="11331482"/>
    <w:rsid w:val="11335637"/>
    <w:rsid w:val="113B2D40"/>
    <w:rsid w:val="113B44EC"/>
    <w:rsid w:val="11401B02"/>
    <w:rsid w:val="114F1D45"/>
    <w:rsid w:val="115206FB"/>
    <w:rsid w:val="11531DCE"/>
    <w:rsid w:val="116752E1"/>
    <w:rsid w:val="116F4196"/>
    <w:rsid w:val="118063A3"/>
    <w:rsid w:val="118A0FD0"/>
    <w:rsid w:val="118C2F9A"/>
    <w:rsid w:val="119B18B2"/>
    <w:rsid w:val="11A71B81"/>
    <w:rsid w:val="11AB1672"/>
    <w:rsid w:val="11AB78C4"/>
    <w:rsid w:val="11B40613"/>
    <w:rsid w:val="11B61DC5"/>
    <w:rsid w:val="11BE2022"/>
    <w:rsid w:val="11C75D80"/>
    <w:rsid w:val="11D010D8"/>
    <w:rsid w:val="11D0732A"/>
    <w:rsid w:val="11D83EA2"/>
    <w:rsid w:val="11D96D2F"/>
    <w:rsid w:val="11DB4B38"/>
    <w:rsid w:val="11E64458"/>
    <w:rsid w:val="11E903EC"/>
    <w:rsid w:val="11EB4164"/>
    <w:rsid w:val="12062D4C"/>
    <w:rsid w:val="120B3EBE"/>
    <w:rsid w:val="120C7C36"/>
    <w:rsid w:val="122136E2"/>
    <w:rsid w:val="122510EE"/>
    <w:rsid w:val="12260CF8"/>
    <w:rsid w:val="123757B7"/>
    <w:rsid w:val="12394ECF"/>
    <w:rsid w:val="12405481"/>
    <w:rsid w:val="12445622"/>
    <w:rsid w:val="1246139A"/>
    <w:rsid w:val="12502219"/>
    <w:rsid w:val="126006AE"/>
    <w:rsid w:val="126E2D03"/>
    <w:rsid w:val="12744159"/>
    <w:rsid w:val="12817658"/>
    <w:rsid w:val="1283614B"/>
    <w:rsid w:val="12837EE6"/>
    <w:rsid w:val="128D1331"/>
    <w:rsid w:val="12942106"/>
    <w:rsid w:val="129B16E6"/>
    <w:rsid w:val="129D7210"/>
    <w:rsid w:val="12A04F4F"/>
    <w:rsid w:val="12A460C1"/>
    <w:rsid w:val="12AF5192"/>
    <w:rsid w:val="12BB3B36"/>
    <w:rsid w:val="12C0114D"/>
    <w:rsid w:val="12C1355D"/>
    <w:rsid w:val="12C34799"/>
    <w:rsid w:val="12CA1FCB"/>
    <w:rsid w:val="12D15108"/>
    <w:rsid w:val="12E070F9"/>
    <w:rsid w:val="12EA1EE6"/>
    <w:rsid w:val="12EF7289"/>
    <w:rsid w:val="12F901BB"/>
    <w:rsid w:val="130059ED"/>
    <w:rsid w:val="1303728B"/>
    <w:rsid w:val="13051255"/>
    <w:rsid w:val="131507D5"/>
    <w:rsid w:val="13160D6D"/>
    <w:rsid w:val="13201BEB"/>
    <w:rsid w:val="132316DC"/>
    <w:rsid w:val="13257202"/>
    <w:rsid w:val="132F1E2E"/>
    <w:rsid w:val="13330CAC"/>
    <w:rsid w:val="13391CAF"/>
    <w:rsid w:val="133D7CD4"/>
    <w:rsid w:val="134A6C68"/>
    <w:rsid w:val="134D5A81"/>
    <w:rsid w:val="13584BE2"/>
    <w:rsid w:val="13741F37"/>
    <w:rsid w:val="13791560"/>
    <w:rsid w:val="137A1FB1"/>
    <w:rsid w:val="137D5290"/>
    <w:rsid w:val="137D703E"/>
    <w:rsid w:val="138959E3"/>
    <w:rsid w:val="138A175B"/>
    <w:rsid w:val="13A04ADA"/>
    <w:rsid w:val="13AB4ACD"/>
    <w:rsid w:val="13AB6A60"/>
    <w:rsid w:val="13AC42B6"/>
    <w:rsid w:val="13BA3DEE"/>
    <w:rsid w:val="13BF6991"/>
    <w:rsid w:val="13C133CE"/>
    <w:rsid w:val="13C470E7"/>
    <w:rsid w:val="13C95DDF"/>
    <w:rsid w:val="13D6674E"/>
    <w:rsid w:val="13D824C6"/>
    <w:rsid w:val="13DA623E"/>
    <w:rsid w:val="13DC1FB6"/>
    <w:rsid w:val="13E40E6B"/>
    <w:rsid w:val="13E76BAD"/>
    <w:rsid w:val="13F03DED"/>
    <w:rsid w:val="13F60B9E"/>
    <w:rsid w:val="13F95DC4"/>
    <w:rsid w:val="14025795"/>
    <w:rsid w:val="14117786"/>
    <w:rsid w:val="14131750"/>
    <w:rsid w:val="141D2704"/>
    <w:rsid w:val="1424395D"/>
    <w:rsid w:val="14253DD2"/>
    <w:rsid w:val="142A3E2D"/>
    <w:rsid w:val="14360F37"/>
    <w:rsid w:val="143D057B"/>
    <w:rsid w:val="143F42F3"/>
    <w:rsid w:val="144933C4"/>
    <w:rsid w:val="144A7973"/>
    <w:rsid w:val="144D6A10"/>
    <w:rsid w:val="145002AE"/>
    <w:rsid w:val="14504752"/>
    <w:rsid w:val="145204CA"/>
    <w:rsid w:val="145558C5"/>
    <w:rsid w:val="145A21CC"/>
    <w:rsid w:val="145F0801"/>
    <w:rsid w:val="14643D5A"/>
    <w:rsid w:val="14681A9C"/>
    <w:rsid w:val="147E306D"/>
    <w:rsid w:val="14830684"/>
    <w:rsid w:val="14832432"/>
    <w:rsid w:val="14885C9A"/>
    <w:rsid w:val="148E0DD7"/>
    <w:rsid w:val="14904B4F"/>
    <w:rsid w:val="149616BF"/>
    <w:rsid w:val="149A777C"/>
    <w:rsid w:val="149D101A"/>
    <w:rsid w:val="14A423A8"/>
    <w:rsid w:val="14A5684C"/>
    <w:rsid w:val="14B46A8F"/>
    <w:rsid w:val="14B7657F"/>
    <w:rsid w:val="14BC3B96"/>
    <w:rsid w:val="14BE16BC"/>
    <w:rsid w:val="14BE346A"/>
    <w:rsid w:val="14CC7587"/>
    <w:rsid w:val="14D14D72"/>
    <w:rsid w:val="14D25167"/>
    <w:rsid w:val="14D47131"/>
    <w:rsid w:val="14DB04C0"/>
    <w:rsid w:val="14E5758A"/>
    <w:rsid w:val="14EA0703"/>
    <w:rsid w:val="14EA425F"/>
    <w:rsid w:val="14EC5132"/>
    <w:rsid w:val="14FB7DA2"/>
    <w:rsid w:val="14FE762F"/>
    <w:rsid w:val="150C0679"/>
    <w:rsid w:val="150D619F"/>
    <w:rsid w:val="15115C90"/>
    <w:rsid w:val="15127C5A"/>
    <w:rsid w:val="151643AE"/>
    <w:rsid w:val="15173AA9"/>
    <w:rsid w:val="15237771"/>
    <w:rsid w:val="152754B3"/>
    <w:rsid w:val="1528122B"/>
    <w:rsid w:val="15282F4E"/>
    <w:rsid w:val="152C0D1B"/>
    <w:rsid w:val="152D05F0"/>
    <w:rsid w:val="152D239E"/>
    <w:rsid w:val="154F308C"/>
    <w:rsid w:val="155362A8"/>
    <w:rsid w:val="15567E44"/>
    <w:rsid w:val="155838BF"/>
    <w:rsid w:val="15610299"/>
    <w:rsid w:val="15673B02"/>
    <w:rsid w:val="15744470"/>
    <w:rsid w:val="15783F61"/>
    <w:rsid w:val="157B75AD"/>
    <w:rsid w:val="158710F3"/>
    <w:rsid w:val="15910B7E"/>
    <w:rsid w:val="159C2891"/>
    <w:rsid w:val="15A20FDE"/>
    <w:rsid w:val="15AA1C40"/>
    <w:rsid w:val="15B040AA"/>
    <w:rsid w:val="15B605E5"/>
    <w:rsid w:val="15B900D5"/>
    <w:rsid w:val="15BC1451"/>
    <w:rsid w:val="15C471A6"/>
    <w:rsid w:val="15C772F3"/>
    <w:rsid w:val="15CA4090"/>
    <w:rsid w:val="15CE4C34"/>
    <w:rsid w:val="15DD358D"/>
    <w:rsid w:val="15E213DA"/>
    <w:rsid w:val="15E769F0"/>
    <w:rsid w:val="15EE6815"/>
    <w:rsid w:val="15EF3AF7"/>
    <w:rsid w:val="15F0775C"/>
    <w:rsid w:val="16005D04"/>
    <w:rsid w:val="160A0AD0"/>
    <w:rsid w:val="16104199"/>
    <w:rsid w:val="161A5018"/>
    <w:rsid w:val="161B48EC"/>
    <w:rsid w:val="162419F3"/>
    <w:rsid w:val="16273291"/>
    <w:rsid w:val="16290DB7"/>
    <w:rsid w:val="162C6AF9"/>
    <w:rsid w:val="1635647F"/>
    <w:rsid w:val="16361726"/>
    <w:rsid w:val="163836F0"/>
    <w:rsid w:val="16401732"/>
    <w:rsid w:val="164B53B3"/>
    <w:rsid w:val="165B6F79"/>
    <w:rsid w:val="1666200B"/>
    <w:rsid w:val="16691AFB"/>
    <w:rsid w:val="166E5EB0"/>
    <w:rsid w:val="166E7112"/>
    <w:rsid w:val="167364D6"/>
    <w:rsid w:val="16774BAB"/>
    <w:rsid w:val="167F1D76"/>
    <w:rsid w:val="168129A1"/>
    <w:rsid w:val="16821234"/>
    <w:rsid w:val="16832BBD"/>
    <w:rsid w:val="168626AD"/>
    <w:rsid w:val="16921052"/>
    <w:rsid w:val="1695644C"/>
    <w:rsid w:val="169721C5"/>
    <w:rsid w:val="169C5A2D"/>
    <w:rsid w:val="169E1F77"/>
    <w:rsid w:val="169F376F"/>
    <w:rsid w:val="169F551D"/>
    <w:rsid w:val="16A13043"/>
    <w:rsid w:val="16A20B69"/>
    <w:rsid w:val="16AB2E5D"/>
    <w:rsid w:val="16B014D8"/>
    <w:rsid w:val="16B326A1"/>
    <w:rsid w:val="16B32D77"/>
    <w:rsid w:val="16B8213B"/>
    <w:rsid w:val="16B9038D"/>
    <w:rsid w:val="16C01EAE"/>
    <w:rsid w:val="16CF5E02"/>
    <w:rsid w:val="16D056D6"/>
    <w:rsid w:val="16D276A1"/>
    <w:rsid w:val="16DE4778"/>
    <w:rsid w:val="16E75D71"/>
    <w:rsid w:val="16E96798"/>
    <w:rsid w:val="16EB2510"/>
    <w:rsid w:val="16ED6288"/>
    <w:rsid w:val="16F214B3"/>
    <w:rsid w:val="16F41D35"/>
    <w:rsid w:val="16F50974"/>
    <w:rsid w:val="16FC296F"/>
    <w:rsid w:val="16FF5E45"/>
    <w:rsid w:val="170D0C07"/>
    <w:rsid w:val="17123F41"/>
    <w:rsid w:val="171352F0"/>
    <w:rsid w:val="17143815"/>
    <w:rsid w:val="17173305"/>
    <w:rsid w:val="171B1048"/>
    <w:rsid w:val="1720665E"/>
    <w:rsid w:val="17255A22"/>
    <w:rsid w:val="172B6DB1"/>
    <w:rsid w:val="172D19A8"/>
    <w:rsid w:val="17410382"/>
    <w:rsid w:val="1743234C"/>
    <w:rsid w:val="17465999"/>
    <w:rsid w:val="1752258F"/>
    <w:rsid w:val="1759391E"/>
    <w:rsid w:val="1763479D"/>
    <w:rsid w:val="176A78D9"/>
    <w:rsid w:val="1772678E"/>
    <w:rsid w:val="177A195D"/>
    <w:rsid w:val="177E3384"/>
    <w:rsid w:val="1787048B"/>
    <w:rsid w:val="178D35C8"/>
    <w:rsid w:val="178F10EE"/>
    <w:rsid w:val="1796247C"/>
    <w:rsid w:val="17A10E21"/>
    <w:rsid w:val="17A5257D"/>
    <w:rsid w:val="17B31280"/>
    <w:rsid w:val="17B44FF8"/>
    <w:rsid w:val="17BA0860"/>
    <w:rsid w:val="17C0574B"/>
    <w:rsid w:val="17C52D61"/>
    <w:rsid w:val="17CE60BA"/>
    <w:rsid w:val="17D3547E"/>
    <w:rsid w:val="17D520FA"/>
    <w:rsid w:val="17D67E1B"/>
    <w:rsid w:val="17D86F39"/>
    <w:rsid w:val="17DE3E23"/>
    <w:rsid w:val="17E50036"/>
    <w:rsid w:val="17E53404"/>
    <w:rsid w:val="17F51899"/>
    <w:rsid w:val="18025D64"/>
    <w:rsid w:val="18083DFB"/>
    <w:rsid w:val="18137F71"/>
    <w:rsid w:val="181674CA"/>
    <w:rsid w:val="1820060E"/>
    <w:rsid w:val="1820443C"/>
    <w:rsid w:val="18205BA9"/>
    <w:rsid w:val="18210BE6"/>
    <w:rsid w:val="182A7988"/>
    <w:rsid w:val="183103F7"/>
    <w:rsid w:val="18370FAA"/>
    <w:rsid w:val="183850D2"/>
    <w:rsid w:val="183B1275"/>
    <w:rsid w:val="18491BE4"/>
    <w:rsid w:val="184B14B9"/>
    <w:rsid w:val="184B770B"/>
    <w:rsid w:val="185145F5"/>
    <w:rsid w:val="18567E5D"/>
    <w:rsid w:val="186407CC"/>
    <w:rsid w:val="186500A0"/>
    <w:rsid w:val="186E51A7"/>
    <w:rsid w:val="18707171"/>
    <w:rsid w:val="187622AE"/>
    <w:rsid w:val="187E50BF"/>
    <w:rsid w:val="188449CB"/>
    <w:rsid w:val="188B0B51"/>
    <w:rsid w:val="188D7D23"/>
    <w:rsid w:val="188D7D42"/>
    <w:rsid w:val="1890464C"/>
    <w:rsid w:val="18962766"/>
    <w:rsid w:val="18A1557C"/>
    <w:rsid w:val="18AC1057"/>
    <w:rsid w:val="18AD2173"/>
    <w:rsid w:val="18BA4890"/>
    <w:rsid w:val="18BA4D45"/>
    <w:rsid w:val="18C45643"/>
    <w:rsid w:val="18DF42F7"/>
    <w:rsid w:val="18E461B2"/>
    <w:rsid w:val="18F57676"/>
    <w:rsid w:val="18F71640"/>
    <w:rsid w:val="19004393"/>
    <w:rsid w:val="19080C81"/>
    <w:rsid w:val="190B50EC"/>
    <w:rsid w:val="1912647A"/>
    <w:rsid w:val="19153875"/>
    <w:rsid w:val="192B3098"/>
    <w:rsid w:val="19353F17"/>
    <w:rsid w:val="19371A3D"/>
    <w:rsid w:val="19410B0E"/>
    <w:rsid w:val="19447142"/>
    <w:rsid w:val="19466124"/>
    <w:rsid w:val="19483C4A"/>
    <w:rsid w:val="194B54E8"/>
    <w:rsid w:val="19524AC9"/>
    <w:rsid w:val="19575882"/>
    <w:rsid w:val="19575C3B"/>
    <w:rsid w:val="19591456"/>
    <w:rsid w:val="195A5E2A"/>
    <w:rsid w:val="195E155B"/>
    <w:rsid w:val="195E521C"/>
    <w:rsid w:val="196056B2"/>
    <w:rsid w:val="196360F2"/>
    <w:rsid w:val="19636636"/>
    <w:rsid w:val="197321D5"/>
    <w:rsid w:val="19767855"/>
    <w:rsid w:val="197907DA"/>
    <w:rsid w:val="197E58BE"/>
    <w:rsid w:val="198D3D53"/>
    <w:rsid w:val="198F1879"/>
    <w:rsid w:val="1991739F"/>
    <w:rsid w:val="199649B5"/>
    <w:rsid w:val="199724DC"/>
    <w:rsid w:val="199B6E4C"/>
    <w:rsid w:val="19A5109C"/>
    <w:rsid w:val="19A52E4A"/>
    <w:rsid w:val="19A76BC3"/>
    <w:rsid w:val="19C257AA"/>
    <w:rsid w:val="19C9185E"/>
    <w:rsid w:val="19CC4F2A"/>
    <w:rsid w:val="19CE5CE6"/>
    <w:rsid w:val="19D13C3F"/>
    <w:rsid w:val="19DD4C7B"/>
    <w:rsid w:val="19E219A9"/>
    <w:rsid w:val="19E5593D"/>
    <w:rsid w:val="19F65454"/>
    <w:rsid w:val="19F94F44"/>
    <w:rsid w:val="1A004B69"/>
    <w:rsid w:val="1A0062D3"/>
    <w:rsid w:val="1A0538E9"/>
    <w:rsid w:val="1A0C41D1"/>
    <w:rsid w:val="1A136006"/>
    <w:rsid w:val="1A143B2C"/>
    <w:rsid w:val="1A295829"/>
    <w:rsid w:val="1A336BE7"/>
    <w:rsid w:val="1A404921"/>
    <w:rsid w:val="1A497C7A"/>
    <w:rsid w:val="1A5D3725"/>
    <w:rsid w:val="1A5F749D"/>
    <w:rsid w:val="1A600465"/>
    <w:rsid w:val="1A612D7C"/>
    <w:rsid w:val="1A6458E8"/>
    <w:rsid w:val="1A670100"/>
    <w:rsid w:val="1A710F7F"/>
    <w:rsid w:val="1A7171D0"/>
    <w:rsid w:val="1A750A6F"/>
    <w:rsid w:val="1A7F6A7E"/>
    <w:rsid w:val="1A807E72"/>
    <w:rsid w:val="1A8A2A47"/>
    <w:rsid w:val="1A8E7D82"/>
    <w:rsid w:val="1A907657"/>
    <w:rsid w:val="1A930EF5"/>
    <w:rsid w:val="1A952EBF"/>
    <w:rsid w:val="1A974E89"/>
    <w:rsid w:val="1A976C37"/>
    <w:rsid w:val="1A9F3D3E"/>
    <w:rsid w:val="1A9F5AEC"/>
    <w:rsid w:val="1AA50C28"/>
    <w:rsid w:val="1AA66E7A"/>
    <w:rsid w:val="1AA67CAC"/>
    <w:rsid w:val="1AA9696A"/>
    <w:rsid w:val="1AAC0209"/>
    <w:rsid w:val="1AB136EC"/>
    <w:rsid w:val="1AB16E81"/>
    <w:rsid w:val="1ABE3041"/>
    <w:rsid w:val="1ACD2659"/>
    <w:rsid w:val="1ACE63D1"/>
    <w:rsid w:val="1AD35795"/>
    <w:rsid w:val="1ADE4866"/>
    <w:rsid w:val="1AEE25CF"/>
    <w:rsid w:val="1AF5395E"/>
    <w:rsid w:val="1AFC4CEC"/>
    <w:rsid w:val="1AFF3E59"/>
    <w:rsid w:val="1AFF47DC"/>
    <w:rsid w:val="1B040045"/>
    <w:rsid w:val="1B05496D"/>
    <w:rsid w:val="1B065B6B"/>
    <w:rsid w:val="1B077C88"/>
    <w:rsid w:val="1B0D514B"/>
    <w:rsid w:val="1B0E4A1F"/>
    <w:rsid w:val="1B16166A"/>
    <w:rsid w:val="1B216905"/>
    <w:rsid w:val="1B2E6E70"/>
    <w:rsid w:val="1B375DD7"/>
    <w:rsid w:val="1B391A9C"/>
    <w:rsid w:val="1B502A2B"/>
    <w:rsid w:val="1B50328A"/>
    <w:rsid w:val="1B544B28"/>
    <w:rsid w:val="1B595D27"/>
    <w:rsid w:val="1B617245"/>
    <w:rsid w:val="1B650AE3"/>
    <w:rsid w:val="1B724FAE"/>
    <w:rsid w:val="1B7D7150"/>
    <w:rsid w:val="1B803B6F"/>
    <w:rsid w:val="1B854CE1"/>
    <w:rsid w:val="1B855497"/>
    <w:rsid w:val="1B8A22F8"/>
    <w:rsid w:val="1B8F3DB2"/>
    <w:rsid w:val="1B9273FE"/>
    <w:rsid w:val="1BB90E2F"/>
    <w:rsid w:val="1BB93E83"/>
    <w:rsid w:val="1BBD091F"/>
    <w:rsid w:val="1BBE6445"/>
    <w:rsid w:val="1BC3580A"/>
    <w:rsid w:val="1BC51582"/>
    <w:rsid w:val="1BC644B6"/>
    <w:rsid w:val="1BCA4DEA"/>
    <w:rsid w:val="1BD143CB"/>
    <w:rsid w:val="1BD45C69"/>
    <w:rsid w:val="1BE0460E"/>
    <w:rsid w:val="1BE22134"/>
    <w:rsid w:val="1BE35EAC"/>
    <w:rsid w:val="1BE745D6"/>
    <w:rsid w:val="1BE834C2"/>
    <w:rsid w:val="1BF63E31"/>
    <w:rsid w:val="1BF65BDF"/>
    <w:rsid w:val="1BF6706B"/>
    <w:rsid w:val="1BF754B3"/>
    <w:rsid w:val="1BF81957"/>
    <w:rsid w:val="1BFB4FA4"/>
    <w:rsid w:val="1BFD6F6E"/>
    <w:rsid w:val="1C073948"/>
    <w:rsid w:val="1C0A168B"/>
    <w:rsid w:val="1C0C0F5F"/>
    <w:rsid w:val="1C0F4EF3"/>
    <w:rsid w:val="1C0F6CA1"/>
    <w:rsid w:val="1C16002F"/>
    <w:rsid w:val="1C1D13BE"/>
    <w:rsid w:val="1C1E6EE4"/>
    <w:rsid w:val="1C252021"/>
    <w:rsid w:val="1C2E35CB"/>
    <w:rsid w:val="1C3B1844"/>
    <w:rsid w:val="1C4050AC"/>
    <w:rsid w:val="1C4108CD"/>
    <w:rsid w:val="1C4921B3"/>
    <w:rsid w:val="1C493F61"/>
    <w:rsid w:val="1C4A1A87"/>
    <w:rsid w:val="1C534DE0"/>
    <w:rsid w:val="1C5B3C94"/>
    <w:rsid w:val="1C613AB1"/>
    <w:rsid w:val="1C691F5E"/>
    <w:rsid w:val="1C6A3ED7"/>
    <w:rsid w:val="1C6A4185"/>
    <w:rsid w:val="1C6C5D0E"/>
    <w:rsid w:val="1C744D56"/>
    <w:rsid w:val="1C763D6F"/>
    <w:rsid w:val="1C7A55AF"/>
    <w:rsid w:val="1C7C2E8C"/>
    <w:rsid w:val="1C7F3E27"/>
    <w:rsid w:val="1C8B457A"/>
    <w:rsid w:val="1C8C0466"/>
    <w:rsid w:val="1C8E406A"/>
    <w:rsid w:val="1C901B90"/>
    <w:rsid w:val="1C986C96"/>
    <w:rsid w:val="1C9A47BD"/>
    <w:rsid w:val="1CA92C52"/>
    <w:rsid w:val="1CAA29E2"/>
    <w:rsid w:val="1CAB69CA"/>
    <w:rsid w:val="1CAF18F1"/>
    <w:rsid w:val="1CB33AD0"/>
    <w:rsid w:val="1CBF4223"/>
    <w:rsid w:val="1CC854C2"/>
    <w:rsid w:val="1CCD534E"/>
    <w:rsid w:val="1CD001DE"/>
    <w:rsid w:val="1CD221A8"/>
    <w:rsid w:val="1CD53A47"/>
    <w:rsid w:val="1CD6156D"/>
    <w:rsid w:val="1CD777BF"/>
    <w:rsid w:val="1CDA72AF"/>
    <w:rsid w:val="1CE819CC"/>
    <w:rsid w:val="1CEB14BC"/>
    <w:rsid w:val="1CEB4B27"/>
    <w:rsid w:val="1CF2284B"/>
    <w:rsid w:val="1CFE11EF"/>
    <w:rsid w:val="1CFE13A0"/>
    <w:rsid w:val="1D0121D0"/>
    <w:rsid w:val="1D022362"/>
    <w:rsid w:val="1D04432C"/>
    <w:rsid w:val="1D0B56BA"/>
    <w:rsid w:val="1D0D31E0"/>
    <w:rsid w:val="1D0E6F59"/>
    <w:rsid w:val="1D1502E7"/>
    <w:rsid w:val="1D1550D9"/>
    <w:rsid w:val="1D1A3B4F"/>
    <w:rsid w:val="1D24052A"/>
    <w:rsid w:val="1D2D72F7"/>
    <w:rsid w:val="1D2F75FB"/>
    <w:rsid w:val="1D303373"/>
    <w:rsid w:val="1D37200B"/>
    <w:rsid w:val="1D3D7193"/>
    <w:rsid w:val="1D421907"/>
    <w:rsid w:val="1D436C02"/>
    <w:rsid w:val="1D4B5AB7"/>
    <w:rsid w:val="1D5030CD"/>
    <w:rsid w:val="1D584BE1"/>
    <w:rsid w:val="1D5A03F0"/>
    <w:rsid w:val="1D5A2E72"/>
    <w:rsid w:val="1D5B524F"/>
    <w:rsid w:val="1D646B79"/>
    <w:rsid w:val="1D6D3522"/>
    <w:rsid w:val="1D743260"/>
    <w:rsid w:val="1D750D86"/>
    <w:rsid w:val="1D8217C2"/>
    <w:rsid w:val="1D85546D"/>
    <w:rsid w:val="1D8D2573"/>
    <w:rsid w:val="1D970CFC"/>
    <w:rsid w:val="1D9E02DC"/>
    <w:rsid w:val="1DAB5588"/>
    <w:rsid w:val="1DB00010"/>
    <w:rsid w:val="1DB34347"/>
    <w:rsid w:val="1DB55626"/>
    <w:rsid w:val="1DBA2C3C"/>
    <w:rsid w:val="1DC34F87"/>
    <w:rsid w:val="1DCB6BF8"/>
    <w:rsid w:val="1DD72694"/>
    <w:rsid w:val="1DDA6E3B"/>
    <w:rsid w:val="1DDC0E05"/>
    <w:rsid w:val="1DDE1DE9"/>
    <w:rsid w:val="1DE55F0B"/>
    <w:rsid w:val="1DF0665E"/>
    <w:rsid w:val="1DF71A39"/>
    <w:rsid w:val="1DFA7416"/>
    <w:rsid w:val="1E067C30"/>
    <w:rsid w:val="1E110AAE"/>
    <w:rsid w:val="1E113539"/>
    <w:rsid w:val="1E114F52"/>
    <w:rsid w:val="1E1B192D"/>
    <w:rsid w:val="1E217E45"/>
    <w:rsid w:val="1E3D7AF5"/>
    <w:rsid w:val="1E417DEF"/>
    <w:rsid w:val="1E4D5A53"/>
    <w:rsid w:val="1E4E3B70"/>
    <w:rsid w:val="1E62755C"/>
    <w:rsid w:val="1E7135D0"/>
    <w:rsid w:val="1E803E86"/>
    <w:rsid w:val="1E820086"/>
    <w:rsid w:val="1E876FC3"/>
    <w:rsid w:val="1E8F1DFD"/>
    <w:rsid w:val="1E8F7C25"/>
    <w:rsid w:val="1EAE27A1"/>
    <w:rsid w:val="1EB4768C"/>
    <w:rsid w:val="1EB83620"/>
    <w:rsid w:val="1EBF050A"/>
    <w:rsid w:val="1ECA6EAF"/>
    <w:rsid w:val="1ED57D2E"/>
    <w:rsid w:val="1ED87B82"/>
    <w:rsid w:val="1EDA3596"/>
    <w:rsid w:val="1EDA5344"/>
    <w:rsid w:val="1EDE624F"/>
    <w:rsid w:val="1EDF6DFF"/>
    <w:rsid w:val="1EE14925"/>
    <w:rsid w:val="1EF328AA"/>
    <w:rsid w:val="1EF36D34"/>
    <w:rsid w:val="1EFB350D"/>
    <w:rsid w:val="1EFD5795"/>
    <w:rsid w:val="1F010B23"/>
    <w:rsid w:val="1F0C74C8"/>
    <w:rsid w:val="1F210279"/>
    <w:rsid w:val="1F220A99"/>
    <w:rsid w:val="1F3118EC"/>
    <w:rsid w:val="1F327660"/>
    <w:rsid w:val="1F422EEA"/>
    <w:rsid w:val="1F474868"/>
    <w:rsid w:val="1F501AAA"/>
    <w:rsid w:val="1F5275D0"/>
    <w:rsid w:val="1F574BE7"/>
    <w:rsid w:val="1F582479"/>
    <w:rsid w:val="1F5E41C7"/>
    <w:rsid w:val="1F63358C"/>
    <w:rsid w:val="1F645556"/>
    <w:rsid w:val="1F664E2A"/>
    <w:rsid w:val="1F703EFB"/>
    <w:rsid w:val="1F745799"/>
    <w:rsid w:val="1F7C464D"/>
    <w:rsid w:val="1F7E2174"/>
    <w:rsid w:val="1F8359DC"/>
    <w:rsid w:val="1F882FF2"/>
    <w:rsid w:val="1F883C9F"/>
    <w:rsid w:val="1F941997"/>
    <w:rsid w:val="1F971592"/>
    <w:rsid w:val="1FA63478"/>
    <w:rsid w:val="1FAD4807"/>
    <w:rsid w:val="1FB71895"/>
    <w:rsid w:val="1FB738D7"/>
    <w:rsid w:val="1FB94E27"/>
    <w:rsid w:val="1FB97650"/>
    <w:rsid w:val="1FBF453A"/>
    <w:rsid w:val="1FC14756"/>
    <w:rsid w:val="1FCA53B9"/>
    <w:rsid w:val="1FCD4EA9"/>
    <w:rsid w:val="1FCF190A"/>
    <w:rsid w:val="1FD04999"/>
    <w:rsid w:val="1FD40B49"/>
    <w:rsid w:val="1FD53D5E"/>
    <w:rsid w:val="1FDB75C6"/>
    <w:rsid w:val="1FDE70B6"/>
    <w:rsid w:val="1FE57CFE"/>
    <w:rsid w:val="1FEF3071"/>
    <w:rsid w:val="1FEF4E1F"/>
    <w:rsid w:val="1FF41576"/>
    <w:rsid w:val="1FFF6B11"/>
    <w:rsid w:val="20000DDB"/>
    <w:rsid w:val="20016901"/>
    <w:rsid w:val="200A3A73"/>
    <w:rsid w:val="20142AD8"/>
    <w:rsid w:val="201617CC"/>
    <w:rsid w:val="20196340"/>
    <w:rsid w:val="20250841"/>
    <w:rsid w:val="202645B9"/>
    <w:rsid w:val="20275024"/>
    <w:rsid w:val="202D76F6"/>
    <w:rsid w:val="203767C6"/>
    <w:rsid w:val="203B62B7"/>
    <w:rsid w:val="203B74FB"/>
    <w:rsid w:val="203C5B8B"/>
    <w:rsid w:val="204131A1"/>
    <w:rsid w:val="204607B7"/>
    <w:rsid w:val="20476A09"/>
    <w:rsid w:val="20484530"/>
    <w:rsid w:val="204C04C4"/>
    <w:rsid w:val="204D45C0"/>
    <w:rsid w:val="20564E9E"/>
    <w:rsid w:val="20586E69"/>
    <w:rsid w:val="20686980"/>
    <w:rsid w:val="206B1B50"/>
    <w:rsid w:val="206D77B9"/>
    <w:rsid w:val="20803CC9"/>
    <w:rsid w:val="208337BA"/>
    <w:rsid w:val="208E4638"/>
    <w:rsid w:val="20987265"/>
    <w:rsid w:val="209E23A2"/>
    <w:rsid w:val="20A420AE"/>
    <w:rsid w:val="20A91472"/>
    <w:rsid w:val="20AF20C5"/>
    <w:rsid w:val="20B920B4"/>
    <w:rsid w:val="20B9542D"/>
    <w:rsid w:val="20BB733B"/>
    <w:rsid w:val="20C77B4A"/>
    <w:rsid w:val="20DD736E"/>
    <w:rsid w:val="20E96173"/>
    <w:rsid w:val="20EB717A"/>
    <w:rsid w:val="20ED7306"/>
    <w:rsid w:val="20F3093F"/>
    <w:rsid w:val="20F63F8C"/>
    <w:rsid w:val="20F96916"/>
    <w:rsid w:val="20FA7F20"/>
    <w:rsid w:val="20FD17BE"/>
    <w:rsid w:val="21091F11"/>
    <w:rsid w:val="210E39CB"/>
    <w:rsid w:val="211106C5"/>
    <w:rsid w:val="21182154"/>
    <w:rsid w:val="21186AE5"/>
    <w:rsid w:val="2120725A"/>
    <w:rsid w:val="212136FE"/>
    <w:rsid w:val="21221225"/>
    <w:rsid w:val="21294361"/>
    <w:rsid w:val="212C54EC"/>
    <w:rsid w:val="21311468"/>
    <w:rsid w:val="213276BA"/>
    <w:rsid w:val="21336F8E"/>
    <w:rsid w:val="21350F58"/>
    <w:rsid w:val="213A656E"/>
    <w:rsid w:val="213B5E42"/>
    <w:rsid w:val="213F26B4"/>
    <w:rsid w:val="213F3B84"/>
    <w:rsid w:val="21431785"/>
    <w:rsid w:val="214473ED"/>
    <w:rsid w:val="21470C8B"/>
    <w:rsid w:val="214747E7"/>
    <w:rsid w:val="21584C46"/>
    <w:rsid w:val="215C64E4"/>
    <w:rsid w:val="215D514D"/>
    <w:rsid w:val="215F7D83"/>
    <w:rsid w:val="216058A9"/>
    <w:rsid w:val="21771570"/>
    <w:rsid w:val="21787096"/>
    <w:rsid w:val="217A696B"/>
    <w:rsid w:val="218617B3"/>
    <w:rsid w:val="21863561"/>
    <w:rsid w:val="21865714"/>
    <w:rsid w:val="218B0B78"/>
    <w:rsid w:val="218E68BA"/>
    <w:rsid w:val="219519F6"/>
    <w:rsid w:val="219E251A"/>
    <w:rsid w:val="219E4D4F"/>
    <w:rsid w:val="219F0AC7"/>
    <w:rsid w:val="21A12149"/>
    <w:rsid w:val="21A25EC1"/>
    <w:rsid w:val="21A4626C"/>
    <w:rsid w:val="21AA36F4"/>
    <w:rsid w:val="21AB746C"/>
    <w:rsid w:val="21AD4F92"/>
    <w:rsid w:val="21AE2AB8"/>
    <w:rsid w:val="21B04A82"/>
    <w:rsid w:val="21B445C8"/>
    <w:rsid w:val="21B7196D"/>
    <w:rsid w:val="21B77BBF"/>
    <w:rsid w:val="21B856E5"/>
    <w:rsid w:val="21BE2CFB"/>
    <w:rsid w:val="21C24F4B"/>
    <w:rsid w:val="21DA565B"/>
    <w:rsid w:val="21DE51E0"/>
    <w:rsid w:val="21E12E8E"/>
    <w:rsid w:val="21EB7868"/>
    <w:rsid w:val="21F37F51"/>
    <w:rsid w:val="21F77FBB"/>
    <w:rsid w:val="22010E3A"/>
    <w:rsid w:val="22071464"/>
    <w:rsid w:val="220D77DF"/>
    <w:rsid w:val="22172DB3"/>
    <w:rsid w:val="22283C9F"/>
    <w:rsid w:val="2232235C"/>
    <w:rsid w:val="22327245"/>
    <w:rsid w:val="22396826"/>
    <w:rsid w:val="224F66C7"/>
    <w:rsid w:val="22617B2B"/>
    <w:rsid w:val="226715E5"/>
    <w:rsid w:val="22737F8A"/>
    <w:rsid w:val="227A00E5"/>
    <w:rsid w:val="22851A6B"/>
    <w:rsid w:val="22883309"/>
    <w:rsid w:val="228F4698"/>
    <w:rsid w:val="229B4DEB"/>
    <w:rsid w:val="22AC349C"/>
    <w:rsid w:val="22AE0FC2"/>
    <w:rsid w:val="22C95D2C"/>
    <w:rsid w:val="22CA1B74"/>
    <w:rsid w:val="22D16A5E"/>
    <w:rsid w:val="22D402FC"/>
    <w:rsid w:val="22DD18A7"/>
    <w:rsid w:val="22E5075C"/>
    <w:rsid w:val="22E569AE"/>
    <w:rsid w:val="22E86E52"/>
    <w:rsid w:val="22EC3898"/>
    <w:rsid w:val="22F15352"/>
    <w:rsid w:val="22F32E79"/>
    <w:rsid w:val="2302130E"/>
    <w:rsid w:val="23052BAC"/>
    <w:rsid w:val="23122CD3"/>
    <w:rsid w:val="231352C9"/>
    <w:rsid w:val="232413BB"/>
    <w:rsid w:val="23291785"/>
    <w:rsid w:val="2329689A"/>
    <w:rsid w:val="23333275"/>
    <w:rsid w:val="233C481F"/>
    <w:rsid w:val="2342795C"/>
    <w:rsid w:val="23447230"/>
    <w:rsid w:val="234E6170"/>
    <w:rsid w:val="23530B52"/>
    <w:rsid w:val="235F406A"/>
    <w:rsid w:val="23675615"/>
    <w:rsid w:val="236E0751"/>
    <w:rsid w:val="23710488"/>
    <w:rsid w:val="23751ADF"/>
    <w:rsid w:val="237A0EA4"/>
    <w:rsid w:val="2381304A"/>
    <w:rsid w:val="238241FC"/>
    <w:rsid w:val="238E68DC"/>
    <w:rsid w:val="23952182"/>
    <w:rsid w:val="2398757C"/>
    <w:rsid w:val="239A7798"/>
    <w:rsid w:val="23A7789F"/>
    <w:rsid w:val="23B51EDC"/>
    <w:rsid w:val="23B87C1E"/>
    <w:rsid w:val="23BB002C"/>
    <w:rsid w:val="23C05002"/>
    <w:rsid w:val="23C16AD3"/>
    <w:rsid w:val="23C2004B"/>
    <w:rsid w:val="23C33515"/>
    <w:rsid w:val="23CB5BA3"/>
    <w:rsid w:val="23D42CAA"/>
    <w:rsid w:val="23D700A4"/>
    <w:rsid w:val="23DA5DE6"/>
    <w:rsid w:val="23E60F9A"/>
    <w:rsid w:val="23E6478B"/>
    <w:rsid w:val="23E80503"/>
    <w:rsid w:val="23E822B1"/>
    <w:rsid w:val="23F1680C"/>
    <w:rsid w:val="23F32A04"/>
    <w:rsid w:val="23FE1AD5"/>
    <w:rsid w:val="23FF584D"/>
    <w:rsid w:val="24003A9F"/>
    <w:rsid w:val="24042E63"/>
    <w:rsid w:val="242E494F"/>
    <w:rsid w:val="243948BB"/>
    <w:rsid w:val="243C25FD"/>
    <w:rsid w:val="243E15D5"/>
    <w:rsid w:val="2443398C"/>
    <w:rsid w:val="244F0582"/>
    <w:rsid w:val="24551238"/>
    <w:rsid w:val="245931AF"/>
    <w:rsid w:val="245A2A83"/>
    <w:rsid w:val="245E07C6"/>
    <w:rsid w:val="247B3126"/>
    <w:rsid w:val="247E2C16"/>
    <w:rsid w:val="24853FA4"/>
    <w:rsid w:val="248E2DBA"/>
    <w:rsid w:val="24A65CC9"/>
    <w:rsid w:val="24A73F1B"/>
    <w:rsid w:val="24AB32DF"/>
    <w:rsid w:val="24B6415E"/>
    <w:rsid w:val="24BB79C6"/>
    <w:rsid w:val="24C23177"/>
    <w:rsid w:val="24C35F2D"/>
    <w:rsid w:val="24C3687B"/>
    <w:rsid w:val="24DE5462"/>
    <w:rsid w:val="24E24F53"/>
    <w:rsid w:val="24EE1B49"/>
    <w:rsid w:val="25076767"/>
    <w:rsid w:val="25090731"/>
    <w:rsid w:val="2510486F"/>
    <w:rsid w:val="25145328"/>
    <w:rsid w:val="251915B4"/>
    <w:rsid w:val="25224672"/>
    <w:rsid w:val="25250089"/>
    <w:rsid w:val="25252A8D"/>
    <w:rsid w:val="25284930"/>
    <w:rsid w:val="25341526"/>
    <w:rsid w:val="253F4153"/>
    <w:rsid w:val="254E083A"/>
    <w:rsid w:val="254F010E"/>
    <w:rsid w:val="255B2F57"/>
    <w:rsid w:val="255B6AB3"/>
    <w:rsid w:val="255D0A7D"/>
    <w:rsid w:val="25755DC7"/>
    <w:rsid w:val="25777D91"/>
    <w:rsid w:val="257C132B"/>
    <w:rsid w:val="257C53A7"/>
    <w:rsid w:val="257D4C7B"/>
    <w:rsid w:val="25822292"/>
    <w:rsid w:val="25853B30"/>
    <w:rsid w:val="25910727"/>
    <w:rsid w:val="25946A15"/>
    <w:rsid w:val="259F425C"/>
    <w:rsid w:val="25A67057"/>
    <w:rsid w:val="25A95A70"/>
    <w:rsid w:val="25BC39F6"/>
    <w:rsid w:val="25BC57A4"/>
    <w:rsid w:val="25BF34E6"/>
    <w:rsid w:val="25C26B32"/>
    <w:rsid w:val="25D54115"/>
    <w:rsid w:val="25E1072B"/>
    <w:rsid w:val="25F0369F"/>
    <w:rsid w:val="25F10580"/>
    <w:rsid w:val="25F52A64"/>
    <w:rsid w:val="25F72F27"/>
    <w:rsid w:val="25F901AD"/>
    <w:rsid w:val="25F94997"/>
    <w:rsid w:val="25FF1B34"/>
    <w:rsid w:val="26031625"/>
    <w:rsid w:val="26080E3C"/>
    <w:rsid w:val="260B2287"/>
    <w:rsid w:val="260F4C55"/>
    <w:rsid w:val="26170C2C"/>
    <w:rsid w:val="2617194A"/>
    <w:rsid w:val="26192BF6"/>
    <w:rsid w:val="261E020C"/>
    <w:rsid w:val="26265313"/>
    <w:rsid w:val="26284BE7"/>
    <w:rsid w:val="26291B1A"/>
    <w:rsid w:val="262A4E03"/>
    <w:rsid w:val="262E41C8"/>
    <w:rsid w:val="26325A66"/>
    <w:rsid w:val="263A2B6C"/>
    <w:rsid w:val="263D4800"/>
    <w:rsid w:val="263D6189"/>
    <w:rsid w:val="263F0183"/>
    <w:rsid w:val="26404C6A"/>
    <w:rsid w:val="264D6C20"/>
    <w:rsid w:val="264F6618"/>
    <w:rsid w:val="26555BF8"/>
    <w:rsid w:val="266B541C"/>
    <w:rsid w:val="2674607E"/>
    <w:rsid w:val="26763E6F"/>
    <w:rsid w:val="26783E77"/>
    <w:rsid w:val="267C3983"/>
    <w:rsid w:val="267C4F33"/>
    <w:rsid w:val="26804A23"/>
    <w:rsid w:val="268169ED"/>
    <w:rsid w:val="26924756"/>
    <w:rsid w:val="269E3A6B"/>
    <w:rsid w:val="26A050C5"/>
    <w:rsid w:val="26A56238"/>
    <w:rsid w:val="26A85D28"/>
    <w:rsid w:val="26AC3A6A"/>
    <w:rsid w:val="26B446CD"/>
    <w:rsid w:val="26B7240F"/>
    <w:rsid w:val="26B91CE3"/>
    <w:rsid w:val="26C03072"/>
    <w:rsid w:val="26C2328E"/>
    <w:rsid w:val="26CC044F"/>
    <w:rsid w:val="26D11723"/>
    <w:rsid w:val="26D14F16"/>
    <w:rsid w:val="26D82BDE"/>
    <w:rsid w:val="26DC3C24"/>
    <w:rsid w:val="26E1123A"/>
    <w:rsid w:val="26E825C8"/>
    <w:rsid w:val="26EB0757"/>
    <w:rsid w:val="26ED5E31"/>
    <w:rsid w:val="26F64CE5"/>
    <w:rsid w:val="26FB67A0"/>
    <w:rsid w:val="270101AC"/>
    <w:rsid w:val="27167136"/>
    <w:rsid w:val="2719451E"/>
    <w:rsid w:val="27221F7E"/>
    <w:rsid w:val="27254FD9"/>
    <w:rsid w:val="27277595"/>
    <w:rsid w:val="272B734B"/>
    <w:rsid w:val="272E26D1"/>
    <w:rsid w:val="2732478D"/>
    <w:rsid w:val="27392E24"/>
    <w:rsid w:val="273B4DEE"/>
    <w:rsid w:val="273E6A05"/>
    <w:rsid w:val="27421CD9"/>
    <w:rsid w:val="274912B9"/>
    <w:rsid w:val="274D71B2"/>
    <w:rsid w:val="2751147F"/>
    <w:rsid w:val="275B0FEC"/>
    <w:rsid w:val="275B723E"/>
    <w:rsid w:val="2767173F"/>
    <w:rsid w:val="27706CF6"/>
    <w:rsid w:val="277F2F2D"/>
    <w:rsid w:val="27802801"/>
    <w:rsid w:val="27846795"/>
    <w:rsid w:val="278A3680"/>
    <w:rsid w:val="278F0C96"/>
    <w:rsid w:val="27912C60"/>
    <w:rsid w:val="279C6957"/>
    <w:rsid w:val="27A42993"/>
    <w:rsid w:val="27AC35F6"/>
    <w:rsid w:val="27BF157B"/>
    <w:rsid w:val="27C070A1"/>
    <w:rsid w:val="27C2106B"/>
    <w:rsid w:val="27C76682"/>
    <w:rsid w:val="27CC0C59"/>
    <w:rsid w:val="27CE15C4"/>
    <w:rsid w:val="27D32B77"/>
    <w:rsid w:val="27D50D9F"/>
    <w:rsid w:val="27D85DEF"/>
    <w:rsid w:val="27DD5EA5"/>
    <w:rsid w:val="27DD7C53"/>
    <w:rsid w:val="27DE5929"/>
    <w:rsid w:val="27DF1C1D"/>
    <w:rsid w:val="27E14C4C"/>
    <w:rsid w:val="27F37477"/>
    <w:rsid w:val="27F82CDF"/>
    <w:rsid w:val="280346CD"/>
    <w:rsid w:val="28090A48"/>
    <w:rsid w:val="280E42B1"/>
    <w:rsid w:val="2815563F"/>
    <w:rsid w:val="28173165"/>
    <w:rsid w:val="281D44F4"/>
    <w:rsid w:val="282105EF"/>
    <w:rsid w:val="282160D2"/>
    <w:rsid w:val="282D0BDB"/>
    <w:rsid w:val="283E4B96"/>
    <w:rsid w:val="28425D08"/>
    <w:rsid w:val="284D302B"/>
    <w:rsid w:val="285717B4"/>
    <w:rsid w:val="285A74F6"/>
    <w:rsid w:val="28641A74"/>
    <w:rsid w:val="286A073E"/>
    <w:rsid w:val="286C62A1"/>
    <w:rsid w:val="286E6AFD"/>
    <w:rsid w:val="287B7B98"/>
    <w:rsid w:val="287E4F92"/>
    <w:rsid w:val="28810F26"/>
    <w:rsid w:val="28813C00"/>
    <w:rsid w:val="288822B5"/>
    <w:rsid w:val="288C0DA8"/>
    <w:rsid w:val="288D0D17"/>
    <w:rsid w:val="28942A08"/>
    <w:rsid w:val="289724F8"/>
    <w:rsid w:val="289F315B"/>
    <w:rsid w:val="28A069B8"/>
    <w:rsid w:val="28A80261"/>
    <w:rsid w:val="28A8200F"/>
    <w:rsid w:val="28A855B6"/>
    <w:rsid w:val="28AB7D51"/>
    <w:rsid w:val="28AF15F0"/>
    <w:rsid w:val="28B9421C"/>
    <w:rsid w:val="28C055AB"/>
    <w:rsid w:val="28C2132E"/>
    <w:rsid w:val="28C21683"/>
    <w:rsid w:val="28CC03F4"/>
    <w:rsid w:val="28CD1A76"/>
    <w:rsid w:val="28CD5F1A"/>
    <w:rsid w:val="28D76D98"/>
    <w:rsid w:val="28E444C1"/>
    <w:rsid w:val="28E91260"/>
    <w:rsid w:val="28F72971"/>
    <w:rsid w:val="28F74D45"/>
    <w:rsid w:val="28F96D0F"/>
    <w:rsid w:val="28FD67FF"/>
    <w:rsid w:val="29053906"/>
    <w:rsid w:val="29057462"/>
    <w:rsid w:val="290A0F1C"/>
    <w:rsid w:val="290C6A42"/>
    <w:rsid w:val="290F3C6E"/>
    <w:rsid w:val="290F6532"/>
    <w:rsid w:val="29100AE1"/>
    <w:rsid w:val="2916166F"/>
    <w:rsid w:val="292A6EC8"/>
    <w:rsid w:val="2934401A"/>
    <w:rsid w:val="293935AF"/>
    <w:rsid w:val="2939535D"/>
    <w:rsid w:val="293D6BFB"/>
    <w:rsid w:val="29401994"/>
    <w:rsid w:val="29422464"/>
    <w:rsid w:val="29424212"/>
    <w:rsid w:val="29444208"/>
    <w:rsid w:val="29464CEE"/>
    <w:rsid w:val="29514455"/>
    <w:rsid w:val="29542197"/>
    <w:rsid w:val="29587FFA"/>
    <w:rsid w:val="29606D8E"/>
    <w:rsid w:val="296A5517"/>
    <w:rsid w:val="29851533"/>
    <w:rsid w:val="298C2EB2"/>
    <w:rsid w:val="298C7B83"/>
    <w:rsid w:val="299F78B6"/>
    <w:rsid w:val="29A30B6B"/>
    <w:rsid w:val="29A547A1"/>
    <w:rsid w:val="29AA6257"/>
    <w:rsid w:val="29AF583B"/>
    <w:rsid w:val="29B13146"/>
    <w:rsid w:val="29C015DB"/>
    <w:rsid w:val="29C72969"/>
    <w:rsid w:val="29E452C9"/>
    <w:rsid w:val="29E96D83"/>
    <w:rsid w:val="29F179E6"/>
    <w:rsid w:val="29F3375E"/>
    <w:rsid w:val="29F714A0"/>
    <w:rsid w:val="2A0239A1"/>
    <w:rsid w:val="2A063491"/>
    <w:rsid w:val="2A0B4F4C"/>
    <w:rsid w:val="2A0B7379"/>
    <w:rsid w:val="2A141C7C"/>
    <w:rsid w:val="2A151926"/>
    <w:rsid w:val="2A1807F9"/>
    <w:rsid w:val="2A181417"/>
    <w:rsid w:val="2A187669"/>
    <w:rsid w:val="2A1C0F07"/>
    <w:rsid w:val="2A241B69"/>
    <w:rsid w:val="2A2C4823"/>
    <w:rsid w:val="2A3073E0"/>
    <w:rsid w:val="2A32072A"/>
    <w:rsid w:val="2A336250"/>
    <w:rsid w:val="2A3743FE"/>
    <w:rsid w:val="2A420242"/>
    <w:rsid w:val="2A465F84"/>
    <w:rsid w:val="2A470A00"/>
    <w:rsid w:val="2A4B359A"/>
    <w:rsid w:val="2A4C4C2F"/>
    <w:rsid w:val="2A510485"/>
    <w:rsid w:val="2A524929"/>
    <w:rsid w:val="2A614B6C"/>
    <w:rsid w:val="2A6401B8"/>
    <w:rsid w:val="2A644032"/>
    <w:rsid w:val="2A6E404E"/>
    <w:rsid w:val="2A7F3244"/>
    <w:rsid w:val="2A8329A5"/>
    <w:rsid w:val="2A834AE2"/>
    <w:rsid w:val="2A905451"/>
    <w:rsid w:val="2A97058D"/>
    <w:rsid w:val="2A9A1E2C"/>
    <w:rsid w:val="2AAF1D7B"/>
    <w:rsid w:val="2AB078A1"/>
    <w:rsid w:val="2ABE1FBE"/>
    <w:rsid w:val="2AC1385C"/>
    <w:rsid w:val="2AC31382"/>
    <w:rsid w:val="2AC33130"/>
    <w:rsid w:val="2AC60E73"/>
    <w:rsid w:val="2ACF7D27"/>
    <w:rsid w:val="2AD4533E"/>
    <w:rsid w:val="2ADC0D9C"/>
    <w:rsid w:val="2AE25962"/>
    <w:rsid w:val="2AE35535"/>
    <w:rsid w:val="2AE65071"/>
    <w:rsid w:val="2AE82B97"/>
    <w:rsid w:val="2AED4651"/>
    <w:rsid w:val="2B021EE1"/>
    <w:rsid w:val="2B040A47"/>
    <w:rsid w:val="2B110340"/>
    <w:rsid w:val="2B141BDE"/>
    <w:rsid w:val="2B1B11BE"/>
    <w:rsid w:val="2B275DB5"/>
    <w:rsid w:val="2B2D2CA0"/>
    <w:rsid w:val="2B357971"/>
    <w:rsid w:val="2B3D7387"/>
    <w:rsid w:val="2B3F2753"/>
    <w:rsid w:val="2B473D61"/>
    <w:rsid w:val="2B496FA3"/>
    <w:rsid w:val="2B4A3852"/>
    <w:rsid w:val="2B4C2FF7"/>
    <w:rsid w:val="2B51698E"/>
    <w:rsid w:val="2B532BFE"/>
    <w:rsid w:val="2B591CE7"/>
    <w:rsid w:val="2B5B780D"/>
    <w:rsid w:val="2B603075"/>
    <w:rsid w:val="2B6A469F"/>
    <w:rsid w:val="2B6E0DD0"/>
    <w:rsid w:val="2B74267D"/>
    <w:rsid w:val="2B764647"/>
    <w:rsid w:val="2B7F799F"/>
    <w:rsid w:val="2B822FEC"/>
    <w:rsid w:val="2B8A6344"/>
    <w:rsid w:val="2B8C79C6"/>
    <w:rsid w:val="2B911481"/>
    <w:rsid w:val="2B980A61"/>
    <w:rsid w:val="2B9E76FA"/>
    <w:rsid w:val="2BA80578"/>
    <w:rsid w:val="2BA94A1C"/>
    <w:rsid w:val="2BAC65A8"/>
    <w:rsid w:val="2BB024B4"/>
    <w:rsid w:val="2BB138D1"/>
    <w:rsid w:val="2BB46F1D"/>
    <w:rsid w:val="2BC03B14"/>
    <w:rsid w:val="2BC144F7"/>
    <w:rsid w:val="2BC60F98"/>
    <w:rsid w:val="2BC628A0"/>
    <w:rsid w:val="2BCA04EF"/>
    <w:rsid w:val="2BCB45F0"/>
    <w:rsid w:val="2BCE6231"/>
    <w:rsid w:val="2BD17ACF"/>
    <w:rsid w:val="2BF35C97"/>
    <w:rsid w:val="2BF832AE"/>
    <w:rsid w:val="2C0559CB"/>
    <w:rsid w:val="2C05601F"/>
    <w:rsid w:val="2C066A1A"/>
    <w:rsid w:val="2C097269"/>
    <w:rsid w:val="2C0B4AE6"/>
    <w:rsid w:val="2C29790B"/>
    <w:rsid w:val="2C300C99"/>
    <w:rsid w:val="2C3818FC"/>
    <w:rsid w:val="2C3B13EC"/>
    <w:rsid w:val="2C3F712F"/>
    <w:rsid w:val="2C4464F3"/>
    <w:rsid w:val="2C471B3F"/>
    <w:rsid w:val="2C5030EA"/>
    <w:rsid w:val="2C5129BE"/>
    <w:rsid w:val="2C581F9E"/>
    <w:rsid w:val="2C5A1872"/>
    <w:rsid w:val="2C630D27"/>
    <w:rsid w:val="2C6721E1"/>
    <w:rsid w:val="2C695F59"/>
    <w:rsid w:val="2C732934"/>
    <w:rsid w:val="2C7768C8"/>
    <w:rsid w:val="2C8114F5"/>
    <w:rsid w:val="2C81312E"/>
    <w:rsid w:val="2C8165FA"/>
    <w:rsid w:val="2C864D5D"/>
    <w:rsid w:val="2C882884"/>
    <w:rsid w:val="2CA13945"/>
    <w:rsid w:val="2CA156F3"/>
    <w:rsid w:val="2CAB5E37"/>
    <w:rsid w:val="2CAC7CBD"/>
    <w:rsid w:val="2CB216AE"/>
    <w:rsid w:val="2CBA0563"/>
    <w:rsid w:val="2CC338BC"/>
    <w:rsid w:val="2CCC08A3"/>
    <w:rsid w:val="2CD86C3B"/>
    <w:rsid w:val="2CDC672B"/>
    <w:rsid w:val="2CDD4252"/>
    <w:rsid w:val="2CE101E6"/>
    <w:rsid w:val="2CE33F5E"/>
    <w:rsid w:val="2CE455E0"/>
    <w:rsid w:val="2CED0939"/>
    <w:rsid w:val="2CEF2903"/>
    <w:rsid w:val="2CF25F4F"/>
    <w:rsid w:val="2CFE2B46"/>
    <w:rsid w:val="2D0A514C"/>
    <w:rsid w:val="2D142369"/>
    <w:rsid w:val="2D1660E1"/>
    <w:rsid w:val="2D173C07"/>
    <w:rsid w:val="2D177764"/>
    <w:rsid w:val="2D1C04A1"/>
    <w:rsid w:val="2D214A86"/>
    <w:rsid w:val="2D2C37A1"/>
    <w:rsid w:val="2D2F2CFF"/>
    <w:rsid w:val="2D2F30DD"/>
    <w:rsid w:val="2D360531"/>
    <w:rsid w:val="2D3E2F42"/>
    <w:rsid w:val="2D3F44AA"/>
    <w:rsid w:val="2D412A32"/>
    <w:rsid w:val="2D4367AA"/>
    <w:rsid w:val="2D482013"/>
    <w:rsid w:val="2D4D587B"/>
    <w:rsid w:val="2D522E91"/>
    <w:rsid w:val="2D56396E"/>
    <w:rsid w:val="2D5B1D46"/>
    <w:rsid w:val="2D5B3AF4"/>
    <w:rsid w:val="2D5E5392"/>
    <w:rsid w:val="2D60735C"/>
    <w:rsid w:val="2D621327"/>
    <w:rsid w:val="2D654973"/>
    <w:rsid w:val="2D6706EB"/>
    <w:rsid w:val="2D6906A3"/>
    <w:rsid w:val="2D6D7CCB"/>
    <w:rsid w:val="2D744BB6"/>
    <w:rsid w:val="2D796670"/>
    <w:rsid w:val="2D8079FF"/>
    <w:rsid w:val="2D8748E9"/>
    <w:rsid w:val="2D8C1F00"/>
    <w:rsid w:val="2D8C63A3"/>
    <w:rsid w:val="2D8D5C78"/>
    <w:rsid w:val="2D9139BA"/>
    <w:rsid w:val="2D960FD0"/>
    <w:rsid w:val="2DB235BF"/>
    <w:rsid w:val="2DBD47AF"/>
    <w:rsid w:val="2DC07DFB"/>
    <w:rsid w:val="2DC773DC"/>
    <w:rsid w:val="2DCC49F2"/>
    <w:rsid w:val="2DDD6BFF"/>
    <w:rsid w:val="2DE0049D"/>
    <w:rsid w:val="2DE24215"/>
    <w:rsid w:val="2DE57862"/>
    <w:rsid w:val="2DF67CC1"/>
    <w:rsid w:val="2DF81343"/>
    <w:rsid w:val="2E0A72C8"/>
    <w:rsid w:val="2E0E500A"/>
    <w:rsid w:val="2E112405"/>
    <w:rsid w:val="2E1819E5"/>
    <w:rsid w:val="2E24038A"/>
    <w:rsid w:val="2E271C28"/>
    <w:rsid w:val="2E2760CC"/>
    <w:rsid w:val="2E31153B"/>
    <w:rsid w:val="2E314855"/>
    <w:rsid w:val="2E374561"/>
    <w:rsid w:val="2E3A195C"/>
    <w:rsid w:val="2E3D31FA"/>
    <w:rsid w:val="2E4212B4"/>
    <w:rsid w:val="2E422F06"/>
    <w:rsid w:val="2E426A62"/>
    <w:rsid w:val="2E496043"/>
    <w:rsid w:val="2E4C168F"/>
    <w:rsid w:val="2E4E18AB"/>
    <w:rsid w:val="2E577392"/>
    <w:rsid w:val="2E620EB2"/>
    <w:rsid w:val="2E6E6547"/>
    <w:rsid w:val="2E804326"/>
    <w:rsid w:val="2E811792"/>
    <w:rsid w:val="2E8250B1"/>
    <w:rsid w:val="2E8452CD"/>
    <w:rsid w:val="2E8928E3"/>
    <w:rsid w:val="2E8B1B62"/>
    <w:rsid w:val="2E913546"/>
    <w:rsid w:val="2E930678"/>
    <w:rsid w:val="2E933762"/>
    <w:rsid w:val="2E970AE4"/>
    <w:rsid w:val="2E9848D4"/>
    <w:rsid w:val="2E9D638E"/>
    <w:rsid w:val="2EA27501"/>
    <w:rsid w:val="2EAC037F"/>
    <w:rsid w:val="2EB227A5"/>
    <w:rsid w:val="2EC8340B"/>
    <w:rsid w:val="2EC97183"/>
    <w:rsid w:val="2ED6380B"/>
    <w:rsid w:val="2EDD678B"/>
    <w:rsid w:val="2EDE0530"/>
    <w:rsid w:val="2EE45D6B"/>
    <w:rsid w:val="2EE47B19"/>
    <w:rsid w:val="2EE61AE3"/>
    <w:rsid w:val="2EE87609"/>
    <w:rsid w:val="2EEB0EA8"/>
    <w:rsid w:val="2EEB70FA"/>
    <w:rsid w:val="2EF51D26"/>
    <w:rsid w:val="2EFC4E63"/>
    <w:rsid w:val="2F142B95"/>
    <w:rsid w:val="2F17377A"/>
    <w:rsid w:val="2F3B1E2F"/>
    <w:rsid w:val="2F3E36CD"/>
    <w:rsid w:val="2F416D1A"/>
    <w:rsid w:val="2F433D54"/>
    <w:rsid w:val="2F462582"/>
    <w:rsid w:val="2F4A3E20"/>
    <w:rsid w:val="2F5007E6"/>
    <w:rsid w:val="2F634EE2"/>
    <w:rsid w:val="2F68699C"/>
    <w:rsid w:val="2F76433B"/>
    <w:rsid w:val="2F822BAC"/>
    <w:rsid w:val="2F827A5E"/>
    <w:rsid w:val="2F8A246F"/>
    <w:rsid w:val="2F910C4A"/>
    <w:rsid w:val="2F963509"/>
    <w:rsid w:val="2F96630B"/>
    <w:rsid w:val="2FA06136"/>
    <w:rsid w:val="2FA554FB"/>
    <w:rsid w:val="2FA774C5"/>
    <w:rsid w:val="2FA8323D"/>
    <w:rsid w:val="2FAC7913"/>
    <w:rsid w:val="2FAD2601"/>
    <w:rsid w:val="2FBD58EB"/>
    <w:rsid w:val="2FC811E9"/>
    <w:rsid w:val="2FDB2CCA"/>
    <w:rsid w:val="2FE029D7"/>
    <w:rsid w:val="2FE51D9B"/>
    <w:rsid w:val="2FE6510B"/>
    <w:rsid w:val="2FF07B91"/>
    <w:rsid w:val="2FF10740"/>
    <w:rsid w:val="2FFE41BD"/>
    <w:rsid w:val="30041A89"/>
    <w:rsid w:val="30180DCD"/>
    <w:rsid w:val="301B0ECA"/>
    <w:rsid w:val="301F6139"/>
    <w:rsid w:val="302B1C8C"/>
    <w:rsid w:val="302F1268"/>
    <w:rsid w:val="303845C1"/>
    <w:rsid w:val="30393E95"/>
    <w:rsid w:val="303E14AB"/>
    <w:rsid w:val="30406FD1"/>
    <w:rsid w:val="3049232A"/>
    <w:rsid w:val="305B205D"/>
    <w:rsid w:val="305B22B4"/>
    <w:rsid w:val="30641E74"/>
    <w:rsid w:val="306A22A0"/>
    <w:rsid w:val="307750E9"/>
    <w:rsid w:val="307E133F"/>
    <w:rsid w:val="30810E1D"/>
    <w:rsid w:val="309304E6"/>
    <w:rsid w:val="30931F4C"/>
    <w:rsid w:val="30986E0B"/>
    <w:rsid w:val="309D2676"/>
    <w:rsid w:val="30A1283C"/>
    <w:rsid w:val="30AE03DF"/>
    <w:rsid w:val="30B005FB"/>
    <w:rsid w:val="30B57B0F"/>
    <w:rsid w:val="30B654E5"/>
    <w:rsid w:val="30C23E8A"/>
    <w:rsid w:val="30C91EE6"/>
    <w:rsid w:val="30CF2960"/>
    <w:rsid w:val="30D616E4"/>
    <w:rsid w:val="30E20088"/>
    <w:rsid w:val="30E958BB"/>
    <w:rsid w:val="30EB33E1"/>
    <w:rsid w:val="30F97581"/>
    <w:rsid w:val="30FC739C"/>
    <w:rsid w:val="310149B3"/>
    <w:rsid w:val="31077AEF"/>
    <w:rsid w:val="3115220C"/>
    <w:rsid w:val="311A1F18"/>
    <w:rsid w:val="312243DD"/>
    <w:rsid w:val="312245A1"/>
    <w:rsid w:val="3125515C"/>
    <w:rsid w:val="31264419"/>
    <w:rsid w:val="31271F3F"/>
    <w:rsid w:val="312B5ED3"/>
    <w:rsid w:val="312F7772"/>
    <w:rsid w:val="312F793D"/>
    <w:rsid w:val="3135465C"/>
    <w:rsid w:val="31376626"/>
    <w:rsid w:val="313C3C3D"/>
    <w:rsid w:val="313F54DB"/>
    <w:rsid w:val="3140197F"/>
    <w:rsid w:val="314256C4"/>
    <w:rsid w:val="31432160"/>
    <w:rsid w:val="314D5E4A"/>
    <w:rsid w:val="3152089D"/>
    <w:rsid w:val="31552F50"/>
    <w:rsid w:val="31570A76"/>
    <w:rsid w:val="315A0567"/>
    <w:rsid w:val="315D7C3C"/>
    <w:rsid w:val="316504F7"/>
    <w:rsid w:val="316663A9"/>
    <w:rsid w:val="316B14B3"/>
    <w:rsid w:val="316B4522"/>
    <w:rsid w:val="316E48C8"/>
    <w:rsid w:val="3179279B"/>
    <w:rsid w:val="31794E91"/>
    <w:rsid w:val="317F3B29"/>
    <w:rsid w:val="318555E4"/>
    <w:rsid w:val="31947CF5"/>
    <w:rsid w:val="3196159F"/>
    <w:rsid w:val="3196684B"/>
    <w:rsid w:val="31994052"/>
    <w:rsid w:val="31A108BF"/>
    <w:rsid w:val="31A11CF2"/>
    <w:rsid w:val="31A16195"/>
    <w:rsid w:val="31A230CB"/>
    <w:rsid w:val="31B23EFF"/>
    <w:rsid w:val="31B93423"/>
    <w:rsid w:val="31BE0AF5"/>
    <w:rsid w:val="31C4384F"/>
    <w:rsid w:val="31C65637"/>
    <w:rsid w:val="31C83722"/>
    <w:rsid w:val="31CF1AD1"/>
    <w:rsid w:val="31CF2D03"/>
    <w:rsid w:val="31D04A59"/>
    <w:rsid w:val="31D10829"/>
    <w:rsid w:val="31E4216D"/>
    <w:rsid w:val="31E46467"/>
    <w:rsid w:val="31ED4F37"/>
    <w:rsid w:val="31F2079F"/>
    <w:rsid w:val="320209E2"/>
    <w:rsid w:val="32052280"/>
    <w:rsid w:val="320A7897"/>
    <w:rsid w:val="32144BB9"/>
    <w:rsid w:val="32180206"/>
    <w:rsid w:val="323963CE"/>
    <w:rsid w:val="323A4620"/>
    <w:rsid w:val="32417274"/>
    <w:rsid w:val="324A57AF"/>
    <w:rsid w:val="324C7EAF"/>
    <w:rsid w:val="325154C6"/>
    <w:rsid w:val="325A3E25"/>
    <w:rsid w:val="326225B7"/>
    <w:rsid w:val="32655415"/>
    <w:rsid w:val="3267118D"/>
    <w:rsid w:val="32673AB6"/>
    <w:rsid w:val="326E6078"/>
    <w:rsid w:val="32715B68"/>
    <w:rsid w:val="32764F2C"/>
    <w:rsid w:val="32771258"/>
    <w:rsid w:val="3278255C"/>
    <w:rsid w:val="32785148"/>
    <w:rsid w:val="32794A1C"/>
    <w:rsid w:val="327F0285"/>
    <w:rsid w:val="32870EE7"/>
    <w:rsid w:val="328A6C2A"/>
    <w:rsid w:val="32951856"/>
    <w:rsid w:val="32981347"/>
    <w:rsid w:val="329F04E5"/>
    <w:rsid w:val="32A221C5"/>
    <w:rsid w:val="32A45F3D"/>
    <w:rsid w:val="32AA764E"/>
    <w:rsid w:val="32AC094E"/>
    <w:rsid w:val="32B1215D"/>
    <w:rsid w:val="32BC21C9"/>
    <w:rsid w:val="32C24615"/>
    <w:rsid w:val="32D14858"/>
    <w:rsid w:val="32D8387B"/>
    <w:rsid w:val="32DA195F"/>
    <w:rsid w:val="32E4633A"/>
    <w:rsid w:val="32EB591A"/>
    <w:rsid w:val="32F04CDF"/>
    <w:rsid w:val="32F26CA9"/>
    <w:rsid w:val="32F32A21"/>
    <w:rsid w:val="32F9755F"/>
    <w:rsid w:val="32FD73FC"/>
    <w:rsid w:val="330B38C7"/>
    <w:rsid w:val="330C5891"/>
    <w:rsid w:val="3310712F"/>
    <w:rsid w:val="33185FE3"/>
    <w:rsid w:val="331A61FF"/>
    <w:rsid w:val="331B2806"/>
    <w:rsid w:val="331C1F78"/>
    <w:rsid w:val="33226E62"/>
    <w:rsid w:val="332D7CE1"/>
    <w:rsid w:val="333214D1"/>
    <w:rsid w:val="33370B5F"/>
    <w:rsid w:val="333E30F6"/>
    <w:rsid w:val="333F6A58"/>
    <w:rsid w:val="33501C21"/>
    <w:rsid w:val="33527747"/>
    <w:rsid w:val="335A484E"/>
    <w:rsid w:val="3364747B"/>
    <w:rsid w:val="336631F3"/>
    <w:rsid w:val="336A5368"/>
    <w:rsid w:val="3370495E"/>
    <w:rsid w:val="337138EB"/>
    <w:rsid w:val="337C6572"/>
    <w:rsid w:val="3381002D"/>
    <w:rsid w:val="339064C2"/>
    <w:rsid w:val="33925D96"/>
    <w:rsid w:val="33A930DF"/>
    <w:rsid w:val="33AF6948"/>
    <w:rsid w:val="33BA52ED"/>
    <w:rsid w:val="33BC4425"/>
    <w:rsid w:val="33C57F19"/>
    <w:rsid w:val="33CC0FC6"/>
    <w:rsid w:val="33CD5020"/>
    <w:rsid w:val="33DD0EAC"/>
    <w:rsid w:val="33DE0FDB"/>
    <w:rsid w:val="33EC7B9C"/>
    <w:rsid w:val="33F97BC3"/>
    <w:rsid w:val="33FB393B"/>
    <w:rsid w:val="33FD100B"/>
    <w:rsid w:val="34030A42"/>
    <w:rsid w:val="340622E0"/>
    <w:rsid w:val="340A0022"/>
    <w:rsid w:val="340A6274"/>
    <w:rsid w:val="34120C85"/>
    <w:rsid w:val="34126ED7"/>
    <w:rsid w:val="34143D51"/>
    <w:rsid w:val="341449FD"/>
    <w:rsid w:val="341D7D55"/>
    <w:rsid w:val="34256C0A"/>
    <w:rsid w:val="342C61EA"/>
    <w:rsid w:val="34302898"/>
    <w:rsid w:val="343216A0"/>
    <w:rsid w:val="34384B8F"/>
    <w:rsid w:val="34474DD2"/>
    <w:rsid w:val="344828F8"/>
    <w:rsid w:val="344A2B14"/>
    <w:rsid w:val="344C4197"/>
    <w:rsid w:val="344C7B26"/>
    <w:rsid w:val="34515C51"/>
    <w:rsid w:val="34572B3B"/>
    <w:rsid w:val="345B460B"/>
    <w:rsid w:val="34607C42"/>
    <w:rsid w:val="34763D72"/>
    <w:rsid w:val="347B1D25"/>
    <w:rsid w:val="348E2B4F"/>
    <w:rsid w:val="3491714C"/>
    <w:rsid w:val="34943D90"/>
    <w:rsid w:val="349B3370"/>
    <w:rsid w:val="34A33107"/>
    <w:rsid w:val="34A83397"/>
    <w:rsid w:val="34A9783B"/>
    <w:rsid w:val="34B1049E"/>
    <w:rsid w:val="34B47F8E"/>
    <w:rsid w:val="34B54432"/>
    <w:rsid w:val="34BB131C"/>
    <w:rsid w:val="34BB4966"/>
    <w:rsid w:val="34DF500B"/>
    <w:rsid w:val="34EC49AD"/>
    <w:rsid w:val="34F157A2"/>
    <w:rsid w:val="34FA3BF3"/>
    <w:rsid w:val="34FB5BBD"/>
    <w:rsid w:val="34FB796B"/>
    <w:rsid w:val="3501130E"/>
    <w:rsid w:val="3509652C"/>
    <w:rsid w:val="351A24E7"/>
    <w:rsid w:val="351D3D85"/>
    <w:rsid w:val="35213875"/>
    <w:rsid w:val="353335A8"/>
    <w:rsid w:val="353F3CFB"/>
    <w:rsid w:val="35411821"/>
    <w:rsid w:val="35441312"/>
    <w:rsid w:val="354E2190"/>
    <w:rsid w:val="35643762"/>
    <w:rsid w:val="356B4AF0"/>
    <w:rsid w:val="35731BF7"/>
    <w:rsid w:val="35742745"/>
    <w:rsid w:val="357716E7"/>
    <w:rsid w:val="357D4824"/>
    <w:rsid w:val="35814314"/>
    <w:rsid w:val="358856A2"/>
    <w:rsid w:val="35926521"/>
    <w:rsid w:val="359E4EC6"/>
    <w:rsid w:val="35A87E15"/>
    <w:rsid w:val="35AB3AF1"/>
    <w:rsid w:val="35AB75E3"/>
    <w:rsid w:val="35B53E09"/>
    <w:rsid w:val="35BC17F0"/>
    <w:rsid w:val="35BC534C"/>
    <w:rsid w:val="35C10BB4"/>
    <w:rsid w:val="35C36E72"/>
    <w:rsid w:val="35C42453"/>
    <w:rsid w:val="35C80195"/>
    <w:rsid w:val="35C97A69"/>
    <w:rsid w:val="35C97D56"/>
    <w:rsid w:val="35D42696"/>
    <w:rsid w:val="35DA5798"/>
    <w:rsid w:val="35DB533C"/>
    <w:rsid w:val="35DC154A"/>
    <w:rsid w:val="35E054DE"/>
    <w:rsid w:val="35E84393"/>
    <w:rsid w:val="35ED3757"/>
    <w:rsid w:val="35EE5D6B"/>
    <w:rsid w:val="35F03248"/>
    <w:rsid w:val="35F72828"/>
    <w:rsid w:val="360658FC"/>
    <w:rsid w:val="36080C03"/>
    <w:rsid w:val="36213401"/>
    <w:rsid w:val="36226BD4"/>
    <w:rsid w:val="36257395"/>
    <w:rsid w:val="36262C62"/>
    <w:rsid w:val="362D624A"/>
    <w:rsid w:val="363475D8"/>
    <w:rsid w:val="3637765B"/>
    <w:rsid w:val="363870C8"/>
    <w:rsid w:val="36393981"/>
    <w:rsid w:val="36394BEF"/>
    <w:rsid w:val="363A3F05"/>
    <w:rsid w:val="363D22C9"/>
    <w:rsid w:val="363F7524"/>
    <w:rsid w:val="36415851"/>
    <w:rsid w:val="364A0BAA"/>
    <w:rsid w:val="364F61C0"/>
    <w:rsid w:val="3652180C"/>
    <w:rsid w:val="365311E6"/>
    <w:rsid w:val="36545584"/>
    <w:rsid w:val="36545D30"/>
    <w:rsid w:val="36617CA1"/>
    <w:rsid w:val="366D4898"/>
    <w:rsid w:val="367112A8"/>
    <w:rsid w:val="36712FC0"/>
    <w:rsid w:val="3676374D"/>
    <w:rsid w:val="36794FEB"/>
    <w:rsid w:val="36806379"/>
    <w:rsid w:val="368340BC"/>
    <w:rsid w:val="36851BE2"/>
    <w:rsid w:val="36910587"/>
    <w:rsid w:val="36963DEF"/>
    <w:rsid w:val="36A77DAA"/>
    <w:rsid w:val="36AA789A"/>
    <w:rsid w:val="36BA0F57"/>
    <w:rsid w:val="36C4095C"/>
    <w:rsid w:val="36C83AF0"/>
    <w:rsid w:val="36C97D20"/>
    <w:rsid w:val="36CC7811"/>
    <w:rsid w:val="36CE5337"/>
    <w:rsid w:val="36E27034"/>
    <w:rsid w:val="36E7464B"/>
    <w:rsid w:val="36EF34FF"/>
    <w:rsid w:val="36F079A3"/>
    <w:rsid w:val="36F17277"/>
    <w:rsid w:val="36F256C2"/>
    <w:rsid w:val="36F56D67"/>
    <w:rsid w:val="36FF1994"/>
    <w:rsid w:val="37054AD1"/>
    <w:rsid w:val="3709636F"/>
    <w:rsid w:val="370A30AE"/>
    <w:rsid w:val="37123142"/>
    <w:rsid w:val="371A057C"/>
    <w:rsid w:val="371A4A20"/>
    <w:rsid w:val="371B42F4"/>
    <w:rsid w:val="371B60A2"/>
    <w:rsid w:val="371D006C"/>
    <w:rsid w:val="37297C4A"/>
    <w:rsid w:val="37377380"/>
    <w:rsid w:val="373A0C1E"/>
    <w:rsid w:val="37425D25"/>
    <w:rsid w:val="37473FEE"/>
    <w:rsid w:val="375021F0"/>
    <w:rsid w:val="375445E4"/>
    <w:rsid w:val="376637C1"/>
    <w:rsid w:val="37691503"/>
    <w:rsid w:val="376964D6"/>
    <w:rsid w:val="37700B05"/>
    <w:rsid w:val="377F4883"/>
    <w:rsid w:val="3781684D"/>
    <w:rsid w:val="378D71CC"/>
    <w:rsid w:val="37904CE2"/>
    <w:rsid w:val="37955E55"/>
    <w:rsid w:val="37971BCD"/>
    <w:rsid w:val="37977E1F"/>
    <w:rsid w:val="37991DE9"/>
    <w:rsid w:val="379A790F"/>
    <w:rsid w:val="379C0110"/>
    <w:rsid w:val="379C3619"/>
    <w:rsid w:val="379E11AD"/>
    <w:rsid w:val="379F4F25"/>
    <w:rsid w:val="379F6CD3"/>
    <w:rsid w:val="37A61E10"/>
    <w:rsid w:val="37BC5AD7"/>
    <w:rsid w:val="37BF1123"/>
    <w:rsid w:val="37C36E66"/>
    <w:rsid w:val="37C4498C"/>
    <w:rsid w:val="37C8622A"/>
    <w:rsid w:val="37CA01F4"/>
    <w:rsid w:val="37D01583"/>
    <w:rsid w:val="37D90437"/>
    <w:rsid w:val="37E255C0"/>
    <w:rsid w:val="37F52D97"/>
    <w:rsid w:val="37F60FE9"/>
    <w:rsid w:val="37FF59C4"/>
    <w:rsid w:val="38060B00"/>
    <w:rsid w:val="38082ACA"/>
    <w:rsid w:val="380A4A95"/>
    <w:rsid w:val="380F3E59"/>
    <w:rsid w:val="3810372D"/>
    <w:rsid w:val="38170F5F"/>
    <w:rsid w:val="38184EF1"/>
    <w:rsid w:val="381B27FE"/>
    <w:rsid w:val="381C47C8"/>
    <w:rsid w:val="382611A3"/>
    <w:rsid w:val="38284F1B"/>
    <w:rsid w:val="382B0567"/>
    <w:rsid w:val="38305B7D"/>
    <w:rsid w:val="38327B47"/>
    <w:rsid w:val="3836588A"/>
    <w:rsid w:val="38392C84"/>
    <w:rsid w:val="383B2EA0"/>
    <w:rsid w:val="38456A2F"/>
    <w:rsid w:val="384A2F51"/>
    <w:rsid w:val="384A6C3F"/>
    <w:rsid w:val="3851621F"/>
    <w:rsid w:val="38523D46"/>
    <w:rsid w:val="385B0E4C"/>
    <w:rsid w:val="386341A5"/>
    <w:rsid w:val="38684689"/>
    <w:rsid w:val="386D5023"/>
    <w:rsid w:val="387243E8"/>
    <w:rsid w:val="38767A34"/>
    <w:rsid w:val="387B504A"/>
    <w:rsid w:val="387C3364"/>
    <w:rsid w:val="38807E5C"/>
    <w:rsid w:val="389B749B"/>
    <w:rsid w:val="38A30A45"/>
    <w:rsid w:val="38B14F10"/>
    <w:rsid w:val="38BB18EB"/>
    <w:rsid w:val="38C83236"/>
    <w:rsid w:val="38C904AC"/>
    <w:rsid w:val="38CC73F3"/>
    <w:rsid w:val="38CE5AC2"/>
    <w:rsid w:val="38D155B2"/>
    <w:rsid w:val="38DB01DF"/>
    <w:rsid w:val="38DD3F57"/>
    <w:rsid w:val="38E075A3"/>
    <w:rsid w:val="38E505E8"/>
    <w:rsid w:val="38F65019"/>
    <w:rsid w:val="38F82B3F"/>
    <w:rsid w:val="39070FD4"/>
    <w:rsid w:val="390E4110"/>
    <w:rsid w:val="3911775D"/>
    <w:rsid w:val="391334D5"/>
    <w:rsid w:val="3918685F"/>
    <w:rsid w:val="392840E5"/>
    <w:rsid w:val="392A6A70"/>
    <w:rsid w:val="393D0552"/>
    <w:rsid w:val="393E6CDA"/>
    <w:rsid w:val="394713D0"/>
    <w:rsid w:val="394C5454"/>
    <w:rsid w:val="39553AED"/>
    <w:rsid w:val="39557F91"/>
    <w:rsid w:val="39565AB7"/>
    <w:rsid w:val="395B30CE"/>
    <w:rsid w:val="395B66C1"/>
    <w:rsid w:val="395E3B0F"/>
    <w:rsid w:val="395F2BBE"/>
    <w:rsid w:val="39641F82"/>
    <w:rsid w:val="39685B68"/>
    <w:rsid w:val="396A50BF"/>
    <w:rsid w:val="396B7D50"/>
    <w:rsid w:val="39700927"/>
    <w:rsid w:val="397B107A"/>
    <w:rsid w:val="397F6DBC"/>
    <w:rsid w:val="39812320"/>
    <w:rsid w:val="39842625"/>
    <w:rsid w:val="3992056B"/>
    <w:rsid w:val="399A59A4"/>
    <w:rsid w:val="399E7355"/>
    <w:rsid w:val="399F2FBB"/>
    <w:rsid w:val="39A64349"/>
    <w:rsid w:val="39AD1B7B"/>
    <w:rsid w:val="39AE15AC"/>
    <w:rsid w:val="39B44AD7"/>
    <w:rsid w:val="39BC1DBE"/>
    <w:rsid w:val="39C657CB"/>
    <w:rsid w:val="39C66799"/>
    <w:rsid w:val="39E11825"/>
    <w:rsid w:val="39E218FD"/>
    <w:rsid w:val="39E3559D"/>
    <w:rsid w:val="39E66876"/>
    <w:rsid w:val="39E83FB4"/>
    <w:rsid w:val="39FC21BB"/>
    <w:rsid w:val="3A153790"/>
    <w:rsid w:val="3A195161"/>
    <w:rsid w:val="3A1E4827"/>
    <w:rsid w:val="3A1F11A7"/>
    <w:rsid w:val="3A231E3E"/>
    <w:rsid w:val="3A261F0B"/>
    <w:rsid w:val="3A2669F5"/>
    <w:rsid w:val="3A2B6F44"/>
    <w:rsid w:val="3A2E5D93"/>
    <w:rsid w:val="3A2F57A2"/>
    <w:rsid w:val="3A345DF9"/>
    <w:rsid w:val="3A3E27D3"/>
    <w:rsid w:val="3A437DEA"/>
    <w:rsid w:val="3A442CD2"/>
    <w:rsid w:val="3A465B2C"/>
    <w:rsid w:val="3A4678DA"/>
    <w:rsid w:val="3A4818A4"/>
    <w:rsid w:val="3A483652"/>
    <w:rsid w:val="3A4C2E2C"/>
    <w:rsid w:val="3A500759"/>
    <w:rsid w:val="3A502507"/>
    <w:rsid w:val="3A575643"/>
    <w:rsid w:val="3A612966"/>
    <w:rsid w:val="3A6A35C8"/>
    <w:rsid w:val="3A6D4E67"/>
    <w:rsid w:val="3A6F5083"/>
    <w:rsid w:val="3A712EB8"/>
    <w:rsid w:val="3A7856DE"/>
    <w:rsid w:val="3A7A7584"/>
    <w:rsid w:val="3A7F0825"/>
    <w:rsid w:val="3A802DEC"/>
    <w:rsid w:val="3A86575A"/>
    <w:rsid w:val="3A9B19D4"/>
    <w:rsid w:val="3AA70B09"/>
    <w:rsid w:val="3AAC1E33"/>
    <w:rsid w:val="3AAF36D1"/>
    <w:rsid w:val="3AB40CE8"/>
    <w:rsid w:val="3AB64A60"/>
    <w:rsid w:val="3ABE56C2"/>
    <w:rsid w:val="3AC058DE"/>
    <w:rsid w:val="3AC76C6D"/>
    <w:rsid w:val="3AC86541"/>
    <w:rsid w:val="3AC94052"/>
    <w:rsid w:val="3AD62A0C"/>
    <w:rsid w:val="3AD92F0E"/>
    <w:rsid w:val="3AD969A0"/>
    <w:rsid w:val="3ADF3C25"/>
    <w:rsid w:val="3AE8273F"/>
    <w:rsid w:val="3AEE41FA"/>
    <w:rsid w:val="3AEF3EC0"/>
    <w:rsid w:val="3AF37A62"/>
    <w:rsid w:val="3AF86E26"/>
    <w:rsid w:val="3B03709B"/>
    <w:rsid w:val="3B0A6B5A"/>
    <w:rsid w:val="3B0C0B24"/>
    <w:rsid w:val="3B115AB0"/>
    <w:rsid w:val="3B135A0E"/>
    <w:rsid w:val="3B181276"/>
    <w:rsid w:val="3B286FE0"/>
    <w:rsid w:val="3B341FC1"/>
    <w:rsid w:val="3B343BD6"/>
    <w:rsid w:val="3B3955B9"/>
    <w:rsid w:val="3B3F2CA7"/>
    <w:rsid w:val="3B464036"/>
    <w:rsid w:val="3B4A51A8"/>
    <w:rsid w:val="3B567FF1"/>
    <w:rsid w:val="3B5B2B56"/>
    <w:rsid w:val="3B5F0C53"/>
    <w:rsid w:val="3B5F6EA5"/>
    <w:rsid w:val="3B643EB9"/>
    <w:rsid w:val="3B6B3A9C"/>
    <w:rsid w:val="3B6C511E"/>
    <w:rsid w:val="3B6F11E8"/>
    <w:rsid w:val="3B6F4C0F"/>
    <w:rsid w:val="3B732683"/>
    <w:rsid w:val="3B7F4E52"/>
    <w:rsid w:val="3B851216"/>
    <w:rsid w:val="3B871F58"/>
    <w:rsid w:val="3B894744"/>
    <w:rsid w:val="3B8B1A48"/>
    <w:rsid w:val="3B90705F"/>
    <w:rsid w:val="3B9823B7"/>
    <w:rsid w:val="3B98710E"/>
    <w:rsid w:val="3BA23236"/>
    <w:rsid w:val="3BA448B8"/>
    <w:rsid w:val="3BA7084C"/>
    <w:rsid w:val="3BA90120"/>
    <w:rsid w:val="3BAA5C47"/>
    <w:rsid w:val="3BAC0F6E"/>
    <w:rsid w:val="3BBD3BCC"/>
    <w:rsid w:val="3BD66A3C"/>
    <w:rsid w:val="3BDC04F6"/>
    <w:rsid w:val="3BDE40A0"/>
    <w:rsid w:val="3BDF7FE6"/>
    <w:rsid w:val="3BE64ED1"/>
    <w:rsid w:val="3BEB24E7"/>
    <w:rsid w:val="3BF33A92"/>
    <w:rsid w:val="3BF375EE"/>
    <w:rsid w:val="3BFD221A"/>
    <w:rsid w:val="3BFE66BE"/>
    <w:rsid w:val="3C006985"/>
    <w:rsid w:val="3C0D6901"/>
    <w:rsid w:val="3C1F03E3"/>
    <w:rsid w:val="3C2105FF"/>
    <w:rsid w:val="3C2974B3"/>
    <w:rsid w:val="3C306D0A"/>
    <w:rsid w:val="3C326368"/>
    <w:rsid w:val="3C340332"/>
    <w:rsid w:val="3C4147FD"/>
    <w:rsid w:val="3C4165AB"/>
    <w:rsid w:val="3C4B11D8"/>
    <w:rsid w:val="3C4D4F50"/>
    <w:rsid w:val="3C504A40"/>
    <w:rsid w:val="3C531794"/>
    <w:rsid w:val="3C5462DE"/>
    <w:rsid w:val="3C54795B"/>
    <w:rsid w:val="3C552056"/>
    <w:rsid w:val="3C575DCE"/>
    <w:rsid w:val="3C5E0F0B"/>
    <w:rsid w:val="3C5F2ED5"/>
    <w:rsid w:val="3C671DDA"/>
    <w:rsid w:val="3C687483"/>
    <w:rsid w:val="3C6D114E"/>
    <w:rsid w:val="3C7050E2"/>
    <w:rsid w:val="3C7544A7"/>
    <w:rsid w:val="3C7A386B"/>
    <w:rsid w:val="3C850B8E"/>
    <w:rsid w:val="3C8B5A78"/>
    <w:rsid w:val="3C8D17F0"/>
    <w:rsid w:val="3C990195"/>
    <w:rsid w:val="3C9C1A33"/>
    <w:rsid w:val="3CAD3C40"/>
    <w:rsid w:val="3CB5428E"/>
    <w:rsid w:val="3CB72D11"/>
    <w:rsid w:val="3CB925E5"/>
    <w:rsid w:val="3CBF0197"/>
    <w:rsid w:val="3CC316B6"/>
    <w:rsid w:val="3CC64D02"/>
    <w:rsid w:val="3CCC056A"/>
    <w:rsid w:val="3CCD7E3F"/>
    <w:rsid w:val="3CCE009F"/>
    <w:rsid w:val="3CD218F9"/>
    <w:rsid w:val="3CDF1048"/>
    <w:rsid w:val="3CF4361D"/>
    <w:rsid w:val="3CFD48FB"/>
    <w:rsid w:val="3D015D3A"/>
    <w:rsid w:val="3D073351"/>
    <w:rsid w:val="3D084D63"/>
    <w:rsid w:val="3D0A4BEF"/>
    <w:rsid w:val="3D0B4A9A"/>
    <w:rsid w:val="3D143CBF"/>
    <w:rsid w:val="3D1B32A0"/>
    <w:rsid w:val="3D1D0DC6"/>
    <w:rsid w:val="3D1E68EC"/>
    <w:rsid w:val="3D2008B6"/>
    <w:rsid w:val="3D255ECD"/>
    <w:rsid w:val="3D271C45"/>
    <w:rsid w:val="3D2F4655"/>
    <w:rsid w:val="3D3103CE"/>
    <w:rsid w:val="3D393726"/>
    <w:rsid w:val="3D40208C"/>
    <w:rsid w:val="3D406863"/>
    <w:rsid w:val="3D420A8C"/>
    <w:rsid w:val="3D4617B5"/>
    <w:rsid w:val="3D485319"/>
    <w:rsid w:val="3D4C17A1"/>
    <w:rsid w:val="3D517AA3"/>
    <w:rsid w:val="3D5D7415"/>
    <w:rsid w:val="3D624A2B"/>
    <w:rsid w:val="3D632551"/>
    <w:rsid w:val="3D695DB9"/>
    <w:rsid w:val="3D8C5F72"/>
    <w:rsid w:val="3D8E3A72"/>
    <w:rsid w:val="3D926193"/>
    <w:rsid w:val="3D9D3CB5"/>
    <w:rsid w:val="3DA349DC"/>
    <w:rsid w:val="3DAC214A"/>
    <w:rsid w:val="3DBF00CF"/>
    <w:rsid w:val="3DCB0822"/>
    <w:rsid w:val="3DCC00F6"/>
    <w:rsid w:val="3DD0408A"/>
    <w:rsid w:val="3DD1570D"/>
    <w:rsid w:val="3DDF607B"/>
    <w:rsid w:val="3DE511B8"/>
    <w:rsid w:val="3DE74F30"/>
    <w:rsid w:val="3DED540F"/>
    <w:rsid w:val="3DF37D79"/>
    <w:rsid w:val="3DF633C5"/>
    <w:rsid w:val="3E043D34"/>
    <w:rsid w:val="3E0E4BB3"/>
    <w:rsid w:val="3E0F5C92"/>
    <w:rsid w:val="3E10092B"/>
    <w:rsid w:val="3E103D4A"/>
    <w:rsid w:val="3E155F41"/>
    <w:rsid w:val="3E171CB9"/>
    <w:rsid w:val="3E173A67"/>
    <w:rsid w:val="3E23065E"/>
    <w:rsid w:val="3E2972F7"/>
    <w:rsid w:val="3E2D5039"/>
    <w:rsid w:val="3E3363C7"/>
    <w:rsid w:val="3E3457B0"/>
    <w:rsid w:val="3E3E45AC"/>
    <w:rsid w:val="3E3F2FBE"/>
    <w:rsid w:val="3E46434D"/>
    <w:rsid w:val="3E4660FB"/>
    <w:rsid w:val="3E483C21"/>
    <w:rsid w:val="3E492681"/>
    <w:rsid w:val="3E4E3201"/>
    <w:rsid w:val="3E546A69"/>
    <w:rsid w:val="3E630A5B"/>
    <w:rsid w:val="3E75078E"/>
    <w:rsid w:val="3E7964D0"/>
    <w:rsid w:val="3E7A2248"/>
    <w:rsid w:val="3E7E5894"/>
    <w:rsid w:val="3E8135D7"/>
    <w:rsid w:val="3E894239"/>
    <w:rsid w:val="3E8F7AA2"/>
    <w:rsid w:val="3E921340"/>
    <w:rsid w:val="3E9753EA"/>
    <w:rsid w:val="3E976956"/>
    <w:rsid w:val="3E9948D1"/>
    <w:rsid w:val="3E9E7CE5"/>
    <w:rsid w:val="3EA67372"/>
    <w:rsid w:val="3EB219E2"/>
    <w:rsid w:val="3EB2246F"/>
    <w:rsid w:val="3EBB0897"/>
    <w:rsid w:val="3EC23D57"/>
    <w:rsid w:val="3ECA0ADA"/>
    <w:rsid w:val="3ED01E68"/>
    <w:rsid w:val="3ED731F7"/>
    <w:rsid w:val="3ED951C1"/>
    <w:rsid w:val="3ED96F6F"/>
    <w:rsid w:val="3EE37DED"/>
    <w:rsid w:val="3EE41CB3"/>
    <w:rsid w:val="3EEB0A50"/>
    <w:rsid w:val="3EF1250A"/>
    <w:rsid w:val="3EF26282"/>
    <w:rsid w:val="3EF5367D"/>
    <w:rsid w:val="3EF63FC3"/>
    <w:rsid w:val="3EFB0C93"/>
    <w:rsid w:val="3F055FB6"/>
    <w:rsid w:val="3F0B2EA0"/>
    <w:rsid w:val="3F15211D"/>
    <w:rsid w:val="3F1B30E3"/>
    <w:rsid w:val="3F2301EA"/>
    <w:rsid w:val="3F277CDA"/>
    <w:rsid w:val="3F2D72BA"/>
    <w:rsid w:val="3F3C12AC"/>
    <w:rsid w:val="3F3E3276"/>
    <w:rsid w:val="3F424B14"/>
    <w:rsid w:val="3F43088C"/>
    <w:rsid w:val="3F577E93"/>
    <w:rsid w:val="3F584337"/>
    <w:rsid w:val="3F5C54AA"/>
    <w:rsid w:val="3F5E71A0"/>
    <w:rsid w:val="3F636838"/>
    <w:rsid w:val="3F6820A1"/>
    <w:rsid w:val="3F6F1681"/>
    <w:rsid w:val="3F744EE9"/>
    <w:rsid w:val="3F7F3F6B"/>
    <w:rsid w:val="3F823162"/>
    <w:rsid w:val="3F987CCF"/>
    <w:rsid w:val="3F9D3335"/>
    <w:rsid w:val="3FA27361"/>
    <w:rsid w:val="3FA4132B"/>
    <w:rsid w:val="3FAA346A"/>
    <w:rsid w:val="3FAB317E"/>
    <w:rsid w:val="3FB13A48"/>
    <w:rsid w:val="3FB70487"/>
    <w:rsid w:val="3FB715CA"/>
    <w:rsid w:val="3FBD063E"/>
    <w:rsid w:val="3FBF43B6"/>
    <w:rsid w:val="3FC7326B"/>
    <w:rsid w:val="3FCE0156"/>
    <w:rsid w:val="3FDA2F9E"/>
    <w:rsid w:val="3FE327A2"/>
    <w:rsid w:val="3FEE25A6"/>
    <w:rsid w:val="3FF112A1"/>
    <w:rsid w:val="3FF51B86"/>
    <w:rsid w:val="3FFA719D"/>
    <w:rsid w:val="40063D93"/>
    <w:rsid w:val="400E2C48"/>
    <w:rsid w:val="40185137"/>
    <w:rsid w:val="40273D0A"/>
    <w:rsid w:val="40297A82"/>
    <w:rsid w:val="40322DDA"/>
    <w:rsid w:val="40381A73"/>
    <w:rsid w:val="403A1C8F"/>
    <w:rsid w:val="4044604D"/>
    <w:rsid w:val="404B5C4A"/>
    <w:rsid w:val="40602185"/>
    <w:rsid w:val="406867FC"/>
    <w:rsid w:val="406D3C7A"/>
    <w:rsid w:val="408847A8"/>
    <w:rsid w:val="408A49C4"/>
    <w:rsid w:val="408D0011"/>
    <w:rsid w:val="408D0A8F"/>
    <w:rsid w:val="4092048B"/>
    <w:rsid w:val="4093139F"/>
    <w:rsid w:val="40972C3D"/>
    <w:rsid w:val="40A40A49"/>
    <w:rsid w:val="40A9471F"/>
    <w:rsid w:val="40B02584"/>
    <w:rsid w:val="40B97058"/>
    <w:rsid w:val="40C854ED"/>
    <w:rsid w:val="40CF687B"/>
    <w:rsid w:val="40D21EC7"/>
    <w:rsid w:val="40D479EE"/>
    <w:rsid w:val="40DD4529"/>
    <w:rsid w:val="40F63E08"/>
    <w:rsid w:val="40FC5196"/>
    <w:rsid w:val="4100366D"/>
    <w:rsid w:val="41004C87"/>
    <w:rsid w:val="41061B71"/>
    <w:rsid w:val="410B7187"/>
    <w:rsid w:val="410D4CAE"/>
    <w:rsid w:val="41140732"/>
    <w:rsid w:val="41175B2C"/>
    <w:rsid w:val="412A1D04"/>
    <w:rsid w:val="41395AA3"/>
    <w:rsid w:val="41410DFB"/>
    <w:rsid w:val="414313A1"/>
    <w:rsid w:val="414508EB"/>
    <w:rsid w:val="41474664"/>
    <w:rsid w:val="414920DE"/>
    <w:rsid w:val="414D59F2"/>
    <w:rsid w:val="41523008"/>
    <w:rsid w:val="4154708C"/>
    <w:rsid w:val="41550B18"/>
    <w:rsid w:val="4163514C"/>
    <w:rsid w:val="41670862"/>
    <w:rsid w:val="416845DA"/>
    <w:rsid w:val="417B60BB"/>
    <w:rsid w:val="41847666"/>
    <w:rsid w:val="41994793"/>
    <w:rsid w:val="419D24D5"/>
    <w:rsid w:val="41A575DC"/>
    <w:rsid w:val="41A90E7A"/>
    <w:rsid w:val="41AE46E3"/>
    <w:rsid w:val="41B4781F"/>
    <w:rsid w:val="41B617E9"/>
    <w:rsid w:val="41BD63B5"/>
    <w:rsid w:val="41C37A62"/>
    <w:rsid w:val="41C8610E"/>
    <w:rsid w:val="41CC4B69"/>
    <w:rsid w:val="41D349E5"/>
    <w:rsid w:val="41D8350E"/>
    <w:rsid w:val="41DA54D8"/>
    <w:rsid w:val="41E371A6"/>
    <w:rsid w:val="41EF0857"/>
    <w:rsid w:val="41F45E6E"/>
    <w:rsid w:val="41F83BB0"/>
    <w:rsid w:val="42002A64"/>
    <w:rsid w:val="420267DC"/>
    <w:rsid w:val="42051BC8"/>
    <w:rsid w:val="4206324A"/>
    <w:rsid w:val="42084A18"/>
    <w:rsid w:val="42097B6B"/>
    <w:rsid w:val="420E561A"/>
    <w:rsid w:val="4214206C"/>
    <w:rsid w:val="42154762"/>
    <w:rsid w:val="42186000"/>
    <w:rsid w:val="421A58D4"/>
    <w:rsid w:val="421B164C"/>
    <w:rsid w:val="42274495"/>
    <w:rsid w:val="42294DF3"/>
    <w:rsid w:val="422C1AAB"/>
    <w:rsid w:val="42336996"/>
    <w:rsid w:val="42350960"/>
    <w:rsid w:val="423821FE"/>
    <w:rsid w:val="423A41C8"/>
    <w:rsid w:val="42467719"/>
    <w:rsid w:val="424B5BA7"/>
    <w:rsid w:val="425B7C9B"/>
    <w:rsid w:val="425F778B"/>
    <w:rsid w:val="42611755"/>
    <w:rsid w:val="42664FBD"/>
    <w:rsid w:val="426E45CA"/>
    <w:rsid w:val="42845443"/>
    <w:rsid w:val="42870A90"/>
    <w:rsid w:val="428B0580"/>
    <w:rsid w:val="4292190E"/>
    <w:rsid w:val="42945242"/>
    <w:rsid w:val="429733C9"/>
    <w:rsid w:val="42982C9D"/>
    <w:rsid w:val="429D02B3"/>
    <w:rsid w:val="429E4757"/>
    <w:rsid w:val="42A72EE0"/>
    <w:rsid w:val="42AE24C0"/>
    <w:rsid w:val="42B01A80"/>
    <w:rsid w:val="42B16343"/>
    <w:rsid w:val="42B51AA1"/>
    <w:rsid w:val="42B540C6"/>
    <w:rsid w:val="42B555FD"/>
    <w:rsid w:val="42BD444E"/>
    <w:rsid w:val="42C03903"/>
    <w:rsid w:val="42C07441"/>
    <w:rsid w:val="42C570E7"/>
    <w:rsid w:val="42D31F27"/>
    <w:rsid w:val="42D53EF1"/>
    <w:rsid w:val="42E06C9A"/>
    <w:rsid w:val="42E47C90"/>
    <w:rsid w:val="42FF2D1C"/>
    <w:rsid w:val="430304C2"/>
    <w:rsid w:val="430A3B9B"/>
    <w:rsid w:val="43124DBF"/>
    <w:rsid w:val="43195B8C"/>
    <w:rsid w:val="431D03AC"/>
    <w:rsid w:val="43267EE9"/>
    <w:rsid w:val="43305EF3"/>
    <w:rsid w:val="43362BE2"/>
    <w:rsid w:val="43370708"/>
    <w:rsid w:val="43411BCB"/>
    <w:rsid w:val="4343436A"/>
    <w:rsid w:val="434F5A51"/>
    <w:rsid w:val="435117C9"/>
    <w:rsid w:val="43543068"/>
    <w:rsid w:val="435C4BA0"/>
    <w:rsid w:val="435E5C94"/>
    <w:rsid w:val="436239D7"/>
    <w:rsid w:val="43664087"/>
    <w:rsid w:val="436D4129"/>
    <w:rsid w:val="437159C8"/>
    <w:rsid w:val="4373005F"/>
    <w:rsid w:val="43747266"/>
    <w:rsid w:val="43770B04"/>
    <w:rsid w:val="437E00E5"/>
    <w:rsid w:val="438020AF"/>
    <w:rsid w:val="438163CD"/>
    <w:rsid w:val="43911BC6"/>
    <w:rsid w:val="43AA0EDA"/>
    <w:rsid w:val="43BF2BD7"/>
    <w:rsid w:val="43CA50D8"/>
    <w:rsid w:val="43CD4BC8"/>
    <w:rsid w:val="43DD12AF"/>
    <w:rsid w:val="43EA39CC"/>
    <w:rsid w:val="43F32881"/>
    <w:rsid w:val="43F80BBA"/>
    <w:rsid w:val="43FB7987"/>
    <w:rsid w:val="43FD54AD"/>
    <w:rsid w:val="44114AB5"/>
    <w:rsid w:val="44176434"/>
    <w:rsid w:val="44184095"/>
    <w:rsid w:val="441A605F"/>
    <w:rsid w:val="441B5933"/>
    <w:rsid w:val="442326F2"/>
    <w:rsid w:val="442418FE"/>
    <w:rsid w:val="442E1B0B"/>
    <w:rsid w:val="4435497C"/>
    <w:rsid w:val="44354C47"/>
    <w:rsid w:val="443864E5"/>
    <w:rsid w:val="44507CD3"/>
    <w:rsid w:val="445175A7"/>
    <w:rsid w:val="44586B88"/>
    <w:rsid w:val="445A2900"/>
    <w:rsid w:val="445F1CC4"/>
    <w:rsid w:val="44623562"/>
    <w:rsid w:val="44635CDA"/>
    <w:rsid w:val="44670B79"/>
    <w:rsid w:val="446B0669"/>
    <w:rsid w:val="4475773A"/>
    <w:rsid w:val="44781DAA"/>
    <w:rsid w:val="44797A17"/>
    <w:rsid w:val="447C0AC8"/>
    <w:rsid w:val="44913E48"/>
    <w:rsid w:val="4493196E"/>
    <w:rsid w:val="449A2CFC"/>
    <w:rsid w:val="449B0822"/>
    <w:rsid w:val="449F47B6"/>
    <w:rsid w:val="44A1052F"/>
    <w:rsid w:val="44A45929"/>
    <w:rsid w:val="44AB18FE"/>
    <w:rsid w:val="44AE0556"/>
    <w:rsid w:val="44BA339E"/>
    <w:rsid w:val="44C22253"/>
    <w:rsid w:val="44C905EA"/>
    <w:rsid w:val="44C9249B"/>
    <w:rsid w:val="44CA357E"/>
    <w:rsid w:val="44D601C9"/>
    <w:rsid w:val="44DF2E05"/>
    <w:rsid w:val="44DF4BB3"/>
    <w:rsid w:val="44E4041B"/>
    <w:rsid w:val="44E64193"/>
    <w:rsid w:val="44E73A68"/>
    <w:rsid w:val="44ED72D0"/>
    <w:rsid w:val="44EE129A"/>
    <w:rsid w:val="44EE3048"/>
    <w:rsid w:val="44F3240C"/>
    <w:rsid w:val="44F763A1"/>
    <w:rsid w:val="44F87A23"/>
    <w:rsid w:val="45062140"/>
    <w:rsid w:val="45080386"/>
    <w:rsid w:val="450D7972"/>
    <w:rsid w:val="453C3DB3"/>
    <w:rsid w:val="453F38A4"/>
    <w:rsid w:val="453F3B2A"/>
    <w:rsid w:val="45500BC7"/>
    <w:rsid w:val="455410FD"/>
    <w:rsid w:val="455B692F"/>
    <w:rsid w:val="455C26A8"/>
    <w:rsid w:val="455E3D2A"/>
    <w:rsid w:val="456926CF"/>
    <w:rsid w:val="456B6447"/>
    <w:rsid w:val="456F4189"/>
    <w:rsid w:val="457277D5"/>
    <w:rsid w:val="4574354D"/>
    <w:rsid w:val="457B2B2E"/>
    <w:rsid w:val="45806396"/>
    <w:rsid w:val="45813EBC"/>
    <w:rsid w:val="45815C6A"/>
    <w:rsid w:val="458614D2"/>
    <w:rsid w:val="4587776E"/>
    <w:rsid w:val="458C734E"/>
    <w:rsid w:val="459040FF"/>
    <w:rsid w:val="459E681C"/>
    <w:rsid w:val="45A51959"/>
    <w:rsid w:val="45A858ED"/>
    <w:rsid w:val="45AA3413"/>
    <w:rsid w:val="45AD2F03"/>
    <w:rsid w:val="45B55914"/>
    <w:rsid w:val="45B63B66"/>
    <w:rsid w:val="45C85647"/>
    <w:rsid w:val="45CF460B"/>
    <w:rsid w:val="45D91256"/>
    <w:rsid w:val="45DB537A"/>
    <w:rsid w:val="45E27E1E"/>
    <w:rsid w:val="45EC3A2B"/>
    <w:rsid w:val="45F823D0"/>
    <w:rsid w:val="45F96148"/>
    <w:rsid w:val="45FB3C6E"/>
    <w:rsid w:val="45FF375F"/>
    <w:rsid w:val="460E227E"/>
    <w:rsid w:val="46115240"/>
    <w:rsid w:val="46116FEE"/>
    <w:rsid w:val="46142700"/>
    <w:rsid w:val="461D5993"/>
    <w:rsid w:val="46207231"/>
    <w:rsid w:val="46217C1A"/>
    <w:rsid w:val="462431C5"/>
    <w:rsid w:val="46284338"/>
    <w:rsid w:val="462C02CC"/>
    <w:rsid w:val="46325A3D"/>
    <w:rsid w:val="46366A55"/>
    <w:rsid w:val="463E3B5B"/>
    <w:rsid w:val="46492C2C"/>
    <w:rsid w:val="465869CB"/>
    <w:rsid w:val="46592743"/>
    <w:rsid w:val="46647A66"/>
    <w:rsid w:val="4667014E"/>
    <w:rsid w:val="467B090B"/>
    <w:rsid w:val="46853538"/>
    <w:rsid w:val="4685487C"/>
    <w:rsid w:val="46933EA7"/>
    <w:rsid w:val="469D6AD4"/>
    <w:rsid w:val="46A14816"/>
    <w:rsid w:val="46A63BDA"/>
    <w:rsid w:val="46AE0CE1"/>
    <w:rsid w:val="46B11F94"/>
    <w:rsid w:val="46BC1650"/>
    <w:rsid w:val="46BD2CD2"/>
    <w:rsid w:val="46C202E8"/>
    <w:rsid w:val="46C91677"/>
    <w:rsid w:val="46C95B1B"/>
    <w:rsid w:val="46D30747"/>
    <w:rsid w:val="46DC3AA0"/>
    <w:rsid w:val="46DC75FC"/>
    <w:rsid w:val="46DF70EC"/>
    <w:rsid w:val="46FA5CD4"/>
    <w:rsid w:val="4703102D"/>
    <w:rsid w:val="470316C4"/>
    <w:rsid w:val="470628CB"/>
    <w:rsid w:val="470E368E"/>
    <w:rsid w:val="47283579"/>
    <w:rsid w:val="472D42FC"/>
    <w:rsid w:val="472E3DA6"/>
    <w:rsid w:val="472F07E4"/>
    <w:rsid w:val="47356D0C"/>
    <w:rsid w:val="473A07C7"/>
    <w:rsid w:val="47460E77"/>
    <w:rsid w:val="474A5206"/>
    <w:rsid w:val="474D04FA"/>
    <w:rsid w:val="474D22A8"/>
    <w:rsid w:val="474D4056"/>
    <w:rsid w:val="475064D9"/>
    <w:rsid w:val="47580F9C"/>
    <w:rsid w:val="47590C4D"/>
    <w:rsid w:val="475E2707"/>
    <w:rsid w:val="475F1FDB"/>
    <w:rsid w:val="476E61BD"/>
    <w:rsid w:val="476F66C2"/>
    <w:rsid w:val="47705F96"/>
    <w:rsid w:val="47727F60"/>
    <w:rsid w:val="477631E0"/>
    <w:rsid w:val="477B5067"/>
    <w:rsid w:val="479B74B7"/>
    <w:rsid w:val="47A45C40"/>
    <w:rsid w:val="47A65E5C"/>
    <w:rsid w:val="47AC7367"/>
    <w:rsid w:val="47AD6319"/>
    <w:rsid w:val="47BA5BC1"/>
    <w:rsid w:val="47C7285C"/>
    <w:rsid w:val="47D83241"/>
    <w:rsid w:val="47E80223"/>
    <w:rsid w:val="47EA5D49"/>
    <w:rsid w:val="47ED3A8B"/>
    <w:rsid w:val="47F07522"/>
    <w:rsid w:val="48084421"/>
    <w:rsid w:val="480C69CA"/>
    <w:rsid w:val="480E5EDB"/>
    <w:rsid w:val="481827E8"/>
    <w:rsid w:val="48270D4B"/>
    <w:rsid w:val="482C0320"/>
    <w:rsid w:val="482D3E87"/>
    <w:rsid w:val="4832149E"/>
    <w:rsid w:val="483250ED"/>
    <w:rsid w:val="48396CD0"/>
    <w:rsid w:val="484216E1"/>
    <w:rsid w:val="4847319B"/>
    <w:rsid w:val="484D62D8"/>
    <w:rsid w:val="485458B8"/>
    <w:rsid w:val="485F6737"/>
    <w:rsid w:val="4868251F"/>
    <w:rsid w:val="487519F9"/>
    <w:rsid w:val="487D6BBD"/>
    <w:rsid w:val="487F2935"/>
    <w:rsid w:val="48873598"/>
    <w:rsid w:val="48897310"/>
    <w:rsid w:val="488C32A4"/>
    <w:rsid w:val="488E2B78"/>
    <w:rsid w:val="488E4926"/>
    <w:rsid w:val="489108BA"/>
    <w:rsid w:val="48931F3C"/>
    <w:rsid w:val="48965ED0"/>
    <w:rsid w:val="48981C49"/>
    <w:rsid w:val="489839F7"/>
    <w:rsid w:val="489A776F"/>
    <w:rsid w:val="489F6B33"/>
    <w:rsid w:val="48A467BB"/>
    <w:rsid w:val="48A759E8"/>
    <w:rsid w:val="48A91760"/>
    <w:rsid w:val="48A95C04"/>
    <w:rsid w:val="48AA54D8"/>
    <w:rsid w:val="48AB76B4"/>
    <w:rsid w:val="48B431F6"/>
    <w:rsid w:val="48B63E7D"/>
    <w:rsid w:val="48B87BF5"/>
    <w:rsid w:val="48BF5427"/>
    <w:rsid w:val="48D82045"/>
    <w:rsid w:val="48DD765B"/>
    <w:rsid w:val="48DF1625"/>
    <w:rsid w:val="48DF5182"/>
    <w:rsid w:val="48E7655B"/>
    <w:rsid w:val="48E85B1A"/>
    <w:rsid w:val="48F350D1"/>
    <w:rsid w:val="48FB5D34"/>
    <w:rsid w:val="49027E2A"/>
    <w:rsid w:val="49064E04"/>
    <w:rsid w:val="49170DBF"/>
    <w:rsid w:val="491D5CAA"/>
    <w:rsid w:val="49276B29"/>
    <w:rsid w:val="49281F8E"/>
    <w:rsid w:val="49316623"/>
    <w:rsid w:val="49347AA6"/>
    <w:rsid w:val="49351245"/>
    <w:rsid w:val="49425710"/>
    <w:rsid w:val="494D67E4"/>
    <w:rsid w:val="495E079C"/>
    <w:rsid w:val="495E69EE"/>
    <w:rsid w:val="496164DE"/>
    <w:rsid w:val="496D392E"/>
    <w:rsid w:val="496D6C31"/>
    <w:rsid w:val="496E603D"/>
    <w:rsid w:val="496F29A9"/>
    <w:rsid w:val="497F756E"/>
    <w:rsid w:val="49861AA1"/>
    <w:rsid w:val="498A77E3"/>
    <w:rsid w:val="498E7313"/>
    <w:rsid w:val="499441BE"/>
    <w:rsid w:val="499A72FA"/>
    <w:rsid w:val="499B629D"/>
    <w:rsid w:val="49A07007"/>
    <w:rsid w:val="49A81A17"/>
    <w:rsid w:val="49AB59AC"/>
    <w:rsid w:val="49B44860"/>
    <w:rsid w:val="49BB5BEF"/>
    <w:rsid w:val="49C83E68"/>
    <w:rsid w:val="49D767A1"/>
    <w:rsid w:val="49E1317B"/>
    <w:rsid w:val="49E16015"/>
    <w:rsid w:val="49EB7B56"/>
    <w:rsid w:val="49EC5A88"/>
    <w:rsid w:val="49F44C5D"/>
    <w:rsid w:val="49F8402B"/>
    <w:rsid w:val="49FD6207"/>
    <w:rsid w:val="4A037596"/>
    <w:rsid w:val="4A0550BC"/>
    <w:rsid w:val="4A0A4F59"/>
    <w:rsid w:val="4A0A5885"/>
    <w:rsid w:val="4A0C728B"/>
    <w:rsid w:val="4A11777E"/>
    <w:rsid w:val="4A1946C3"/>
    <w:rsid w:val="4A225C6E"/>
    <w:rsid w:val="4A2319E6"/>
    <w:rsid w:val="4A452632"/>
    <w:rsid w:val="4A4C6847"/>
    <w:rsid w:val="4A54394D"/>
    <w:rsid w:val="4A6C6EE9"/>
    <w:rsid w:val="4A6D4C29"/>
    <w:rsid w:val="4A742241"/>
    <w:rsid w:val="4A783AE0"/>
    <w:rsid w:val="4A791606"/>
    <w:rsid w:val="4A8561FD"/>
    <w:rsid w:val="4A867782"/>
    <w:rsid w:val="4A8A7B5A"/>
    <w:rsid w:val="4A8B64A2"/>
    <w:rsid w:val="4A8E3F79"/>
    <w:rsid w:val="4A954692"/>
    <w:rsid w:val="4A9E2E1A"/>
    <w:rsid w:val="4AA30431"/>
    <w:rsid w:val="4AA77F21"/>
    <w:rsid w:val="4AB8212E"/>
    <w:rsid w:val="4AB83EDC"/>
    <w:rsid w:val="4AC40AD3"/>
    <w:rsid w:val="4AC45952"/>
    <w:rsid w:val="4AC5484B"/>
    <w:rsid w:val="4ACF7478"/>
    <w:rsid w:val="4AD66A58"/>
    <w:rsid w:val="4AE03433"/>
    <w:rsid w:val="4AE65862"/>
    <w:rsid w:val="4AEC627C"/>
    <w:rsid w:val="4AF84C20"/>
    <w:rsid w:val="4B0435C5"/>
    <w:rsid w:val="4B0709C0"/>
    <w:rsid w:val="4B073A5C"/>
    <w:rsid w:val="4B0C4228"/>
    <w:rsid w:val="4B257098"/>
    <w:rsid w:val="4B272E10"/>
    <w:rsid w:val="4B2C0426"/>
    <w:rsid w:val="4B387880"/>
    <w:rsid w:val="4B3C4B0D"/>
    <w:rsid w:val="4B3E2E80"/>
    <w:rsid w:val="4B412124"/>
    <w:rsid w:val="4B44760D"/>
    <w:rsid w:val="4B4B11F4"/>
    <w:rsid w:val="4B524331"/>
    <w:rsid w:val="4B5C5D27"/>
    <w:rsid w:val="4B5E326D"/>
    <w:rsid w:val="4B5F07FC"/>
    <w:rsid w:val="4B645E12"/>
    <w:rsid w:val="4B666BB6"/>
    <w:rsid w:val="4B7122DD"/>
    <w:rsid w:val="4B7324F9"/>
    <w:rsid w:val="4B7879A9"/>
    <w:rsid w:val="4B7A5635"/>
    <w:rsid w:val="4B7C7600"/>
    <w:rsid w:val="4B8244EA"/>
    <w:rsid w:val="4B840ACD"/>
    <w:rsid w:val="4B865D88"/>
    <w:rsid w:val="4B887D52"/>
    <w:rsid w:val="4B8C42AD"/>
    <w:rsid w:val="4B8D691A"/>
    <w:rsid w:val="4B8D7117"/>
    <w:rsid w:val="4B8E10E1"/>
    <w:rsid w:val="4B920F18"/>
    <w:rsid w:val="4B9506C1"/>
    <w:rsid w:val="4BA06E54"/>
    <w:rsid w:val="4BA076A2"/>
    <w:rsid w:val="4BA11667"/>
    <w:rsid w:val="4BA33AB6"/>
    <w:rsid w:val="4BB16CD5"/>
    <w:rsid w:val="4BB74194"/>
    <w:rsid w:val="4BBA1ED6"/>
    <w:rsid w:val="4BBC5C4E"/>
    <w:rsid w:val="4BBF2155"/>
    <w:rsid w:val="4BC13264"/>
    <w:rsid w:val="4BC44B03"/>
    <w:rsid w:val="4BC51F60"/>
    <w:rsid w:val="4BC83ABB"/>
    <w:rsid w:val="4BCE14DD"/>
    <w:rsid w:val="4BCF5981"/>
    <w:rsid w:val="4BD2475B"/>
    <w:rsid w:val="4BD9235C"/>
    <w:rsid w:val="4BDE7972"/>
    <w:rsid w:val="4BDF193C"/>
    <w:rsid w:val="4BE86A43"/>
    <w:rsid w:val="4BF72474"/>
    <w:rsid w:val="4BF7632A"/>
    <w:rsid w:val="4C013661"/>
    <w:rsid w:val="4C0249A2"/>
    <w:rsid w:val="4C036742"/>
    <w:rsid w:val="4C043151"/>
    <w:rsid w:val="4C082C41"/>
    <w:rsid w:val="4C194605"/>
    <w:rsid w:val="4C1E4213"/>
    <w:rsid w:val="4C22541C"/>
    <w:rsid w:val="4C285091"/>
    <w:rsid w:val="4C2A0E0A"/>
    <w:rsid w:val="4C2B6930"/>
    <w:rsid w:val="4C2E5AE5"/>
    <w:rsid w:val="4C303F46"/>
    <w:rsid w:val="4C325B6E"/>
    <w:rsid w:val="4C334438"/>
    <w:rsid w:val="4C3B66BE"/>
    <w:rsid w:val="4C3D6D8F"/>
    <w:rsid w:val="4C4023DB"/>
    <w:rsid w:val="4C4243A5"/>
    <w:rsid w:val="4C4A5008"/>
    <w:rsid w:val="4C4F0B45"/>
    <w:rsid w:val="4C516396"/>
    <w:rsid w:val="4C5365B2"/>
    <w:rsid w:val="4C5C5856"/>
    <w:rsid w:val="4C5E0AB3"/>
    <w:rsid w:val="4C765DFD"/>
    <w:rsid w:val="4C7C718B"/>
    <w:rsid w:val="4C7D362F"/>
    <w:rsid w:val="4C7E1155"/>
    <w:rsid w:val="4C891FD4"/>
    <w:rsid w:val="4C8F6EBF"/>
    <w:rsid w:val="4C997D3D"/>
    <w:rsid w:val="4C9B3AB5"/>
    <w:rsid w:val="4C9E2EFD"/>
    <w:rsid w:val="4CA3296A"/>
    <w:rsid w:val="4CA94424"/>
    <w:rsid w:val="4CAC7A71"/>
    <w:rsid w:val="4CAF130F"/>
    <w:rsid w:val="4CB608EF"/>
    <w:rsid w:val="4CB6269D"/>
    <w:rsid w:val="4CBB7CB4"/>
    <w:rsid w:val="4CC4300C"/>
    <w:rsid w:val="4CCE5C39"/>
    <w:rsid w:val="4CDD7C2A"/>
    <w:rsid w:val="4CE0771A"/>
    <w:rsid w:val="4CE865CF"/>
    <w:rsid w:val="4CF3569F"/>
    <w:rsid w:val="4CF60CEC"/>
    <w:rsid w:val="4CF907DC"/>
    <w:rsid w:val="4CFB09F8"/>
    <w:rsid w:val="4CFB4554"/>
    <w:rsid w:val="4D023B34"/>
    <w:rsid w:val="4D122BF3"/>
    <w:rsid w:val="4D151ABA"/>
    <w:rsid w:val="4D2910C1"/>
    <w:rsid w:val="4D2E0486"/>
    <w:rsid w:val="4D3857A8"/>
    <w:rsid w:val="4D4B7289"/>
    <w:rsid w:val="4D4E0B28"/>
    <w:rsid w:val="4D502AF2"/>
    <w:rsid w:val="4D52686A"/>
    <w:rsid w:val="4D53256B"/>
    <w:rsid w:val="4D5325E2"/>
    <w:rsid w:val="4D5D6FBD"/>
    <w:rsid w:val="4D5F4AE3"/>
    <w:rsid w:val="4D677E3B"/>
    <w:rsid w:val="4D7367E0"/>
    <w:rsid w:val="4D7560B4"/>
    <w:rsid w:val="4D782049"/>
    <w:rsid w:val="4D783DF7"/>
    <w:rsid w:val="4D785BA5"/>
    <w:rsid w:val="4D7908B5"/>
    <w:rsid w:val="4D7E765F"/>
    <w:rsid w:val="4D8E7176"/>
    <w:rsid w:val="4D9C0BAD"/>
    <w:rsid w:val="4DA74A82"/>
    <w:rsid w:val="4DA969FC"/>
    <w:rsid w:val="4DB0533F"/>
    <w:rsid w:val="4DB43C7C"/>
    <w:rsid w:val="4DB73FDD"/>
    <w:rsid w:val="4DB90697"/>
    <w:rsid w:val="4DBF1A26"/>
    <w:rsid w:val="4DC24E7C"/>
    <w:rsid w:val="4DD3727F"/>
    <w:rsid w:val="4DD54DA5"/>
    <w:rsid w:val="4DD74FC1"/>
    <w:rsid w:val="4DEC34D2"/>
    <w:rsid w:val="4DF01BDF"/>
    <w:rsid w:val="4DF21D70"/>
    <w:rsid w:val="4DF96CE5"/>
    <w:rsid w:val="4DFC67D6"/>
    <w:rsid w:val="4DFF1E22"/>
    <w:rsid w:val="4E0833CC"/>
    <w:rsid w:val="4E296E9F"/>
    <w:rsid w:val="4E2A3343"/>
    <w:rsid w:val="4E2B0E69"/>
    <w:rsid w:val="4E3221F7"/>
    <w:rsid w:val="4E3917D8"/>
    <w:rsid w:val="4E3B70D2"/>
    <w:rsid w:val="4E3C3076"/>
    <w:rsid w:val="4E4C6838"/>
    <w:rsid w:val="4E5840C4"/>
    <w:rsid w:val="4E5B174E"/>
    <w:rsid w:val="4E5C3A58"/>
    <w:rsid w:val="4E6879C7"/>
    <w:rsid w:val="4E6C395B"/>
    <w:rsid w:val="4E7E6B00"/>
    <w:rsid w:val="4E865AFC"/>
    <w:rsid w:val="4E965F62"/>
    <w:rsid w:val="4E9702AC"/>
    <w:rsid w:val="4E9856E3"/>
    <w:rsid w:val="4E9B5FEF"/>
    <w:rsid w:val="4EA03605"/>
    <w:rsid w:val="4EA36C51"/>
    <w:rsid w:val="4EA76741"/>
    <w:rsid w:val="4EA85CCA"/>
    <w:rsid w:val="4EAA4484"/>
    <w:rsid w:val="4EAC01FC"/>
    <w:rsid w:val="4EAF3848"/>
    <w:rsid w:val="4EB33338"/>
    <w:rsid w:val="4EB726FD"/>
    <w:rsid w:val="4EB92CBE"/>
    <w:rsid w:val="4EC015B1"/>
    <w:rsid w:val="4EC05A55"/>
    <w:rsid w:val="4EC07803"/>
    <w:rsid w:val="4EC15FC5"/>
    <w:rsid w:val="4EC54E1A"/>
    <w:rsid w:val="4EC8490A"/>
    <w:rsid w:val="4ED35788"/>
    <w:rsid w:val="4ED54C66"/>
    <w:rsid w:val="4ED65279"/>
    <w:rsid w:val="4ED67027"/>
    <w:rsid w:val="4ED80FF1"/>
    <w:rsid w:val="4EDB0FC9"/>
    <w:rsid w:val="4EEF1E97"/>
    <w:rsid w:val="4EF43951"/>
    <w:rsid w:val="4F041DE6"/>
    <w:rsid w:val="4F066320"/>
    <w:rsid w:val="4F0C4606"/>
    <w:rsid w:val="4F1418FD"/>
    <w:rsid w:val="4F1D6A04"/>
    <w:rsid w:val="4F2204BE"/>
    <w:rsid w:val="4F231B40"/>
    <w:rsid w:val="4F2E0C11"/>
    <w:rsid w:val="4F3D5624"/>
    <w:rsid w:val="4F3F4BCC"/>
    <w:rsid w:val="4F433668"/>
    <w:rsid w:val="4F440434"/>
    <w:rsid w:val="4F471CD3"/>
    <w:rsid w:val="4F473A81"/>
    <w:rsid w:val="4F495A4B"/>
    <w:rsid w:val="4F4E6EBF"/>
    <w:rsid w:val="4F532425"/>
    <w:rsid w:val="4F5A7C58"/>
    <w:rsid w:val="4F5D5052"/>
    <w:rsid w:val="4F604B42"/>
    <w:rsid w:val="4F6E67B7"/>
    <w:rsid w:val="4F6E725F"/>
    <w:rsid w:val="4F7A5C04"/>
    <w:rsid w:val="4F7D4C71"/>
    <w:rsid w:val="4F7F321A"/>
    <w:rsid w:val="4F816678"/>
    <w:rsid w:val="4F844CD5"/>
    <w:rsid w:val="4F8847C5"/>
    <w:rsid w:val="4F8E5B53"/>
    <w:rsid w:val="4F8E7901"/>
    <w:rsid w:val="4F9B5B7A"/>
    <w:rsid w:val="4FA47125"/>
    <w:rsid w:val="4FA62E9D"/>
    <w:rsid w:val="4FA80A1B"/>
    <w:rsid w:val="4FB8497E"/>
    <w:rsid w:val="4FBA075B"/>
    <w:rsid w:val="4FBE01E7"/>
    <w:rsid w:val="4FCA7073"/>
    <w:rsid w:val="4FD32054"/>
    <w:rsid w:val="4FD4168A"/>
    <w:rsid w:val="4FD55530"/>
    <w:rsid w:val="4FD73056"/>
    <w:rsid w:val="4FD87A55"/>
    <w:rsid w:val="4FE259E9"/>
    <w:rsid w:val="4FE47521"/>
    <w:rsid w:val="4FF21C3E"/>
    <w:rsid w:val="4FF84D7B"/>
    <w:rsid w:val="4FFA4F97"/>
    <w:rsid w:val="50067498"/>
    <w:rsid w:val="500677C4"/>
    <w:rsid w:val="50092961"/>
    <w:rsid w:val="501D7C2E"/>
    <w:rsid w:val="501E411E"/>
    <w:rsid w:val="501F0FAC"/>
    <w:rsid w:val="502142D2"/>
    <w:rsid w:val="50355FCF"/>
    <w:rsid w:val="50387C43"/>
    <w:rsid w:val="50506965"/>
    <w:rsid w:val="505521CD"/>
    <w:rsid w:val="50646C06"/>
    <w:rsid w:val="506568B4"/>
    <w:rsid w:val="50680152"/>
    <w:rsid w:val="506B0F50"/>
    <w:rsid w:val="50720FD1"/>
    <w:rsid w:val="50791F01"/>
    <w:rsid w:val="50827466"/>
    <w:rsid w:val="508B13F1"/>
    <w:rsid w:val="508B3E41"/>
    <w:rsid w:val="508F56DF"/>
    <w:rsid w:val="50963550"/>
    <w:rsid w:val="50B213CE"/>
    <w:rsid w:val="50BB64D4"/>
    <w:rsid w:val="50BD3A0A"/>
    <w:rsid w:val="50BE5FC4"/>
    <w:rsid w:val="50C07F8E"/>
    <w:rsid w:val="50C51101"/>
    <w:rsid w:val="50C80BF1"/>
    <w:rsid w:val="50D2381E"/>
    <w:rsid w:val="50D43A3A"/>
    <w:rsid w:val="50D6330E"/>
    <w:rsid w:val="50D92DFE"/>
    <w:rsid w:val="50DB0924"/>
    <w:rsid w:val="50DC591D"/>
    <w:rsid w:val="50DE6667"/>
    <w:rsid w:val="50E64646"/>
    <w:rsid w:val="50ED2406"/>
    <w:rsid w:val="50EF43D0"/>
    <w:rsid w:val="50F46AC0"/>
    <w:rsid w:val="50FE4613"/>
    <w:rsid w:val="5107796B"/>
    <w:rsid w:val="510B1E2B"/>
    <w:rsid w:val="510C31D4"/>
    <w:rsid w:val="510C6D30"/>
    <w:rsid w:val="51114346"/>
    <w:rsid w:val="51143E36"/>
    <w:rsid w:val="5116315B"/>
    <w:rsid w:val="51226553"/>
    <w:rsid w:val="51257DF2"/>
    <w:rsid w:val="512C7508"/>
    <w:rsid w:val="51324AC5"/>
    <w:rsid w:val="51346287"/>
    <w:rsid w:val="51387B25"/>
    <w:rsid w:val="513E0EB3"/>
    <w:rsid w:val="514566E6"/>
    <w:rsid w:val="515D3A2F"/>
    <w:rsid w:val="516923D4"/>
    <w:rsid w:val="516C77CE"/>
    <w:rsid w:val="51712AF7"/>
    <w:rsid w:val="51713037"/>
    <w:rsid w:val="517B3EB5"/>
    <w:rsid w:val="517F4A6D"/>
    <w:rsid w:val="51864D34"/>
    <w:rsid w:val="51991768"/>
    <w:rsid w:val="519A0C31"/>
    <w:rsid w:val="51A11B6E"/>
    <w:rsid w:val="51A927D1"/>
    <w:rsid w:val="51C15D6C"/>
    <w:rsid w:val="51C55131"/>
    <w:rsid w:val="51CD2963"/>
    <w:rsid w:val="51E23F34"/>
    <w:rsid w:val="51E41A5B"/>
    <w:rsid w:val="51E657D3"/>
    <w:rsid w:val="51E67581"/>
    <w:rsid w:val="51ED4DB3"/>
    <w:rsid w:val="51EE696A"/>
    <w:rsid w:val="51F26DD5"/>
    <w:rsid w:val="51F37EF0"/>
    <w:rsid w:val="51F6353C"/>
    <w:rsid w:val="51F658D7"/>
    <w:rsid w:val="51FA127E"/>
    <w:rsid w:val="51FA3069"/>
    <w:rsid w:val="51FE1D5B"/>
    <w:rsid w:val="520143BB"/>
    <w:rsid w:val="520774F7"/>
    <w:rsid w:val="520D0FB1"/>
    <w:rsid w:val="520E4D2A"/>
    <w:rsid w:val="52102850"/>
    <w:rsid w:val="521D6D1B"/>
    <w:rsid w:val="52262073"/>
    <w:rsid w:val="52263E21"/>
    <w:rsid w:val="522B3583"/>
    <w:rsid w:val="522E2CD6"/>
    <w:rsid w:val="52321D93"/>
    <w:rsid w:val="523D26EA"/>
    <w:rsid w:val="523E73BD"/>
    <w:rsid w:val="523F4EE3"/>
    <w:rsid w:val="52420452"/>
    <w:rsid w:val="524A5FDD"/>
    <w:rsid w:val="524D7600"/>
    <w:rsid w:val="52533FC1"/>
    <w:rsid w:val="525741FD"/>
    <w:rsid w:val="52636E23"/>
    <w:rsid w:val="52650DED"/>
    <w:rsid w:val="526606C2"/>
    <w:rsid w:val="5268268C"/>
    <w:rsid w:val="52684B42"/>
    <w:rsid w:val="526E7576"/>
    <w:rsid w:val="52773122"/>
    <w:rsid w:val="5277467D"/>
    <w:rsid w:val="527903F5"/>
    <w:rsid w:val="528145D8"/>
    <w:rsid w:val="528374C6"/>
    <w:rsid w:val="528D3EA0"/>
    <w:rsid w:val="528F7C18"/>
    <w:rsid w:val="52923265"/>
    <w:rsid w:val="52990A97"/>
    <w:rsid w:val="52A116FA"/>
    <w:rsid w:val="52AB4326"/>
    <w:rsid w:val="52AF02BB"/>
    <w:rsid w:val="52B458D1"/>
    <w:rsid w:val="52B85DAB"/>
    <w:rsid w:val="52BC4786"/>
    <w:rsid w:val="52BC6534"/>
    <w:rsid w:val="52C11D9C"/>
    <w:rsid w:val="52C5363A"/>
    <w:rsid w:val="52C8137C"/>
    <w:rsid w:val="52DB4AD8"/>
    <w:rsid w:val="52ED0DE3"/>
    <w:rsid w:val="52EF6976"/>
    <w:rsid w:val="52F201A7"/>
    <w:rsid w:val="52F30FD8"/>
    <w:rsid w:val="52F73E08"/>
    <w:rsid w:val="52F7756C"/>
    <w:rsid w:val="530363B2"/>
    <w:rsid w:val="53073C53"/>
    <w:rsid w:val="530973DA"/>
    <w:rsid w:val="530E3233"/>
    <w:rsid w:val="530F0D59"/>
    <w:rsid w:val="530F6FAB"/>
    <w:rsid w:val="5311687F"/>
    <w:rsid w:val="531620E8"/>
    <w:rsid w:val="5325057D"/>
    <w:rsid w:val="53313D67"/>
    <w:rsid w:val="53334A48"/>
    <w:rsid w:val="533407C0"/>
    <w:rsid w:val="53346A12"/>
    <w:rsid w:val="533E33EC"/>
    <w:rsid w:val="5349426B"/>
    <w:rsid w:val="53755060"/>
    <w:rsid w:val="537B019D"/>
    <w:rsid w:val="537C19BB"/>
    <w:rsid w:val="538C5F06"/>
    <w:rsid w:val="538D415C"/>
    <w:rsid w:val="538E6122"/>
    <w:rsid w:val="539D6365"/>
    <w:rsid w:val="53A452C5"/>
    <w:rsid w:val="53B86CFB"/>
    <w:rsid w:val="53BB70AD"/>
    <w:rsid w:val="53BD07B5"/>
    <w:rsid w:val="53C04D73"/>
    <w:rsid w:val="53C42A66"/>
    <w:rsid w:val="53C75190"/>
    <w:rsid w:val="53CF12BA"/>
    <w:rsid w:val="53D33B35"/>
    <w:rsid w:val="53D64D18"/>
    <w:rsid w:val="53DA43C4"/>
    <w:rsid w:val="53DA54B6"/>
    <w:rsid w:val="53DF072C"/>
    <w:rsid w:val="53E267AB"/>
    <w:rsid w:val="53EB70D0"/>
    <w:rsid w:val="53EE6BC1"/>
    <w:rsid w:val="53F1220D"/>
    <w:rsid w:val="53FA5565"/>
    <w:rsid w:val="53FD1061"/>
    <w:rsid w:val="53FF2B7C"/>
    <w:rsid w:val="54031C38"/>
    <w:rsid w:val="54041F40"/>
    <w:rsid w:val="540E06F6"/>
    <w:rsid w:val="541A1F8A"/>
    <w:rsid w:val="541B2763"/>
    <w:rsid w:val="54280325"/>
    <w:rsid w:val="542C1497"/>
    <w:rsid w:val="54336CC9"/>
    <w:rsid w:val="54370568"/>
    <w:rsid w:val="543C5B7E"/>
    <w:rsid w:val="54462559"/>
    <w:rsid w:val="544762D1"/>
    <w:rsid w:val="545A24A8"/>
    <w:rsid w:val="545B29F3"/>
    <w:rsid w:val="545D78A2"/>
    <w:rsid w:val="545F7ABE"/>
    <w:rsid w:val="546B0A8F"/>
    <w:rsid w:val="546B1FBF"/>
    <w:rsid w:val="546D21DB"/>
    <w:rsid w:val="546D3F89"/>
    <w:rsid w:val="546E385E"/>
    <w:rsid w:val="54706F60"/>
    <w:rsid w:val="54745318"/>
    <w:rsid w:val="54815C87"/>
    <w:rsid w:val="54880DC3"/>
    <w:rsid w:val="548D0188"/>
    <w:rsid w:val="549332C4"/>
    <w:rsid w:val="549A28A4"/>
    <w:rsid w:val="549C486F"/>
    <w:rsid w:val="54A83213"/>
    <w:rsid w:val="54AB2D04"/>
    <w:rsid w:val="54B6568B"/>
    <w:rsid w:val="54B716A8"/>
    <w:rsid w:val="54BA4CF5"/>
    <w:rsid w:val="54C94F38"/>
    <w:rsid w:val="54CA68AA"/>
    <w:rsid w:val="54D02C4B"/>
    <w:rsid w:val="54E81862"/>
    <w:rsid w:val="54F14BBA"/>
    <w:rsid w:val="54F46459"/>
    <w:rsid w:val="55093E11"/>
    <w:rsid w:val="550D6F8B"/>
    <w:rsid w:val="55112B45"/>
    <w:rsid w:val="55175CA3"/>
    <w:rsid w:val="551B1C37"/>
    <w:rsid w:val="551D1A51"/>
    <w:rsid w:val="551D2366"/>
    <w:rsid w:val="55351206"/>
    <w:rsid w:val="553700F3"/>
    <w:rsid w:val="55384597"/>
    <w:rsid w:val="553920BD"/>
    <w:rsid w:val="553C2410"/>
    <w:rsid w:val="553E1482"/>
    <w:rsid w:val="553E76D4"/>
    <w:rsid w:val="55446DBE"/>
    <w:rsid w:val="55515659"/>
    <w:rsid w:val="55545149"/>
    <w:rsid w:val="555A589F"/>
    <w:rsid w:val="555E38D2"/>
    <w:rsid w:val="55653C63"/>
    <w:rsid w:val="556A2E62"/>
    <w:rsid w:val="556C4241"/>
    <w:rsid w:val="55747599"/>
    <w:rsid w:val="55794BB0"/>
    <w:rsid w:val="557B0928"/>
    <w:rsid w:val="55823A64"/>
    <w:rsid w:val="55825812"/>
    <w:rsid w:val="5587107B"/>
    <w:rsid w:val="558C043F"/>
    <w:rsid w:val="558F79BB"/>
    <w:rsid w:val="559E0172"/>
    <w:rsid w:val="55A27C63"/>
    <w:rsid w:val="55A34CA2"/>
    <w:rsid w:val="55A649AE"/>
    <w:rsid w:val="55A97243"/>
    <w:rsid w:val="55AC6D33"/>
    <w:rsid w:val="55B61960"/>
    <w:rsid w:val="55C027DF"/>
    <w:rsid w:val="55C51BA3"/>
    <w:rsid w:val="55CB6589"/>
    <w:rsid w:val="55D818D6"/>
    <w:rsid w:val="55D93627"/>
    <w:rsid w:val="55DD6EED"/>
    <w:rsid w:val="55DF5738"/>
    <w:rsid w:val="55E22755"/>
    <w:rsid w:val="55E62390"/>
    <w:rsid w:val="55EA33B8"/>
    <w:rsid w:val="55EE4C56"/>
    <w:rsid w:val="55F06C20"/>
    <w:rsid w:val="55F3226C"/>
    <w:rsid w:val="55F81F79"/>
    <w:rsid w:val="560C77D2"/>
    <w:rsid w:val="561074A3"/>
    <w:rsid w:val="561843C9"/>
    <w:rsid w:val="56244B1C"/>
    <w:rsid w:val="56290384"/>
    <w:rsid w:val="56312D95"/>
    <w:rsid w:val="563A7E9B"/>
    <w:rsid w:val="5641747C"/>
    <w:rsid w:val="564B02FA"/>
    <w:rsid w:val="564E1B99"/>
    <w:rsid w:val="565E627F"/>
    <w:rsid w:val="56602AF8"/>
    <w:rsid w:val="5664316A"/>
    <w:rsid w:val="56644F18"/>
    <w:rsid w:val="5668404C"/>
    <w:rsid w:val="566E5D97"/>
    <w:rsid w:val="567535C9"/>
    <w:rsid w:val="56764C4B"/>
    <w:rsid w:val="567E247E"/>
    <w:rsid w:val="568009B7"/>
    <w:rsid w:val="568850AA"/>
    <w:rsid w:val="568923E9"/>
    <w:rsid w:val="569021B1"/>
    <w:rsid w:val="56951575"/>
    <w:rsid w:val="5697353F"/>
    <w:rsid w:val="569D1848"/>
    <w:rsid w:val="56A1616C"/>
    <w:rsid w:val="56A95021"/>
    <w:rsid w:val="56B04601"/>
    <w:rsid w:val="56B13A64"/>
    <w:rsid w:val="56B539C6"/>
    <w:rsid w:val="56BA3AA0"/>
    <w:rsid w:val="56BF4844"/>
    <w:rsid w:val="56C1236A"/>
    <w:rsid w:val="56C56CC7"/>
    <w:rsid w:val="56CF6D97"/>
    <w:rsid w:val="56D007FF"/>
    <w:rsid w:val="56D66689"/>
    <w:rsid w:val="56DA342C"/>
    <w:rsid w:val="56DC71A4"/>
    <w:rsid w:val="56DF6C95"/>
    <w:rsid w:val="56F444EE"/>
    <w:rsid w:val="570A0F13"/>
    <w:rsid w:val="570E46A2"/>
    <w:rsid w:val="5717642E"/>
    <w:rsid w:val="571A1A7B"/>
    <w:rsid w:val="572528F9"/>
    <w:rsid w:val="57284198"/>
    <w:rsid w:val="572F3778"/>
    <w:rsid w:val="57351C8C"/>
    <w:rsid w:val="57396991"/>
    <w:rsid w:val="573E766F"/>
    <w:rsid w:val="574D3BFE"/>
    <w:rsid w:val="57560D05"/>
    <w:rsid w:val="5758112B"/>
    <w:rsid w:val="576553EC"/>
    <w:rsid w:val="576D24F2"/>
    <w:rsid w:val="576F1DC6"/>
    <w:rsid w:val="577473DD"/>
    <w:rsid w:val="57777BD9"/>
    <w:rsid w:val="57783371"/>
    <w:rsid w:val="57847C36"/>
    <w:rsid w:val="579E445A"/>
    <w:rsid w:val="57AA1051"/>
    <w:rsid w:val="57AC2FBB"/>
    <w:rsid w:val="57C9597B"/>
    <w:rsid w:val="57CA524F"/>
    <w:rsid w:val="57D26DC6"/>
    <w:rsid w:val="57D63BF4"/>
    <w:rsid w:val="57E9601D"/>
    <w:rsid w:val="57ED39CE"/>
    <w:rsid w:val="57EE53E1"/>
    <w:rsid w:val="57FB18AC"/>
    <w:rsid w:val="57FB7AFE"/>
    <w:rsid w:val="57FD7373"/>
    <w:rsid w:val="58005114"/>
    <w:rsid w:val="580E6203"/>
    <w:rsid w:val="5814296E"/>
    <w:rsid w:val="58160494"/>
    <w:rsid w:val="581804AB"/>
    <w:rsid w:val="58207565"/>
    <w:rsid w:val="582B2191"/>
    <w:rsid w:val="583354EA"/>
    <w:rsid w:val="583F3E8F"/>
    <w:rsid w:val="584E2691"/>
    <w:rsid w:val="5853793A"/>
    <w:rsid w:val="585B059D"/>
    <w:rsid w:val="585F1E3B"/>
    <w:rsid w:val="586738EC"/>
    <w:rsid w:val="58692CBA"/>
    <w:rsid w:val="586A742C"/>
    <w:rsid w:val="58733B38"/>
    <w:rsid w:val="5875165E"/>
    <w:rsid w:val="587753D7"/>
    <w:rsid w:val="587A34DA"/>
    <w:rsid w:val="587A37B8"/>
    <w:rsid w:val="587B479B"/>
    <w:rsid w:val="587D6765"/>
    <w:rsid w:val="5881039C"/>
    <w:rsid w:val="58953AAF"/>
    <w:rsid w:val="58AB5080"/>
    <w:rsid w:val="58B54151"/>
    <w:rsid w:val="58C134D7"/>
    <w:rsid w:val="58C3061C"/>
    <w:rsid w:val="58C94C3F"/>
    <w:rsid w:val="58CD149A"/>
    <w:rsid w:val="58D345D7"/>
    <w:rsid w:val="58D36385"/>
    <w:rsid w:val="58D577F5"/>
    <w:rsid w:val="58D81BED"/>
    <w:rsid w:val="58DA3BB7"/>
    <w:rsid w:val="58DE7204"/>
    <w:rsid w:val="58EB36CF"/>
    <w:rsid w:val="58F05189"/>
    <w:rsid w:val="58FC1D80"/>
    <w:rsid w:val="58FD3402"/>
    <w:rsid w:val="59103135"/>
    <w:rsid w:val="591E42EB"/>
    <w:rsid w:val="5920298F"/>
    <w:rsid w:val="592A1676"/>
    <w:rsid w:val="5932754F"/>
    <w:rsid w:val="59350ABE"/>
    <w:rsid w:val="59350DEE"/>
    <w:rsid w:val="593E7CA2"/>
    <w:rsid w:val="59417793"/>
    <w:rsid w:val="59461221"/>
    <w:rsid w:val="59464DA9"/>
    <w:rsid w:val="595474C6"/>
    <w:rsid w:val="59576FB6"/>
    <w:rsid w:val="595B0854"/>
    <w:rsid w:val="595B2E2A"/>
    <w:rsid w:val="595B4CF8"/>
    <w:rsid w:val="595E20F3"/>
    <w:rsid w:val="59653481"/>
    <w:rsid w:val="596B480F"/>
    <w:rsid w:val="597933D0"/>
    <w:rsid w:val="59934492"/>
    <w:rsid w:val="599B6EA3"/>
    <w:rsid w:val="59A321FB"/>
    <w:rsid w:val="59A33FA9"/>
    <w:rsid w:val="59AC7302"/>
    <w:rsid w:val="59AD6BD6"/>
    <w:rsid w:val="59B12B6A"/>
    <w:rsid w:val="59C10AB4"/>
    <w:rsid w:val="59C53F20"/>
    <w:rsid w:val="59C7413C"/>
    <w:rsid w:val="59C9625C"/>
    <w:rsid w:val="59D14FBA"/>
    <w:rsid w:val="59D6437F"/>
    <w:rsid w:val="59E06FAB"/>
    <w:rsid w:val="59E71DDE"/>
    <w:rsid w:val="59E854F3"/>
    <w:rsid w:val="59EE4DAD"/>
    <w:rsid w:val="59FD190B"/>
    <w:rsid w:val="5A027E85"/>
    <w:rsid w:val="5A043EDA"/>
    <w:rsid w:val="5A0507C0"/>
    <w:rsid w:val="5A064D2E"/>
    <w:rsid w:val="5A096502"/>
    <w:rsid w:val="5A0C7744"/>
    <w:rsid w:val="5A132EDD"/>
    <w:rsid w:val="5A150D5F"/>
    <w:rsid w:val="5A1F5D26"/>
    <w:rsid w:val="5A2275C4"/>
    <w:rsid w:val="5A292701"/>
    <w:rsid w:val="5A3910C8"/>
    <w:rsid w:val="5A427C66"/>
    <w:rsid w:val="5A4412E8"/>
    <w:rsid w:val="5A4968FF"/>
    <w:rsid w:val="5A496D02"/>
    <w:rsid w:val="5A4C2E1A"/>
    <w:rsid w:val="5A53496E"/>
    <w:rsid w:val="5A5359CF"/>
    <w:rsid w:val="5A551748"/>
    <w:rsid w:val="5A5534F6"/>
    <w:rsid w:val="5A690D4F"/>
    <w:rsid w:val="5A6C4CE3"/>
    <w:rsid w:val="5A6F20DD"/>
    <w:rsid w:val="5A763A35"/>
    <w:rsid w:val="5A7756D8"/>
    <w:rsid w:val="5A8E56BE"/>
    <w:rsid w:val="5A8E6A07"/>
    <w:rsid w:val="5A92474A"/>
    <w:rsid w:val="5A96078C"/>
    <w:rsid w:val="5A9A53AC"/>
    <w:rsid w:val="5AAC50E0"/>
    <w:rsid w:val="5AB02E22"/>
    <w:rsid w:val="5AB23258"/>
    <w:rsid w:val="5AB741B0"/>
    <w:rsid w:val="5ABA15AB"/>
    <w:rsid w:val="5ABB0552"/>
    <w:rsid w:val="5ABC74C1"/>
    <w:rsid w:val="5AC60EDF"/>
    <w:rsid w:val="5AC87CD6"/>
    <w:rsid w:val="5AC95C92"/>
    <w:rsid w:val="5ACE14FA"/>
    <w:rsid w:val="5AD05272"/>
    <w:rsid w:val="5AD76600"/>
    <w:rsid w:val="5AD85ED5"/>
    <w:rsid w:val="5AE85A5C"/>
    <w:rsid w:val="5AEB20AC"/>
    <w:rsid w:val="5AF96577"/>
    <w:rsid w:val="5AFA5E4B"/>
    <w:rsid w:val="5AFC7E15"/>
    <w:rsid w:val="5AFD593B"/>
    <w:rsid w:val="5AFE7D23"/>
    <w:rsid w:val="5B084A0C"/>
    <w:rsid w:val="5B092532"/>
    <w:rsid w:val="5B1038C0"/>
    <w:rsid w:val="5B18744E"/>
    <w:rsid w:val="5B19492B"/>
    <w:rsid w:val="5B1A029B"/>
    <w:rsid w:val="5B1E7D8B"/>
    <w:rsid w:val="5B21787C"/>
    <w:rsid w:val="5B245915"/>
    <w:rsid w:val="5B294982"/>
    <w:rsid w:val="5B2E3D47"/>
    <w:rsid w:val="5B33135D"/>
    <w:rsid w:val="5B384449"/>
    <w:rsid w:val="5B3A26EB"/>
    <w:rsid w:val="5B3F7D02"/>
    <w:rsid w:val="5B48305A"/>
    <w:rsid w:val="5B525C87"/>
    <w:rsid w:val="5B5F03A4"/>
    <w:rsid w:val="5B6559BA"/>
    <w:rsid w:val="5B6F05E7"/>
    <w:rsid w:val="5B7B3430"/>
    <w:rsid w:val="5B7C0F56"/>
    <w:rsid w:val="5B7F45A2"/>
    <w:rsid w:val="5B835E40"/>
    <w:rsid w:val="5B895EC5"/>
    <w:rsid w:val="5B914A01"/>
    <w:rsid w:val="5B98227D"/>
    <w:rsid w:val="5B991686"/>
    <w:rsid w:val="5BA022C4"/>
    <w:rsid w:val="5BA5225B"/>
    <w:rsid w:val="5BA858A7"/>
    <w:rsid w:val="5BA87F9D"/>
    <w:rsid w:val="5BAD110F"/>
    <w:rsid w:val="5BAF30D9"/>
    <w:rsid w:val="5BB55204"/>
    <w:rsid w:val="5BBA55DA"/>
    <w:rsid w:val="5BBE156E"/>
    <w:rsid w:val="5BC052E6"/>
    <w:rsid w:val="5BC14BBB"/>
    <w:rsid w:val="5BC50070"/>
    <w:rsid w:val="5BC56459"/>
    <w:rsid w:val="5BC63955"/>
    <w:rsid w:val="5BCA1CC1"/>
    <w:rsid w:val="5BCA7F13"/>
    <w:rsid w:val="5BCD355F"/>
    <w:rsid w:val="5BE56AFB"/>
    <w:rsid w:val="5BE663CF"/>
    <w:rsid w:val="5BEA4111"/>
    <w:rsid w:val="5BED13DD"/>
    <w:rsid w:val="5BF949F3"/>
    <w:rsid w:val="5C013FDE"/>
    <w:rsid w:val="5C074CC3"/>
    <w:rsid w:val="5C115B42"/>
    <w:rsid w:val="5C133668"/>
    <w:rsid w:val="5C190436"/>
    <w:rsid w:val="5C1949F7"/>
    <w:rsid w:val="5C272C70"/>
    <w:rsid w:val="5C2C64D8"/>
    <w:rsid w:val="5C304DB5"/>
    <w:rsid w:val="5C321615"/>
    <w:rsid w:val="5C326D94"/>
    <w:rsid w:val="5C390BF5"/>
    <w:rsid w:val="5C3B496D"/>
    <w:rsid w:val="5C3B671B"/>
    <w:rsid w:val="5C3D6937"/>
    <w:rsid w:val="5C401F83"/>
    <w:rsid w:val="5C495A77"/>
    <w:rsid w:val="5C4A2BD7"/>
    <w:rsid w:val="5C5D48E3"/>
    <w:rsid w:val="5C61395F"/>
    <w:rsid w:val="5C653E6B"/>
    <w:rsid w:val="5C6739B4"/>
    <w:rsid w:val="5C6B34A4"/>
    <w:rsid w:val="5C6C2D78"/>
    <w:rsid w:val="5C700ABB"/>
    <w:rsid w:val="5C757E7F"/>
    <w:rsid w:val="5C7659A5"/>
    <w:rsid w:val="5C7D20F2"/>
    <w:rsid w:val="5C7F0CFE"/>
    <w:rsid w:val="5C806824"/>
    <w:rsid w:val="5C853FF6"/>
    <w:rsid w:val="5C8D1BE7"/>
    <w:rsid w:val="5C966047"/>
    <w:rsid w:val="5C9A11AC"/>
    <w:rsid w:val="5CA6628A"/>
    <w:rsid w:val="5CAB1AF3"/>
    <w:rsid w:val="5CAF68F6"/>
    <w:rsid w:val="5CBC3D00"/>
    <w:rsid w:val="5CBD341C"/>
    <w:rsid w:val="5CBD5CB6"/>
    <w:rsid w:val="5CCF02E3"/>
    <w:rsid w:val="5CD8040E"/>
    <w:rsid w:val="5CDF79EE"/>
    <w:rsid w:val="5CE110EE"/>
    <w:rsid w:val="5CE62B2B"/>
    <w:rsid w:val="5CE84AF5"/>
    <w:rsid w:val="5CEE7C31"/>
    <w:rsid w:val="5CF35248"/>
    <w:rsid w:val="5CF84E92"/>
    <w:rsid w:val="5D0442B4"/>
    <w:rsid w:val="5D064F7B"/>
    <w:rsid w:val="5D0B2591"/>
    <w:rsid w:val="5D101956"/>
    <w:rsid w:val="5D123920"/>
    <w:rsid w:val="5D1E67C5"/>
    <w:rsid w:val="5D211DB5"/>
    <w:rsid w:val="5D213D72"/>
    <w:rsid w:val="5D235B2D"/>
    <w:rsid w:val="5D2418A5"/>
    <w:rsid w:val="5D2C42B6"/>
    <w:rsid w:val="5D355860"/>
    <w:rsid w:val="5D4635C9"/>
    <w:rsid w:val="5D4810F0"/>
    <w:rsid w:val="5D5F28DD"/>
    <w:rsid w:val="5D63632E"/>
    <w:rsid w:val="5D665A1A"/>
    <w:rsid w:val="5D72616D"/>
    <w:rsid w:val="5D731EE5"/>
    <w:rsid w:val="5D7719D5"/>
    <w:rsid w:val="5D774C0D"/>
    <w:rsid w:val="5D7A14C5"/>
    <w:rsid w:val="5D7C6FEB"/>
    <w:rsid w:val="5D8440F2"/>
    <w:rsid w:val="5D89138F"/>
    <w:rsid w:val="5D9205BD"/>
    <w:rsid w:val="5D99194B"/>
    <w:rsid w:val="5D9A7CA2"/>
    <w:rsid w:val="5D9C143B"/>
    <w:rsid w:val="5D9C1A7F"/>
    <w:rsid w:val="5D9C58DF"/>
    <w:rsid w:val="5D9E6F62"/>
    <w:rsid w:val="5D9F0F2C"/>
    <w:rsid w:val="5DA12EF6"/>
    <w:rsid w:val="5DAD189A"/>
    <w:rsid w:val="5DBB6015"/>
    <w:rsid w:val="5DC82230"/>
    <w:rsid w:val="5DCB61F0"/>
    <w:rsid w:val="5DD5494D"/>
    <w:rsid w:val="5DD63758"/>
    <w:rsid w:val="5DD92690"/>
    <w:rsid w:val="5DDA3E21"/>
    <w:rsid w:val="5DDE1A54"/>
    <w:rsid w:val="5DE132F2"/>
    <w:rsid w:val="5DE4797B"/>
    <w:rsid w:val="5DE9492A"/>
    <w:rsid w:val="5DED186C"/>
    <w:rsid w:val="5DED7EE9"/>
    <w:rsid w:val="5DF272AD"/>
    <w:rsid w:val="5DF72B16"/>
    <w:rsid w:val="5DFD637E"/>
    <w:rsid w:val="5E082F75"/>
    <w:rsid w:val="5E0C56F7"/>
    <w:rsid w:val="5E0D2339"/>
    <w:rsid w:val="5E135BA1"/>
    <w:rsid w:val="5E1611EE"/>
    <w:rsid w:val="5E162F9C"/>
    <w:rsid w:val="5E227B93"/>
    <w:rsid w:val="5E257683"/>
    <w:rsid w:val="5E2775BD"/>
    <w:rsid w:val="5E282CCF"/>
    <w:rsid w:val="5E2D6537"/>
    <w:rsid w:val="5E326512"/>
    <w:rsid w:val="5E3C3095"/>
    <w:rsid w:val="5E4205CC"/>
    <w:rsid w:val="5E451AD3"/>
    <w:rsid w:val="5E48511F"/>
    <w:rsid w:val="5E4A026A"/>
    <w:rsid w:val="5E504C73"/>
    <w:rsid w:val="5E510478"/>
    <w:rsid w:val="5E512226"/>
    <w:rsid w:val="5E5A37D0"/>
    <w:rsid w:val="5E5E3835"/>
    <w:rsid w:val="5E665AD6"/>
    <w:rsid w:val="5E6D4B86"/>
    <w:rsid w:val="5E6E2DD8"/>
    <w:rsid w:val="5E767EDE"/>
    <w:rsid w:val="5E777922"/>
    <w:rsid w:val="5E816FDD"/>
    <w:rsid w:val="5E850121"/>
    <w:rsid w:val="5E873E9A"/>
    <w:rsid w:val="5E8C14B0"/>
    <w:rsid w:val="5E916AC6"/>
    <w:rsid w:val="5E985E8A"/>
    <w:rsid w:val="5E99597B"/>
    <w:rsid w:val="5E9D190F"/>
    <w:rsid w:val="5EA54320"/>
    <w:rsid w:val="5EAC56AE"/>
    <w:rsid w:val="5EB10F16"/>
    <w:rsid w:val="5EB47229"/>
    <w:rsid w:val="5EBA601D"/>
    <w:rsid w:val="5EC24E86"/>
    <w:rsid w:val="5EC24ED2"/>
    <w:rsid w:val="5ECE1AC8"/>
    <w:rsid w:val="5ED03A93"/>
    <w:rsid w:val="5ED30E8D"/>
    <w:rsid w:val="5ED510A9"/>
    <w:rsid w:val="5ED864A3"/>
    <w:rsid w:val="5ED92084"/>
    <w:rsid w:val="5EDF3132"/>
    <w:rsid w:val="5EDF3CD6"/>
    <w:rsid w:val="5EE4753E"/>
    <w:rsid w:val="5EE54D87"/>
    <w:rsid w:val="5EF07C91"/>
    <w:rsid w:val="5EF17565"/>
    <w:rsid w:val="5EF414B4"/>
    <w:rsid w:val="5EFA0B0F"/>
    <w:rsid w:val="5EFA466C"/>
    <w:rsid w:val="5F011E9E"/>
    <w:rsid w:val="5F105C3D"/>
    <w:rsid w:val="5F1C6CD8"/>
    <w:rsid w:val="5F1D47FE"/>
    <w:rsid w:val="5F1F2324"/>
    <w:rsid w:val="5F217E4A"/>
    <w:rsid w:val="5F223BC2"/>
    <w:rsid w:val="5F266B2B"/>
    <w:rsid w:val="5F2C67EF"/>
    <w:rsid w:val="5F2C7B45"/>
    <w:rsid w:val="5F3B6A32"/>
    <w:rsid w:val="5F3D09FC"/>
    <w:rsid w:val="5F3F6522"/>
    <w:rsid w:val="5F4678B1"/>
    <w:rsid w:val="5F4C0C3F"/>
    <w:rsid w:val="5F530220"/>
    <w:rsid w:val="5F532EDA"/>
    <w:rsid w:val="5F555D46"/>
    <w:rsid w:val="5F562E9B"/>
    <w:rsid w:val="5F57386C"/>
    <w:rsid w:val="5F5F4E16"/>
    <w:rsid w:val="5F671EAE"/>
    <w:rsid w:val="5F685A79"/>
    <w:rsid w:val="5F6E059E"/>
    <w:rsid w:val="5F751F44"/>
    <w:rsid w:val="5F7C1524"/>
    <w:rsid w:val="5F922AF6"/>
    <w:rsid w:val="5F93061C"/>
    <w:rsid w:val="5F97010C"/>
    <w:rsid w:val="5F9A7BFD"/>
    <w:rsid w:val="5FA34D03"/>
    <w:rsid w:val="5FA42829"/>
    <w:rsid w:val="5FAA6092"/>
    <w:rsid w:val="5FB455AB"/>
    <w:rsid w:val="5FB46F10"/>
    <w:rsid w:val="5FB707AE"/>
    <w:rsid w:val="5FBB029F"/>
    <w:rsid w:val="5FBF1411"/>
    <w:rsid w:val="5FC03B07"/>
    <w:rsid w:val="5FC92290"/>
    <w:rsid w:val="5FCA6734"/>
    <w:rsid w:val="5FCB7633"/>
    <w:rsid w:val="5FCE1215"/>
    <w:rsid w:val="5FCF3D4A"/>
    <w:rsid w:val="5FD539BB"/>
    <w:rsid w:val="5FD8479E"/>
    <w:rsid w:val="5FE01AB3"/>
    <w:rsid w:val="5FE315A4"/>
    <w:rsid w:val="5FE61094"/>
    <w:rsid w:val="5FEC48FC"/>
    <w:rsid w:val="5FEF4FD0"/>
    <w:rsid w:val="5FF11588"/>
    <w:rsid w:val="5FF7262C"/>
    <w:rsid w:val="5FF93E5A"/>
    <w:rsid w:val="600357A2"/>
    <w:rsid w:val="600B4FBD"/>
    <w:rsid w:val="60107EBF"/>
    <w:rsid w:val="601E25DC"/>
    <w:rsid w:val="60200102"/>
    <w:rsid w:val="602A0F80"/>
    <w:rsid w:val="604007A4"/>
    <w:rsid w:val="60457B68"/>
    <w:rsid w:val="60471B32"/>
    <w:rsid w:val="604B3689"/>
    <w:rsid w:val="60561D75"/>
    <w:rsid w:val="60585DBB"/>
    <w:rsid w:val="605E0C2A"/>
    <w:rsid w:val="60673F83"/>
    <w:rsid w:val="606F72DB"/>
    <w:rsid w:val="60786190"/>
    <w:rsid w:val="60806DF2"/>
    <w:rsid w:val="608368E3"/>
    <w:rsid w:val="609F50E9"/>
    <w:rsid w:val="60A96349"/>
    <w:rsid w:val="60AD570E"/>
    <w:rsid w:val="60AE7E03"/>
    <w:rsid w:val="60D333C6"/>
    <w:rsid w:val="60DD4245"/>
    <w:rsid w:val="60E05AE3"/>
    <w:rsid w:val="60E530F9"/>
    <w:rsid w:val="60E56B58"/>
    <w:rsid w:val="60F11A9E"/>
    <w:rsid w:val="60FA4DF7"/>
    <w:rsid w:val="60FB291D"/>
    <w:rsid w:val="610C2208"/>
    <w:rsid w:val="610C4B2A"/>
    <w:rsid w:val="611B3BAF"/>
    <w:rsid w:val="61230696"/>
    <w:rsid w:val="61291238"/>
    <w:rsid w:val="612C2AD6"/>
    <w:rsid w:val="61314591"/>
    <w:rsid w:val="61394E2C"/>
    <w:rsid w:val="613A3445"/>
    <w:rsid w:val="613B0F6B"/>
    <w:rsid w:val="6142054C"/>
    <w:rsid w:val="61447E20"/>
    <w:rsid w:val="614E0C9F"/>
    <w:rsid w:val="61534507"/>
    <w:rsid w:val="615D5386"/>
    <w:rsid w:val="615D7134"/>
    <w:rsid w:val="615E35D8"/>
    <w:rsid w:val="61616C24"/>
    <w:rsid w:val="61630BEE"/>
    <w:rsid w:val="6164715E"/>
    <w:rsid w:val="6165501F"/>
    <w:rsid w:val="61700C15"/>
    <w:rsid w:val="617F4494"/>
    <w:rsid w:val="6183159A"/>
    <w:rsid w:val="61842912"/>
    <w:rsid w:val="619444E0"/>
    <w:rsid w:val="619C7C5C"/>
    <w:rsid w:val="619F599E"/>
    <w:rsid w:val="61A42FB4"/>
    <w:rsid w:val="61AB4343"/>
    <w:rsid w:val="61AD2798"/>
    <w:rsid w:val="61AF2682"/>
    <w:rsid w:val="61AF3E33"/>
    <w:rsid w:val="61B52ACC"/>
    <w:rsid w:val="61B74A96"/>
    <w:rsid w:val="61B9080E"/>
    <w:rsid w:val="61BF7DEE"/>
    <w:rsid w:val="61CE5D83"/>
    <w:rsid w:val="61D00691"/>
    <w:rsid w:val="61D92C5E"/>
    <w:rsid w:val="61DE2022"/>
    <w:rsid w:val="61E0223F"/>
    <w:rsid w:val="61E82EA1"/>
    <w:rsid w:val="61EA6C19"/>
    <w:rsid w:val="61F93300"/>
    <w:rsid w:val="61FE7898"/>
    <w:rsid w:val="62051CA5"/>
    <w:rsid w:val="62195750"/>
    <w:rsid w:val="621C7A8F"/>
    <w:rsid w:val="62287742"/>
    <w:rsid w:val="622D2FAA"/>
    <w:rsid w:val="62380626"/>
    <w:rsid w:val="624D53FA"/>
    <w:rsid w:val="625422E5"/>
    <w:rsid w:val="62562501"/>
    <w:rsid w:val="62593D9F"/>
    <w:rsid w:val="62634C1E"/>
    <w:rsid w:val="626A1B08"/>
    <w:rsid w:val="626D784A"/>
    <w:rsid w:val="62726C0F"/>
    <w:rsid w:val="62742987"/>
    <w:rsid w:val="62774225"/>
    <w:rsid w:val="627806C9"/>
    <w:rsid w:val="627875F1"/>
    <w:rsid w:val="628738A1"/>
    <w:rsid w:val="629149FC"/>
    <w:rsid w:val="629D5670"/>
    <w:rsid w:val="62A0765A"/>
    <w:rsid w:val="62A11A47"/>
    <w:rsid w:val="62AF51A9"/>
    <w:rsid w:val="62B15989"/>
    <w:rsid w:val="62B2525D"/>
    <w:rsid w:val="62B4089B"/>
    <w:rsid w:val="62B81A8F"/>
    <w:rsid w:val="62B85E2E"/>
    <w:rsid w:val="62C4345A"/>
    <w:rsid w:val="62C84579"/>
    <w:rsid w:val="62CA6A4B"/>
    <w:rsid w:val="62CB754B"/>
    <w:rsid w:val="62CE653B"/>
    <w:rsid w:val="62D82F16"/>
    <w:rsid w:val="62DF2D7C"/>
    <w:rsid w:val="62E418BB"/>
    <w:rsid w:val="62E80C7F"/>
    <w:rsid w:val="62E94FF3"/>
    <w:rsid w:val="62F13FD7"/>
    <w:rsid w:val="62F475B6"/>
    <w:rsid w:val="62FB1FD9"/>
    <w:rsid w:val="63041F5D"/>
    <w:rsid w:val="630C6A64"/>
    <w:rsid w:val="6311467A"/>
    <w:rsid w:val="63161C90"/>
    <w:rsid w:val="631F7E44"/>
    <w:rsid w:val="63220635"/>
    <w:rsid w:val="632779F9"/>
    <w:rsid w:val="632B74E9"/>
    <w:rsid w:val="632C14B3"/>
    <w:rsid w:val="632F68AE"/>
    <w:rsid w:val="63367C3C"/>
    <w:rsid w:val="63376FCF"/>
    <w:rsid w:val="633A597E"/>
    <w:rsid w:val="633B16F7"/>
    <w:rsid w:val="63414F5F"/>
    <w:rsid w:val="63471E49"/>
    <w:rsid w:val="63473BF7"/>
    <w:rsid w:val="634E31D8"/>
    <w:rsid w:val="63690012"/>
    <w:rsid w:val="63696264"/>
    <w:rsid w:val="636B3D8A"/>
    <w:rsid w:val="636C7B02"/>
    <w:rsid w:val="6377272F"/>
    <w:rsid w:val="637846F9"/>
    <w:rsid w:val="637C04DD"/>
    <w:rsid w:val="637C406B"/>
    <w:rsid w:val="63827325"/>
    <w:rsid w:val="6384309D"/>
    <w:rsid w:val="63847CD0"/>
    <w:rsid w:val="63862972"/>
    <w:rsid w:val="6388493C"/>
    <w:rsid w:val="639037F0"/>
    <w:rsid w:val="6393508F"/>
    <w:rsid w:val="63964CCA"/>
    <w:rsid w:val="639C3F43"/>
    <w:rsid w:val="63A4104A"/>
    <w:rsid w:val="63A86D8C"/>
    <w:rsid w:val="63AB062A"/>
    <w:rsid w:val="63AB23D8"/>
    <w:rsid w:val="63AD6150"/>
    <w:rsid w:val="63B219B9"/>
    <w:rsid w:val="63B3128D"/>
    <w:rsid w:val="63B3451B"/>
    <w:rsid w:val="63B773AF"/>
    <w:rsid w:val="63CF5A1E"/>
    <w:rsid w:val="63D52158"/>
    <w:rsid w:val="63DA4B5E"/>
    <w:rsid w:val="63DD630A"/>
    <w:rsid w:val="63E61662"/>
    <w:rsid w:val="63E73E74"/>
    <w:rsid w:val="63EF49BB"/>
    <w:rsid w:val="63F0428F"/>
    <w:rsid w:val="64095351"/>
    <w:rsid w:val="64104931"/>
    <w:rsid w:val="64137F7D"/>
    <w:rsid w:val="6418674C"/>
    <w:rsid w:val="6421269A"/>
    <w:rsid w:val="642D103F"/>
    <w:rsid w:val="643C74D4"/>
    <w:rsid w:val="643F0DC9"/>
    <w:rsid w:val="644A1E02"/>
    <w:rsid w:val="644D348F"/>
    <w:rsid w:val="645657AD"/>
    <w:rsid w:val="645667E8"/>
    <w:rsid w:val="64590086"/>
    <w:rsid w:val="646709F5"/>
    <w:rsid w:val="64680FC0"/>
    <w:rsid w:val="64682077"/>
    <w:rsid w:val="6468651B"/>
    <w:rsid w:val="646D3B32"/>
    <w:rsid w:val="646F78AA"/>
    <w:rsid w:val="64721148"/>
    <w:rsid w:val="64760260"/>
    <w:rsid w:val="648570CD"/>
    <w:rsid w:val="648669A1"/>
    <w:rsid w:val="648D18F2"/>
    <w:rsid w:val="648D7D30"/>
    <w:rsid w:val="648F3AA8"/>
    <w:rsid w:val="64986E00"/>
    <w:rsid w:val="649C62B6"/>
    <w:rsid w:val="64A82DBC"/>
    <w:rsid w:val="64AA7BD5"/>
    <w:rsid w:val="64B1461A"/>
    <w:rsid w:val="64B33C3A"/>
    <w:rsid w:val="64B74DAD"/>
    <w:rsid w:val="64BE613B"/>
    <w:rsid w:val="64C232CA"/>
    <w:rsid w:val="64C5396E"/>
    <w:rsid w:val="64CD1CA4"/>
    <w:rsid w:val="64D4595F"/>
    <w:rsid w:val="64D67929"/>
    <w:rsid w:val="64DD0CB7"/>
    <w:rsid w:val="64E9765C"/>
    <w:rsid w:val="64EC4FB2"/>
    <w:rsid w:val="64F25DE5"/>
    <w:rsid w:val="64F41B5D"/>
    <w:rsid w:val="64FD143E"/>
    <w:rsid w:val="650E4428"/>
    <w:rsid w:val="65197815"/>
    <w:rsid w:val="651B533C"/>
    <w:rsid w:val="651D7306"/>
    <w:rsid w:val="65285B05"/>
    <w:rsid w:val="652A2E44"/>
    <w:rsid w:val="652D6656"/>
    <w:rsid w:val="652E32C1"/>
    <w:rsid w:val="653B778C"/>
    <w:rsid w:val="65420B1A"/>
    <w:rsid w:val="65440F0D"/>
    <w:rsid w:val="654725D5"/>
    <w:rsid w:val="654E4849"/>
    <w:rsid w:val="654F4FE5"/>
    <w:rsid w:val="65501489"/>
    <w:rsid w:val="65530F79"/>
    <w:rsid w:val="65586590"/>
    <w:rsid w:val="65613696"/>
    <w:rsid w:val="65624D19"/>
    <w:rsid w:val="6567203B"/>
    <w:rsid w:val="656816F1"/>
    <w:rsid w:val="65686657"/>
    <w:rsid w:val="6569254B"/>
    <w:rsid w:val="657E769D"/>
    <w:rsid w:val="65817895"/>
    <w:rsid w:val="65836DB6"/>
    <w:rsid w:val="65901886"/>
    <w:rsid w:val="65971982"/>
    <w:rsid w:val="659811AB"/>
    <w:rsid w:val="659F41BF"/>
    <w:rsid w:val="65A11CE5"/>
    <w:rsid w:val="65A2780B"/>
    <w:rsid w:val="65A43583"/>
    <w:rsid w:val="65BA4B55"/>
    <w:rsid w:val="65BD69EB"/>
    <w:rsid w:val="65BF216B"/>
    <w:rsid w:val="65C43C25"/>
    <w:rsid w:val="65E63B9C"/>
    <w:rsid w:val="65E75AA3"/>
    <w:rsid w:val="65EB7404"/>
    <w:rsid w:val="65F20A51"/>
    <w:rsid w:val="65F61F82"/>
    <w:rsid w:val="65FA64D3"/>
    <w:rsid w:val="660700E1"/>
    <w:rsid w:val="660D707D"/>
    <w:rsid w:val="66124991"/>
    <w:rsid w:val="661F70AE"/>
    <w:rsid w:val="662841B4"/>
    <w:rsid w:val="6635067F"/>
    <w:rsid w:val="663568D1"/>
    <w:rsid w:val="663A2F15"/>
    <w:rsid w:val="663D12E2"/>
    <w:rsid w:val="664977CF"/>
    <w:rsid w:val="664B7EA3"/>
    <w:rsid w:val="664C6264"/>
    <w:rsid w:val="6650370B"/>
    <w:rsid w:val="66541127"/>
    <w:rsid w:val="6660394E"/>
    <w:rsid w:val="666233FC"/>
    <w:rsid w:val="66642F38"/>
    <w:rsid w:val="666F1DE3"/>
    <w:rsid w:val="6686712D"/>
    <w:rsid w:val="66886A01"/>
    <w:rsid w:val="668A4527"/>
    <w:rsid w:val="6692787F"/>
    <w:rsid w:val="66934D5F"/>
    <w:rsid w:val="66A02C7C"/>
    <w:rsid w:val="66A7157D"/>
    <w:rsid w:val="66A870A3"/>
    <w:rsid w:val="66AF0431"/>
    <w:rsid w:val="66B9305E"/>
    <w:rsid w:val="66BB049A"/>
    <w:rsid w:val="66BB250F"/>
    <w:rsid w:val="66CD4D5B"/>
    <w:rsid w:val="66EA1469"/>
    <w:rsid w:val="66EC4975"/>
    <w:rsid w:val="66F145A6"/>
    <w:rsid w:val="66F2031E"/>
    <w:rsid w:val="66F422E8"/>
    <w:rsid w:val="66F92550"/>
    <w:rsid w:val="66FB5425"/>
    <w:rsid w:val="67016B09"/>
    <w:rsid w:val="670267B3"/>
    <w:rsid w:val="67034A51"/>
    <w:rsid w:val="670B2F88"/>
    <w:rsid w:val="670E33AA"/>
    <w:rsid w:val="6712276E"/>
    <w:rsid w:val="671B5AC7"/>
    <w:rsid w:val="672030DD"/>
    <w:rsid w:val="67203D95"/>
    <w:rsid w:val="67206C39"/>
    <w:rsid w:val="672A5D0A"/>
    <w:rsid w:val="6736645D"/>
    <w:rsid w:val="674212A6"/>
    <w:rsid w:val="67544B35"/>
    <w:rsid w:val="67597141"/>
    <w:rsid w:val="6773320D"/>
    <w:rsid w:val="677F5C59"/>
    <w:rsid w:val="6782764B"/>
    <w:rsid w:val="678B49FB"/>
    <w:rsid w:val="678F3DBF"/>
    <w:rsid w:val="67957627"/>
    <w:rsid w:val="67A91325"/>
    <w:rsid w:val="67AE6244"/>
    <w:rsid w:val="67AF7FBD"/>
    <w:rsid w:val="67B33F51"/>
    <w:rsid w:val="67B5752B"/>
    <w:rsid w:val="67B678A7"/>
    <w:rsid w:val="67C27CF0"/>
    <w:rsid w:val="67C95523"/>
    <w:rsid w:val="67CE48E7"/>
    <w:rsid w:val="67D16185"/>
    <w:rsid w:val="67D225ED"/>
    <w:rsid w:val="67D87514"/>
    <w:rsid w:val="67DA7730"/>
    <w:rsid w:val="67DD5C69"/>
    <w:rsid w:val="67E4410B"/>
    <w:rsid w:val="67E91721"/>
    <w:rsid w:val="67E97973"/>
    <w:rsid w:val="67EE6D37"/>
    <w:rsid w:val="67F500C6"/>
    <w:rsid w:val="67F56318"/>
    <w:rsid w:val="67F83FF2"/>
    <w:rsid w:val="68093B71"/>
    <w:rsid w:val="680B1697"/>
    <w:rsid w:val="680E2F36"/>
    <w:rsid w:val="68152516"/>
    <w:rsid w:val="681650AF"/>
    <w:rsid w:val="681744E0"/>
    <w:rsid w:val="681A7B2C"/>
    <w:rsid w:val="681B017B"/>
    <w:rsid w:val="681B27B3"/>
    <w:rsid w:val="68262975"/>
    <w:rsid w:val="682664D1"/>
    <w:rsid w:val="683010FE"/>
    <w:rsid w:val="683116BC"/>
    <w:rsid w:val="6832131A"/>
    <w:rsid w:val="68324E76"/>
    <w:rsid w:val="6841330B"/>
    <w:rsid w:val="68421AF2"/>
    <w:rsid w:val="68444BA9"/>
    <w:rsid w:val="68460921"/>
    <w:rsid w:val="68464DC5"/>
    <w:rsid w:val="6848606E"/>
    <w:rsid w:val="684B5F38"/>
    <w:rsid w:val="6852376A"/>
    <w:rsid w:val="685272C6"/>
    <w:rsid w:val="68577EBB"/>
    <w:rsid w:val="685C0145"/>
    <w:rsid w:val="685E210F"/>
    <w:rsid w:val="685F3791"/>
    <w:rsid w:val="686D58E2"/>
    <w:rsid w:val="68721717"/>
    <w:rsid w:val="687C07E7"/>
    <w:rsid w:val="687C2E13"/>
    <w:rsid w:val="688F3871"/>
    <w:rsid w:val="68914293"/>
    <w:rsid w:val="68945B31"/>
    <w:rsid w:val="689618A9"/>
    <w:rsid w:val="689E250C"/>
    <w:rsid w:val="68A3515D"/>
    <w:rsid w:val="68A8338A"/>
    <w:rsid w:val="68A90204"/>
    <w:rsid w:val="68AB2E7A"/>
    <w:rsid w:val="68B00491"/>
    <w:rsid w:val="68B0223F"/>
    <w:rsid w:val="68B166E3"/>
    <w:rsid w:val="68B24209"/>
    <w:rsid w:val="68B7181F"/>
    <w:rsid w:val="68BE2BAE"/>
    <w:rsid w:val="68BF2482"/>
    <w:rsid w:val="68C74DCD"/>
    <w:rsid w:val="68D26659"/>
    <w:rsid w:val="68D45F2D"/>
    <w:rsid w:val="68D862F5"/>
    <w:rsid w:val="68DC76F5"/>
    <w:rsid w:val="68E51EE8"/>
    <w:rsid w:val="68E74072"/>
    <w:rsid w:val="68EB3277"/>
    <w:rsid w:val="68ED6FEF"/>
    <w:rsid w:val="68F22857"/>
    <w:rsid w:val="68F24605"/>
    <w:rsid w:val="68FA27CA"/>
    <w:rsid w:val="68FB170C"/>
    <w:rsid w:val="690305C1"/>
    <w:rsid w:val="69054339"/>
    <w:rsid w:val="690802CD"/>
    <w:rsid w:val="69083E29"/>
    <w:rsid w:val="690C3919"/>
    <w:rsid w:val="690E1BE8"/>
    <w:rsid w:val="69142E9C"/>
    <w:rsid w:val="69173BDC"/>
    <w:rsid w:val="691C1682"/>
    <w:rsid w:val="692844CB"/>
    <w:rsid w:val="69474460"/>
    <w:rsid w:val="694B6E1C"/>
    <w:rsid w:val="695232F6"/>
    <w:rsid w:val="695452C0"/>
    <w:rsid w:val="695E7EED"/>
    <w:rsid w:val="6965127B"/>
    <w:rsid w:val="696E6382"/>
    <w:rsid w:val="696F20FA"/>
    <w:rsid w:val="69717C20"/>
    <w:rsid w:val="697A2F79"/>
    <w:rsid w:val="698F62F8"/>
    <w:rsid w:val="69A578CA"/>
    <w:rsid w:val="69AF0748"/>
    <w:rsid w:val="69B83AA1"/>
    <w:rsid w:val="69B8584F"/>
    <w:rsid w:val="69BD4674"/>
    <w:rsid w:val="69BF37A7"/>
    <w:rsid w:val="69C42446"/>
    <w:rsid w:val="69C97A5C"/>
    <w:rsid w:val="69CF2B25"/>
    <w:rsid w:val="69D10BC4"/>
    <w:rsid w:val="69D87C9F"/>
    <w:rsid w:val="69DB32EB"/>
    <w:rsid w:val="69DD7064"/>
    <w:rsid w:val="69E00902"/>
    <w:rsid w:val="69E82B0F"/>
    <w:rsid w:val="69F06D97"/>
    <w:rsid w:val="69F764C9"/>
    <w:rsid w:val="6A016082"/>
    <w:rsid w:val="6A036769"/>
    <w:rsid w:val="6A06480C"/>
    <w:rsid w:val="6A0665BA"/>
    <w:rsid w:val="6A072332"/>
    <w:rsid w:val="6A10026E"/>
    <w:rsid w:val="6A152CA1"/>
    <w:rsid w:val="6A170EE8"/>
    <w:rsid w:val="6A2151A2"/>
    <w:rsid w:val="6A325674"/>
    <w:rsid w:val="6A38073E"/>
    <w:rsid w:val="6A3A2708"/>
    <w:rsid w:val="6A3C1FDC"/>
    <w:rsid w:val="6A425119"/>
    <w:rsid w:val="6A4469CB"/>
    <w:rsid w:val="6A4D2C84"/>
    <w:rsid w:val="6A507835"/>
    <w:rsid w:val="6A52291B"/>
    <w:rsid w:val="6A5512F0"/>
    <w:rsid w:val="6A554E4C"/>
    <w:rsid w:val="6A6634FD"/>
    <w:rsid w:val="6A681023"/>
    <w:rsid w:val="6A6B4794"/>
    <w:rsid w:val="6A6D03E7"/>
    <w:rsid w:val="6A6D488B"/>
    <w:rsid w:val="6A745C1A"/>
    <w:rsid w:val="6A753740"/>
    <w:rsid w:val="6A7774B8"/>
    <w:rsid w:val="6A7A2B04"/>
    <w:rsid w:val="6A7B10E5"/>
    <w:rsid w:val="6A7E0847"/>
    <w:rsid w:val="6A817F02"/>
    <w:rsid w:val="6A845731"/>
    <w:rsid w:val="6A883473"/>
    <w:rsid w:val="6A8A48EA"/>
    <w:rsid w:val="6A8E65B0"/>
    <w:rsid w:val="6A9736B6"/>
    <w:rsid w:val="6A9A4F55"/>
    <w:rsid w:val="6AA87672"/>
    <w:rsid w:val="6AA95198"/>
    <w:rsid w:val="6AAD2EDA"/>
    <w:rsid w:val="6AB95096"/>
    <w:rsid w:val="6ABA1153"/>
    <w:rsid w:val="6ABE50E7"/>
    <w:rsid w:val="6ABF2B74"/>
    <w:rsid w:val="6AC81AC2"/>
    <w:rsid w:val="6ACF2E50"/>
    <w:rsid w:val="6AD06BC8"/>
    <w:rsid w:val="6AD761A9"/>
    <w:rsid w:val="6AE663EC"/>
    <w:rsid w:val="6AE85CC0"/>
    <w:rsid w:val="6AEB3A02"/>
    <w:rsid w:val="6AEF52A0"/>
    <w:rsid w:val="6AEF704E"/>
    <w:rsid w:val="6AF54CB4"/>
    <w:rsid w:val="6AFC5C0F"/>
    <w:rsid w:val="6B001A8B"/>
    <w:rsid w:val="6B0C2A72"/>
    <w:rsid w:val="6B1C1E0E"/>
    <w:rsid w:val="6B2018FE"/>
    <w:rsid w:val="6B2667E8"/>
    <w:rsid w:val="6B285847"/>
    <w:rsid w:val="6B351E6F"/>
    <w:rsid w:val="6B3709F5"/>
    <w:rsid w:val="6B376C47"/>
    <w:rsid w:val="6B405AFC"/>
    <w:rsid w:val="6B4078AA"/>
    <w:rsid w:val="6B427AC6"/>
    <w:rsid w:val="6B52582F"/>
    <w:rsid w:val="6B5477F9"/>
    <w:rsid w:val="6B554435"/>
    <w:rsid w:val="6B5C220A"/>
    <w:rsid w:val="6B621F16"/>
    <w:rsid w:val="6B657311"/>
    <w:rsid w:val="6B6A2B79"/>
    <w:rsid w:val="6B6C069F"/>
    <w:rsid w:val="6B741C4A"/>
    <w:rsid w:val="6B746386"/>
    <w:rsid w:val="6B794077"/>
    <w:rsid w:val="6B7A4051"/>
    <w:rsid w:val="6B7E6624"/>
    <w:rsid w:val="6B8960A3"/>
    <w:rsid w:val="6B8E2D0B"/>
    <w:rsid w:val="6B8F264C"/>
    <w:rsid w:val="6B916358"/>
    <w:rsid w:val="6B9F6CC6"/>
    <w:rsid w:val="6BA77929"/>
    <w:rsid w:val="6BA87307"/>
    <w:rsid w:val="6BB362CE"/>
    <w:rsid w:val="6BB63F2C"/>
    <w:rsid w:val="6BBA3B00"/>
    <w:rsid w:val="6BBD714D"/>
    <w:rsid w:val="6BC73B27"/>
    <w:rsid w:val="6BCA1F8B"/>
    <w:rsid w:val="6BCC3834"/>
    <w:rsid w:val="6BD526E8"/>
    <w:rsid w:val="6BDD581C"/>
    <w:rsid w:val="6BDF70C3"/>
    <w:rsid w:val="6BE07043"/>
    <w:rsid w:val="6BE14999"/>
    <w:rsid w:val="6BF427CD"/>
    <w:rsid w:val="6BF75619"/>
    <w:rsid w:val="6BF80185"/>
    <w:rsid w:val="6BF84629"/>
    <w:rsid w:val="6BFB5FD1"/>
    <w:rsid w:val="6C022DB1"/>
    <w:rsid w:val="6C0858B3"/>
    <w:rsid w:val="6C0905E4"/>
    <w:rsid w:val="6C092392"/>
    <w:rsid w:val="6C103720"/>
    <w:rsid w:val="6C152AE5"/>
    <w:rsid w:val="6C154780"/>
    <w:rsid w:val="6C184383"/>
    <w:rsid w:val="6C1B4834"/>
    <w:rsid w:val="6C1D081F"/>
    <w:rsid w:val="6C1F3963"/>
    <w:rsid w:val="6C2143D4"/>
    <w:rsid w:val="6C2471CC"/>
    <w:rsid w:val="6C292A34"/>
    <w:rsid w:val="6C2B3C2F"/>
    <w:rsid w:val="6C305B70"/>
    <w:rsid w:val="6C3513D9"/>
    <w:rsid w:val="6C3E228B"/>
    <w:rsid w:val="6C553829"/>
    <w:rsid w:val="6C5A499B"/>
    <w:rsid w:val="6C5C6966"/>
    <w:rsid w:val="6C5E2742"/>
    <w:rsid w:val="6C661592"/>
    <w:rsid w:val="6C6B4DFB"/>
    <w:rsid w:val="6C700663"/>
    <w:rsid w:val="6C7A24F1"/>
    <w:rsid w:val="6C7C5461"/>
    <w:rsid w:val="6C7D4B2E"/>
    <w:rsid w:val="6C823EF2"/>
    <w:rsid w:val="6C944351"/>
    <w:rsid w:val="6C97799E"/>
    <w:rsid w:val="6C9E1E44"/>
    <w:rsid w:val="6CA34594"/>
    <w:rsid w:val="6CA4030D"/>
    <w:rsid w:val="6CAB7E55"/>
    <w:rsid w:val="6CB542C8"/>
    <w:rsid w:val="6CBC5656"/>
    <w:rsid w:val="6CCB5899"/>
    <w:rsid w:val="6CCE40EB"/>
    <w:rsid w:val="6CEF13E9"/>
    <w:rsid w:val="6CF941B4"/>
    <w:rsid w:val="6CFA1CDB"/>
    <w:rsid w:val="6D082649"/>
    <w:rsid w:val="6D0B1173"/>
    <w:rsid w:val="6D12175F"/>
    <w:rsid w:val="6D125276"/>
    <w:rsid w:val="6D1F412E"/>
    <w:rsid w:val="6D1F5AF0"/>
    <w:rsid w:val="6D2A0812"/>
    <w:rsid w:val="6D390A55"/>
    <w:rsid w:val="6D3C2A0F"/>
    <w:rsid w:val="6D401DE3"/>
    <w:rsid w:val="6D42342C"/>
    <w:rsid w:val="6D45564C"/>
    <w:rsid w:val="6D4573FA"/>
    <w:rsid w:val="6D486EEA"/>
    <w:rsid w:val="6D492D89"/>
    <w:rsid w:val="6D4F320D"/>
    <w:rsid w:val="6D513FF0"/>
    <w:rsid w:val="6D521B17"/>
    <w:rsid w:val="6D543AE1"/>
    <w:rsid w:val="6D594C53"/>
    <w:rsid w:val="6D68133A"/>
    <w:rsid w:val="6D6A3304"/>
    <w:rsid w:val="6D6F26C8"/>
    <w:rsid w:val="6D8617C0"/>
    <w:rsid w:val="6D967C55"/>
    <w:rsid w:val="6D9A775D"/>
    <w:rsid w:val="6D9D7236"/>
    <w:rsid w:val="6DA305C4"/>
    <w:rsid w:val="6DA57E98"/>
    <w:rsid w:val="6DA71E62"/>
    <w:rsid w:val="6DAA1953"/>
    <w:rsid w:val="6DAF6F69"/>
    <w:rsid w:val="6DB36353"/>
    <w:rsid w:val="6DB70F9A"/>
    <w:rsid w:val="6DBD1686"/>
    <w:rsid w:val="6DC01176"/>
    <w:rsid w:val="6DC36570"/>
    <w:rsid w:val="6DC42A14"/>
    <w:rsid w:val="6DC8062D"/>
    <w:rsid w:val="6DCE5641"/>
    <w:rsid w:val="6DD4077E"/>
    <w:rsid w:val="6DD662A4"/>
    <w:rsid w:val="6DE170D3"/>
    <w:rsid w:val="6DE704B1"/>
    <w:rsid w:val="6DE9247B"/>
    <w:rsid w:val="6DED0C6F"/>
    <w:rsid w:val="6DF05F6E"/>
    <w:rsid w:val="6DF90DFC"/>
    <w:rsid w:val="6DFF3A4C"/>
    <w:rsid w:val="6E0A419F"/>
    <w:rsid w:val="6E14501E"/>
    <w:rsid w:val="6E1D76E4"/>
    <w:rsid w:val="6E1F5E9D"/>
    <w:rsid w:val="6E201C15"/>
    <w:rsid w:val="6E205C8E"/>
    <w:rsid w:val="6E250FD9"/>
    <w:rsid w:val="6E2711F5"/>
    <w:rsid w:val="6E3336F6"/>
    <w:rsid w:val="6E364A2F"/>
    <w:rsid w:val="6E3F02ED"/>
    <w:rsid w:val="6E5042A8"/>
    <w:rsid w:val="6E544C48"/>
    <w:rsid w:val="6E557B10"/>
    <w:rsid w:val="6E5B0FF3"/>
    <w:rsid w:val="6E67178A"/>
    <w:rsid w:val="6E6935BC"/>
    <w:rsid w:val="6E71421E"/>
    <w:rsid w:val="6E851A78"/>
    <w:rsid w:val="6E855978"/>
    <w:rsid w:val="6E8B1784"/>
    <w:rsid w:val="6E8C2568"/>
    <w:rsid w:val="6E8D0C39"/>
    <w:rsid w:val="6E8D72AA"/>
    <w:rsid w:val="6E91666F"/>
    <w:rsid w:val="6E930639"/>
    <w:rsid w:val="6E9315D8"/>
    <w:rsid w:val="6E9323E7"/>
    <w:rsid w:val="6EA22AE8"/>
    <w:rsid w:val="6EA91C0A"/>
    <w:rsid w:val="6EA939B8"/>
    <w:rsid w:val="6EAA1AE9"/>
    <w:rsid w:val="6EB02F99"/>
    <w:rsid w:val="6EBA3E17"/>
    <w:rsid w:val="6EC922AC"/>
    <w:rsid w:val="6ECF6B20"/>
    <w:rsid w:val="6ED07197"/>
    <w:rsid w:val="6ED44ED9"/>
    <w:rsid w:val="6ED54165"/>
    <w:rsid w:val="6ED8429D"/>
    <w:rsid w:val="6EDC3D8E"/>
    <w:rsid w:val="6EE36ECA"/>
    <w:rsid w:val="6EEE586F"/>
    <w:rsid w:val="6EEF1D13"/>
    <w:rsid w:val="6EF410D7"/>
    <w:rsid w:val="6EF56BFD"/>
    <w:rsid w:val="6EFA4214"/>
    <w:rsid w:val="6EFC61DE"/>
    <w:rsid w:val="6F0137F4"/>
    <w:rsid w:val="6F0C74B5"/>
    <w:rsid w:val="6F0D3F47"/>
    <w:rsid w:val="6F0F4163"/>
    <w:rsid w:val="6F0F4773"/>
    <w:rsid w:val="6F1352D6"/>
    <w:rsid w:val="6F143527"/>
    <w:rsid w:val="6F18711B"/>
    <w:rsid w:val="6F1C062E"/>
    <w:rsid w:val="6F1E6154"/>
    <w:rsid w:val="6F2179F2"/>
    <w:rsid w:val="6F347726"/>
    <w:rsid w:val="6F3657AD"/>
    <w:rsid w:val="6F3B10C9"/>
    <w:rsid w:val="6F3E05A4"/>
    <w:rsid w:val="6F481423"/>
    <w:rsid w:val="6F484F7F"/>
    <w:rsid w:val="6F4F630E"/>
    <w:rsid w:val="6F5161E8"/>
    <w:rsid w:val="6F541B76"/>
    <w:rsid w:val="6F551878"/>
    <w:rsid w:val="6F5B091E"/>
    <w:rsid w:val="6F631DB9"/>
    <w:rsid w:val="6F6A3147"/>
    <w:rsid w:val="6F6D2C38"/>
    <w:rsid w:val="6F715FDB"/>
    <w:rsid w:val="6F7B35A7"/>
    <w:rsid w:val="6F852BA1"/>
    <w:rsid w:val="6F865AA7"/>
    <w:rsid w:val="6F8A1C5E"/>
    <w:rsid w:val="6F8A5598"/>
    <w:rsid w:val="6F906926"/>
    <w:rsid w:val="6F963F3C"/>
    <w:rsid w:val="6F9666F7"/>
    <w:rsid w:val="6F974373"/>
    <w:rsid w:val="6FA7439C"/>
    <w:rsid w:val="6FAC3760"/>
    <w:rsid w:val="6FAF4FFE"/>
    <w:rsid w:val="6FAF7C66"/>
    <w:rsid w:val="6FB95E7D"/>
    <w:rsid w:val="6FBD3BBF"/>
    <w:rsid w:val="6FC0720B"/>
    <w:rsid w:val="6FC50CC6"/>
    <w:rsid w:val="6FC71802"/>
    <w:rsid w:val="6FC74058"/>
    <w:rsid w:val="6FC82564"/>
    <w:rsid w:val="6FC860C0"/>
    <w:rsid w:val="6FD607DD"/>
    <w:rsid w:val="6FD76303"/>
    <w:rsid w:val="6FDB2297"/>
    <w:rsid w:val="7003534A"/>
    <w:rsid w:val="70040E87"/>
    <w:rsid w:val="700C0848"/>
    <w:rsid w:val="701557A9"/>
    <w:rsid w:val="70187047"/>
    <w:rsid w:val="701D640C"/>
    <w:rsid w:val="70270AE8"/>
    <w:rsid w:val="70281CF1"/>
    <w:rsid w:val="702C664F"/>
    <w:rsid w:val="702E23C7"/>
    <w:rsid w:val="703D260A"/>
    <w:rsid w:val="704008C4"/>
    <w:rsid w:val="70452BBF"/>
    <w:rsid w:val="704871A4"/>
    <w:rsid w:val="70497201"/>
    <w:rsid w:val="704A2F79"/>
    <w:rsid w:val="704E4817"/>
    <w:rsid w:val="70592DFA"/>
    <w:rsid w:val="70694F36"/>
    <w:rsid w:val="70761FC0"/>
    <w:rsid w:val="70862203"/>
    <w:rsid w:val="70877D29"/>
    <w:rsid w:val="70880C5C"/>
    <w:rsid w:val="70893AA1"/>
    <w:rsid w:val="709661BE"/>
    <w:rsid w:val="70A1703D"/>
    <w:rsid w:val="70AD1CDF"/>
    <w:rsid w:val="70B46E8E"/>
    <w:rsid w:val="70B523D0"/>
    <w:rsid w:val="70BF5715"/>
    <w:rsid w:val="70D66204"/>
    <w:rsid w:val="70D70CB1"/>
    <w:rsid w:val="70DC0075"/>
    <w:rsid w:val="70DD3906"/>
    <w:rsid w:val="70DE203F"/>
    <w:rsid w:val="70E44F52"/>
    <w:rsid w:val="70F058CE"/>
    <w:rsid w:val="70FB534E"/>
    <w:rsid w:val="70FC14C5"/>
    <w:rsid w:val="70FF3D63"/>
    <w:rsid w:val="7101188A"/>
    <w:rsid w:val="71031AA6"/>
    <w:rsid w:val="71033854"/>
    <w:rsid w:val="71050FEB"/>
    <w:rsid w:val="71080E6A"/>
    <w:rsid w:val="7109479F"/>
    <w:rsid w:val="710D46D2"/>
    <w:rsid w:val="7119421C"/>
    <w:rsid w:val="711B771F"/>
    <w:rsid w:val="711D243B"/>
    <w:rsid w:val="7121017E"/>
    <w:rsid w:val="71235CA4"/>
    <w:rsid w:val="71341C5F"/>
    <w:rsid w:val="713734FD"/>
    <w:rsid w:val="713779A1"/>
    <w:rsid w:val="71394751"/>
    <w:rsid w:val="714479C8"/>
    <w:rsid w:val="714B6FA9"/>
    <w:rsid w:val="71551BD5"/>
    <w:rsid w:val="7157594D"/>
    <w:rsid w:val="716B13F9"/>
    <w:rsid w:val="71755DD4"/>
    <w:rsid w:val="718030F6"/>
    <w:rsid w:val="71836742"/>
    <w:rsid w:val="718801FD"/>
    <w:rsid w:val="719B076B"/>
    <w:rsid w:val="719C5A56"/>
    <w:rsid w:val="71A05546"/>
    <w:rsid w:val="71BC3A02"/>
    <w:rsid w:val="71C07997"/>
    <w:rsid w:val="71C160BF"/>
    <w:rsid w:val="71C54FAD"/>
    <w:rsid w:val="71D40D4C"/>
    <w:rsid w:val="71DC2403"/>
    <w:rsid w:val="71EA6AF3"/>
    <w:rsid w:val="71EF202A"/>
    <w:rsid w:val="71F17B50"/>
    <w:rsid w:val="71F65166"/>
    <w:rsid w:val="71F80EDE"/>
    <w:rsid w:val="71FE226D"/>
    <w:rsid w:val="7205184D"/>
    <w:rsid w:val="72095CA7"/>
    <w:rsid w:val="720D24B0"/>
    <w:rsid w:val="72124F11"/>
    <w:rsid w:val="721B4BCD"/>
    <w:rsid w:val="72200435"/>
    <w:rsid w:val="72225F5B"/>
    <w:rsid w:val="72226347"/>
    <w:rsid w:val="722825CE"/>
    <w:rsid w:val="7231619E"/>
    <w:rsid w:val="723839D1"/>
    <w:rsid w:val="723F6B0D"/>
    <w:rsid w:val="724908EF"/>
    <w:rsid w:val="724C4D86"/>
    <w:rsid w:val="72587BCF"/>
    <w:rsid w:val="726041FC"/>
    <w:rsid w:val="726E2F4F"/>
    <w:rsid w:val="72735F06"/>
    <w:rsid w:val="727367B7"/>
    <w:rsid w:val="72785B7B"/>
    <w:rsid w:val="728B1D53"/>
    <w:rsid w:val="728D396E"/>
    <w:rsid w:val="728E539F"/>
    <w:rsid w:val="729130E1"/>
    <w:rsid w:val="72A050D2"/>
    <w:rsid w:val="72A5093A"/>
    <w:rsid w:val="72AB41A3"/>
    <w:rsid w:val="72B017B9"/>
    <w:rsid w:val="72BA1364"/>
    <w:rsid w:val="72C214EC"/>
    <w:rsid w:val="72C74D55"/>
    <w:rsid w:val="72CA214F"/>
    <w:rsid w:val="72D07765"/>
    <w:rsid w:val="72D82ABE"/>
    <w:rsid w:val="72EC7281"/>
    <w:rsid w:val="72F316A6"/>
    <w:rsid w:val="73081ADA"/>
    <w:rsid w:val="730C2768"/>
    <w:rsid w:val="730E4732"/>
    <w:rsid w:val="731358A4"/>
    <w:rsid w:val="7318110C"/>
    <w:rsid w:val="7329331A"/>
    <w:rsid w:val="73337CF4"/>
    <w:rsid w:val="73380665"/>
    <w:rsid w:val="733817AF"/>
    <w:rsid w:val="73393BC2"/>
    <w:rsid w:val="734939BC"/>
    <w:rsid w:val="734D708D"/>
    <w:rsid w:val="7355410F"/>
    <w:rsid w:val="7358775B"/>
    <w:rsid w:val="735F0AE9"/>
    <w:rsid w:val="73643779"/>
    <w:rsid w:val="73683E42"/>
    <w:rsid w:val="736B7A45"/>
    <w:rsid w:val="7371044E"/>
    <w:rsid w:val="737547B1"/>
    <w:rsid w:val="737B44DB"/>
    <w:rsid w:val="73842E33"/>
    <w:rsid w:val="73886292"/>
    <w:rsid w:val="73A979E7"/>
    <w:rsid w:val="73B01345"/>
    <w:rsid w:val="73B61051"/>
    <w:rsid w:val="73BC5F3C"/>
    <w:rsid w:val="73BE3A62"/>
    <w:rsid w:val="73C3376E"/>
    <w:rsid w:val="73CB43D1"/>
    <w:rsid w:val="73CF3EC1"/>
    <w:rsid w:val="73D310AD"/>
    <w:rsid w:val="73DC65DE"/>
    <w:rsid w:val="73EA2AA9"/>
    <w:rsid w:val="740A6CA7"/>
    <w:rsid w:val="741E0795"/>
    <w:rsid w:val="74262B1B"/>
    <w:rsid w:val="742A559B"/>
    <w:rsid w:val="743401C8"/>
    <w:rsid w:val="7439758C"/>
    <w:rsid w:val="743C0E2B"/>
    <w:rsid w:val="74477EFB"/>
    <w:rsid w:val="744D3038"/>
    <w:rsid w:val="745D14CD"/>
    <w:rsid w:val="745E5245"/>
    <w:rsid w:val="74602D6B"/>
    <w:rsid w:val="747F1F65"/>
    <w:rsid w:val="748D1686"/>
    <w:rsid w:val="748E5B2A"/>
    <w:rsid w:val="74921477"/>
    <w:rsid w:val="74934EEE"/>
    <w:rsid w:val="74994799"/>
    <w:rsid w:val="749A6048"/>
    <w:rsid w:val="74A40EAA"/>
    <w:rsid w:val="74A54C22"/>
    <w:rsid w:val="74A6094A"/>
    <w:rsid w:val="74A9506F"/>
    <w:rsid w:val="74B56DE6"/>
    <w:rsid w:val="74CC21DF"/>
    <w:rsid w:val="74DA4EC7"/>
    <w:rsid w:val="74E16F35"/>
    <w:rsid w:val="74E27C24"/>
    <w:rsid w:val="74E41BEE"/>
    <w:rsid w:val="74EA0887"/>
    <w:rsid w:val="74EE0377"/>
    <w:rsid w:val="74F10414"/>
    <w:rsid w:val="74FA4F6E"/>
    <w:rsid w:val="750202C6"/>
    <w:rsid w:val="750951B1"/>
    <w:rsid w:val="750B0F29"/>
    <w:rsid w:val="750C6A4F"/>
    <w:rsid w:val="750E562D"/>
    <w:rsid w:val="750E6C6B"/>
    <w:rsid w:val="75155D26"/>
    <w:rsid w:val="75181898"/>
    <w:rsid w:val="75226272"/>
    <w:rsid w:val="75287D2D"/>
    <w:rsid w:val="752A2916"/>
    <w:rsid w:val="752B5127"/>
    <w:rsid w:val="752C5404"/>
    <w:rsid w:val="75377F70"/>
    <w:rsid w:val="753D30AC"/>
    <w:rsid w:val="753F3D93"/>
    <w:rsid w:val="7544268D"/>
    <w:rsid w:val="754C32EF"/>
    <w:rsid w:val="75502DDF"/>
    <w:rsid w:val="75504B8E"/>
    <w:rsid w:val="75530B22"/>
    <w:rsid w:val="75532D3D"/>
    <w:rsid w:val="755521A4"/>
    <w:rsid w:val="7557416E"/>
    <w:rsid w:val="75581C94"/>
    <w:rsid w:val="755A5A0C"/>
    <w:rsid w:val="756568C4"/>
    <w:rsid w:val="75662603"/>
    <w:rsid w:val="75676A54"/>
    <w:rsid w:val="75703482"/>
    <w:rsid w:val="757A4300"/>
    <w:rsid w:val="75874327"/>
    <w:rsid w:val="758805C2"/>
    <w:rsid w:val="7588697C"/>
    <w:rsid w:val="75907680"/>
    <w:rsid w:val="75917749"/>
    <w:rsid w:val="759C7DD3"/>
    <w:rsid w:val="759D2199"/>
    <w:rsid w:val="759E1D9D"/>
    <w:rsid w:val="75B710B1"/>
    <w:rsid w:val="75B94E29"/>
    <w:rsid w:val="75BF2B4D"/>
    <w:rsid w:val="75C5557C"/>
    <w:rsid w:val="75CD61DE"/>
    <w:rsid w:val="75D5165F"/>
    <w:rsid w:val="75DE03EB"/>
    <w:rsid w:val="75EF25F8"/>
    <w:rsid w:val="75F04612"/>
    <w:rsid w:val="75FA2D4B"/>
    <w:rsid w:val="75FA6B54"/>
    <w:rsid w:val="75FC6AC3"/>
    <w:rsid w:val="76085468"/>
    <w:rsid w:val="760C31AA"/>
    <w:rsid w:val="761107C1"/>
    <w:rsid w:val="761738FD"/>
    <w:rsid w:val="761F2330"/>
    <w:rsid w:val="762F6E99"/>
    <w:rsid w:val="7630676D"/>
    <w:rsid w:val="763149BF"/>
    <w:rsid w:val="763418B6"/>
    <w:rsid w:val="76373F9F"/>
    <w:rsid w:val="763B75EC"/>
    <w:rsid w:val="763C15B6"/>
    <w:rsid w:val="763E532E"/>
    <w:rsid w:val="763F26D5"/>
    <w:rsid w:val="764010A6"/>
    <w:rsid w:val="764D0528"/>
    <w:rsid w:val="765C7562"/>
    <w:rsid w:val="76621CC3"/>
    <w:rsid w:val="76654B32"/>
    <w:rsid w:val="766C1E9B"/>
    <w:rsid w:val="7675420C"/>
    <w:rsid w:val="76764AC8"/>
    <w:rsid w:val="767B3E8C"/>
    <w:rsid w:val="767E397C"/>
    <w:rsid w:val="767F390C"/>
    <w:rsid w:val="768014A2"/>
    <w:rsid w:val="76856AB9"/>
    <w:rsid w:val="768677C8"/>
    <w:rsid w:val="768F5B89"/>
    <w:rsid w:val="76992564"/>
    <w:rsid w:val="769A6A08"/>
    <w:rsid w:val="76A2766B"/>
    <w:rsid w:val="76B4739E"/>
    <w:rsid w:val="76B87FD9"/>
    <w:rsid w:val="76BB697E"/>
    <w:rsid w:val="76C05D43"/>
    <w:rsid w:val="76C82F19"/>
    <w:rsid w:val="76CE28E0"/>
    <w:rsid w:val="76DD4F9D"/>
    <w:rsid w:val="76E540EA"/>
    <w:rsid w:val="76EA2DC0"/>
    <w:rsid w:val="76EF03D6"/>
    <w:rsid w:val="76EF302D"/>
    <w:rsid w:val="76F1414E"/>
    <w:rsid w:val="76F854DD"/>
    <w:rsid w:val="76FC0093"/>
    <w:rsid w:val="76FD2AF3"/>
    <w:rsid w:val="76FD6F97"/>
    <w:rsid w:val="77045A49"/>
    <w:rsid w:val="7706409E"/>
    <w:rsid w:val="77075720"/>
    <w:rsid w:val="771358E0"/>
    <w:rsid w:val="77266E5A"/>
    <w:rsid w:val="77291B31"/>
    <w:rsid w:val="772B58B2"/>
    <w:rsid w:val="773A5AF5"/>
    <w:rsid w:val="77440722"/>
    <w:rsid w:val="774B1AB0"/>
    <w:rsid w:val="774B7D02"/>
    <w:rsid w:val="775A7F45"/>
    <w:rsid w:val="775C7088"/>
    <w:rsid w:val="77664B3C"/>
    <w:rsid w:val="77701354"/>
    <w:rsid w:val="77750DFA"/>
    <w:rsid w:val="777A05E8"/>
    <w:rsid w:val="7782124A"/>
    <w:rsid w:val="778925D9"/>
    <w:rsid w:val="77901BB9"/>
    <w:rsid w:val="77902D8C"/>
    <w:rsid w:val="77903967"/>
    <w:rsid w:val="779416A9"/>
    <w:rsid w:val="77955421"/>
    <w:rsid w:val="779A189F"/>
    <w:rsid w:val="779C055E"/>
    <w:rsid w:val="77A318EC"/>
    <w:rsid w:val="77A411C1"/>
    <w:rsid w:val="77A86F03"/>
    <w:rsid w:val="77A92C7B"/>
    <w:rsid w:val="77AD2167"/>
    <w:rsid w:val="77B22A41"/>
    <w:rsid w:val="77B27D81"/>
    <w:rsid w:val="77B533CE"/>
    <w:rsid w:val="77B92EBE"/>
    <w:rsid w:val="77BA6C36"/>
    <w:rsid w:val="77BC475C"/>
    <w:rsid w:val="77BE6726"/>
    <w:rsid w:val="77C17FC5"/>
    <w:rsid w:val="77C67389"/>
    <w:rsid w:val="77C96E79"/>
    <w:rsid w:val="77CA50CB"/>
    <w:rsid w:val="77CB0E43"/>
    <w:rsid w:val="77CE623E"/>
    <w:rsid w:val="77D01FB6"/>
    <w:rsid w:val="77D53EB6"/>
    <w:rsid w:val="77DE549B"/>
    <w:rsid w:val="77E34CB2"/>
    <w:rsid w:val="77E458C9"/>
    <w:rsid w:val="77ED0DBA"/>
    <w:rsid w:val="77FA7033"/>
    <w:rsid w:val="77FC0FFD"/>
    <w:rsid w:val="7803238B"/>
    <w:rsid w:val="78104AA8"/>
    <w:rsid w:val="781E5417"/>
    <w:rsid w:val="781F51BA"/>
    <w:rsid w:val="78267E28"/>
    <w:rsid w:val="783562BD"/>
    <w:rsid w:val="783C1F5F"/>
    <w:rsid w:val="78414C61"/>
    <w:rsid w:val="78494544"/>
    <w:rsid w:val="78496E1F"/>
    <w:rsid w:val="784C6FB2"/>
    <w:rsid w:val="78540E39"/>
    <w:rsid w:val="78574485"/>
    <w:rsid w:val="785B3680"/>
    <w:rsid w:val="785D39C4"/>
    <w:rsid w:val="785E5813"/>
    <w:rsid w:val="78615304"/>
    <w:rsid w:val="78674E18"/>
    <w:rsid w:val="786C6182"/>
    <w:rsid w:val="787D213D"/>
    <w:rsid w:val="78882890"/>
    <w:rsid w:val="788E2C97"/>
    <w:rsid w:val="78911745"/>
    <w:rsid w:val="789456D9"/>
    <w:rsid w:val="789B0816"/>
    <w:rsid w:val="78A22E02"/>
    <w:rsid w:val="78A82F32"/>
    <w:rsid w:val="78B2790D"/>
    <w:rsid w:val="78B673FD"/>
    <w:rsid w:val="78BD69DE"/>
    <w:rsid w:val="78BF2B46"/>
    <w:rsid w:val="78CC4E73"/>
    <w:rsid w:val="78CE2F07"/>
    <w:rsid w:val="78CF04BF"/>
    <w:rsid w:val="78D635FC"/>
    <w:rsid w:val="78DB6E64"/>
    <w:rsid w:val="78DD498A"/>
    <w:rsid w:val="78E201F2"/>
    <w:rsid w:val="78E431C4"/>
    <w:rsid w:val="78E51A91"/>
    <w:rsid w:val="78E71CAD"/>
    <w:rsid w:val="78E73A5B"/>
    <w:rsid w:val="78EA354B"/>
    <w:rsid w:val="78EB4A40"/>
    <w:rsid w:val="78EF46BD"/>
    <w:rsid w:val="78F10436"/>
    <w:rsid w:val="78F9553C"/>
    <w:rsid w:val="78FA15C9"/>
    <w:rsid w:val="79053EE1"/>
    <w:rsid w:val="79061C08"/>
    <w:rsid w:val="790740FD"/>
    <w:rsid w:val="79076F20"/>
    <w:rsid w:val="790C7B25"/>
    <w:rsid w:val="790E548B"/>
    <w:rsid w:val="791660EE"/>
    <w:rsid w:val="79183C14"/>
    <w:rsid w:val="791B54B2"/>
    <w:rsid w:val="79222CE5"/>
    <w:rsid w:val="793547C6"/>
    <w:rsid w:val="793B7903"/>
    <w:rsid w:val="793D7B1F"/>
    <w:rsid w:val="7940316B"/>
    <w:rsid w:val="79450781"/>
    <w:rsid w:val="794762A8"/>
    <w:rsid w:val="794C38BE"/>
    <w:rsid w:val="795D5ACB"/>
    <w:rsid w:val="79646E59"/>
    <w:rsid w:val="79674B9C"/>
    <w:rsid w:val="796C6682"/>
    <w:rsid w:val="796D4705"/>
    <w:rsid w:val="797F0137"/>
    <w:rsid w:val="7984574E"/>
    <w:rsid w:val="79892D64"/>
    <w:rsid w:val="798C63B0"/>
    <w:rsid w:val="79915775"/>
    <w:rsid w:val="79935991"/>
    <w:rsid w:val="79982FA7"/>
    <w:rsid w:val="799C4845"/>
    <w:rsid w:val="79A436FA"/>
    <w:rsid w:val="79A8143C"/>
    <w:rsid w:val="79B37DE1"/>
    <w:rsid w:val="79BB696B"/>
    <w:rsid w:val="79BC6C95"/>
    <w:rsid w:val="79BD47BC"/>
    <w:rsid w:val="79BD656A"/>
    <w:rsid w:val="79BF0534"/>
    <w:rsid w:val="79CE1216"/>
    <w:rsid w:val="79D12015"/>
    <w:rsid w:val="79DC3986"/>
    <w:rsid w:val="79DE4E5E"/>
    <w:rsid w:val="79E22107"/>
    <w:rsid w:val="79F410E5"/>
    <w:rsid w:val="79F72FA5"/>
    <w:rsid w:val="79F944AF"/>
    <w:rsid w:val="79FF6B82"/>
    <w:rsid w:val="7A08012D"/>
    <w:rsid w:val="7A1A1C0E"/>
    <w:rsid w:val="7A1A39BC"/>
    <w:rsid w:val="7A217A83"/>
    <w:rsid w:val="7A2F69EB"/>
    <w:rsid w:val="7A320D06"/>
    <w:rsid w:val="7A3C7DD6"/>
    <w:rsid w:val="7A41363F"/>
    <w:rsid w:val="7A4413F9"/>
    <w:rsid w:val="7A5711E4"/>
    <w:rsid w:val="7A69611D"/>
    <w:rsid w:val="7A707A80"/>
    <w:rsid w:val="7A7255A6"/>
    <w:rsid w:val="7A7C4677"/>
    <w:rsid w:val="7A822D65"/>
    <w:rsid w:val="7A83640D"/>
    <w:rsid w:val="7A8377B3"/>
    <w:rsid w:val="7A85352B"/>
    <w:rsid w:val="7A9E639B"/>
    <w:rsid w:val="7AA8721A"/>
    <w:rsid w:val="7AAA11E4"/>
    <w:rsid w:val="7AAC6D0A"/>
    <w:rsid w:val="7AB21E46"/>
    <w:rsid w:val="7ABA315E"/>
    <w:rsid w:val="7ABB519F"/>
    <w:rsid w:val="7ACA3BF4"/>
    <w:rsid w:val="7ACD0A2E"/>
    <w:rsid w:val="7AD16771"/>
    <w:rsid w:val="7AD93877"/>
    <w:rsid w:val="7ADE49EA"/>
    <w:rsid w:val="7AE75F94"/>
    <w:rsid w:val="7AEA0E27"/>
    <w:rsid w:val="7AF406B1"/>
    <w:rsid w:val="7AF91823"/>
    <w:rsid w:val="7AF95CC7"/>
    <w:rsid w:val="7AFB1A3F"/>
    <w:rsid w:val="7B002BB2"/>
    <w:rsid w:val="7B070788"/>
    <w:rsid w:val="7B072192"/>
    <w:rsid w:val="7B152B01"/>
    <w:rsid w:val="7B164183"/>
    <w:rsid w:val="7B212CD8"/>
    <w:rsid w:val="7B276391"/>
    <w:rsid w:val="7B2A7C2F"/>
    <w:rsid w:val="7B2E06D9"/>
    <w:rsid w:val="7B2E3BC3"/>
    <w:rsid w:val="7B382ECC"/>
    <w:rsid w:val="7B3867F0"/>
    <w:rsid w:val="7B5573A2"/>
    <w:rsid w:val="7B5D6256"/>
    <w:rsid w:val="7B66335D"/>
    <w:rsid w:val="7B735A7A"/>
    <w:rsid w:val="7B845591"/>
    <w:rsid w:val="7B875081"/>
    <w:rsid w:val="7B917CAE"/>
    <w:rsid w:val="7B9D48A5"/>
    <w:rsid w:val="7B9E70C4"/>
    <w:rsid w:val="7BAF6112"/>
    <w:rsid w:val="7BB37C24"/>
    <w:rsid w:val="7BBE1FE9"/>
    <w:rsid w:val="7BC6204D"/>
    <w:rsid w:val="7BCE4A5E"/>
    <w:rsid w:val="7BD04C7A"/>
    <w:rsid w:val="7BDA1655"/>
    <w:rsid w:val="7BE60E47"/>
    <w:rsid w:val="7BE6624C"/>
    <w:rsid w:val="7BE82AF8"/>
    <w:rsid w:val="7BEF255B"/>
    <w:rsid w:val="7BF30969"/>
    <w:rsid w:val="7BFF2E69"/>
    <w:rsid w:val="7C016BE2"/>
    <w:rsid w:val="7C1728A9"/>
    <w:rsid w:val="7C1A5EF5"/>
    <w:rsid w:val="7C2154D6"/>
    <w:rsid w:val="7C2D5C29"/>
    <w:rsid w:val="7C352D2F"/>
    <w:rsid w:val="7C38637B"/>
    <w:rsid w:val="7C391BF1"/>
    <w:rsid w:val="7C3A35C2"/>
    <w:rsid w:val="7C3B575E"/>
    <w:rsid w:val="7C474DF4"/>
    <w:rsid w:val="7C482A62"/>
    <w:rsid w:val="7C4A702F"/>
    <w:rsid w:val="7C501917"/>
    <w:rsid w:val="7C5533D1"/>
    <w:rsid w:val="7C556F2D"/>
    <w:rsid w:val="7C63789C"/>
    <w:rsid w:val="7C662EE9"/>
    <w:rsid w:val="7C6F7FEF"/>
    <w:rsid w:val="7C735E4E"/>
    <w:rsid w:val="7C7A6994"/>
    <w:rsid w:val="7C7C095E"/>
    <w:rsid w:val="7C817D22"/>
    <w:rsid w:val="7C823224"/>
    <w:rsid w:val="7C857813"/>
    <w:rsid w:val="7C8E41ED"/>
    <w:rsid w:val="7C913F6E"/>
    <w:rsid w:val="7C9366BF"/>
    <w:rsid w:val="7C945CA8"/>
    <w:rsid w:val="7CA53A11"/>
    <w:rsid w:val="7CA81753"/>
    <w:rsid w:val="7CA83501"/>
    <w:rsid w:val="7CB202E4"/>
    <w:rsid w:val="7CB73744"/>
    <w:rsid w:val="7CC3658D"/>
    <w:rsid w:val="7CC84DBF"/>
    <w:rsid w:val="7CCC5441"/>
    <w:rsid w:val="7CCD2F68"/>
    <w:rsid w:val="7CD24A22"/>
    <w:rsid w:val="7CD67231"/>
    <w:rsid w:val="7CD73DE6"/>
    <w:rsid w:val="7CD75B94"/>
    <w:rsid w:val="7CDD6540"/>
    <w:rsid w:val="7CE50319"/>
    <w:rsid w:val="7CE64029"/>
    <w:rsid w:val="7CE85FF3"/>
    <w:rsid w:val="7CED7166"/>
    <w:rsid w:val="7CF91FAF"/>
    <w:rsid w:val="7D00333D"/>
    <w:rsid w:val="7D032E2D"/>
    <w:rsid w:val="7D071AF5"/>
    <w:rsid w:val="7D0C5A4B"/>
    <w:rsid w:val="7D0F3580"/>
    <w:rsid w:val="7D127336"/>
    <w:rsid w:val="7D1312C2"/>
    <w:rsid w:val="7D2012E9"/>
    <w:rsid w:val="7D2C7C8E"/>
    <w:rsid w:val="7D394FD8"/>
    <w:rsid w:val="7D40198C"/>
    <w:rsid w:val="7D4274B2"/>
    <w:rsid w:val="7D4551F4"/>
    <w:rsid w:val="7D483D11"/>
    <w:rsid w:val="7D4B007D"/>
    <w:rsid w:val="7D5F62B6"/>
    <w:rsid w:val="7D603DDC"/>
    <w:rsid w:val="7D605B8A"/>
    <w:rsid w:val="7D6733BC"/>
    <w:rsid w:val="7D7E7646"/>
    <w:rsid w:val="7D8201F6"/>
    <w:rsid w:val="7D8775BA"/>
    <w:rsid w:val="7D893333"/>
    <w:rsid w:val="7D8E6B9B"/>
    <w:rsid w:val="7D910439"/>
    <w:rsid w:val="7D926232"/>
    <w:rsid w:val="7D9615AC"/>
    <w:rsid w:val="7D9817C8"/>
    <w:rsid w:val="7D9B4E14"/>
    <w:rsid w:val="7DA87DDC"/>
    <w:rsid w:val="7DAE414F"/>
    <w:rsid w:val="7DBD3EFF"/>
    <w:rsid w:val="7DBD6776"/>
    <w:rsid w:val="7DC26738"/>
    <w:rsid w:val="7DCC01A6"/>
    <w:rsid w:val="7DCF4ABD"/>
    <w:rsid w:val="7DD345AE"/>
    <w:rsid w:val="7DE35D0B"/>
    <w:rsid w:val="7DF12C86"/>
    <w:rsid w:val="7DFC1D56"/>
    <w:rsid w:val="7DFD787D"/>
    <w:rsid w:val="7E053F8D"/>
    <w:rsid w:val="7E0A5DEF"/>
    <w:rsid w:val="7E12157A"/>
    <w:rsid w:val="7E1D36F5"/>
    <w:rsid w:val="7E290672"/>
    <w:rsid w:val="7E2D0162"/>
    <w:rsid w:val="7E3D5ECB"/>
    <w:rsid w:val="7E3E236F"/>
    <w:rsid w:val="7E4159BB"/>
    <w:rsid w:val="7E437985"/>
    <w:rsid w:val="7E4436FD"/>
    <w:rsid w:val="7E461224"/>
    <w:rsid w:val="7E4E1E86"/>
    <w:rsid w:val="7E505BFE"/>
    <w:rsid w:val="7E520B21"/>
    <w:rsid w:val="7E521976"/>
    <w:rsid w:val="7E573431"/>
    <w:rsid w:val="7E5751DF"/>
    <w:rsid w:val="7E617E0B"/>
    <w:rsid w:val="7E6A3164"/>
    <w:rsid w:val="7E723DC7"/>
    <w:rsid w:val="7E75623E"/>
    <w:rsid w:val="7E825BB2"/>
    <w:rsid w:val="7E971A7F"/>
    <w:rsid w:val="7E972C19"/>
    <w:rsid w:val="7E977CD1"/>
    <w:rsid w:val="7E9A476E"/>
    <w:rsid w:val="7E9A6B5E"/>
    <w:rsid w:val="7EA65BD8"/>
    <w:rsid w:val="7EAF6DC9"/>
    <w:rsid w:val="7EB22415"/>
    <w:rsid w:val="7EB50157"/>
    <w:rsid w:val="7EBA751C"/>
    <w:rsid w:val="7EBB0C6A"/>
    <w:rsid w:val="7EBB2BFC"/>
    <w:rsid w:val="7EBC3294"/>
    <w:rsid w:val="7ECD54A1"/>
    <w:rsid w:val="7ED54355"/>
    <w:rsid w:val="7ED93E46"/>
    <w:rsid w:val="7EDB7BBE"/>
    <w:rsid w:val="7EEE727B"/>
    <w:rsid w:val="7EF23159"/>
    <w:rsid w:val="7EF667A6"/>
    <w:rsid w:val="7EF742CC"/>
    <w:rsid w:val="7EFC5D86"/>
    <w:rsid w:val="7F052E8D"/>
    <w:rsid w:val="7F0810A0"/>
    <w:rsid w:val="7F0C421B"/>
    <w:rsid w:val="7F196938"/>
    <w:rsid w:val="7F1B7FBA"/>
    <w:rsid w:val="7F203823"/>
    <w:rsid w:val="7F272E03"/>
    <w:rsid w:val="7F286B7B"/>
    <w:rsid w:val="7F2C7BF1"/>
    <w:rsid w:val="7F2E4837"/>
    <w:rsid w:val="7F323556"/>
    <w:rsid w:val="7F427C3D"/>
    <w:rsid w:val="7F453DC2"/>
    <w:rsid w:val="7F460DAF"/>
    <w:rsid w:val="7F4E6CBE"/>
    <w:rsid w:val="7F58120E"/>
    <w:rsid w:val="7F6E4E40"/>
    <w:rsid w:val="7F736048"/>
    <w:rsid w:val="7F7818B1"/>
    <w:rsid w:val="7F7E2419"/>
    <w:rsid w:val="7F802A63"/>
    <w:rsid w:val="7F8457DC"/>
    <w:rsid w:val="7F8519C2"/>
    <w:rsid w:val="7F856BE9"/>
    <w:rsid w:val="7F857B2A"/>
    <w:rsid w:val="7F871AF4"/>
    <w:rsid w:val="7F87589E"/>
    <w:rsid w:val="7F8F6BFA"/>
    <w:rsid w:val="7F912972"/>
    <w:rsid w:val="7F9164CE"/>
    <w:rsid w:val="7F932247"/>
    <w:rsid w:val="7F945FBF"/>
    <w:rsid w:val="7F9A1827"/>
    <w:rsid w:val="7F9E0BEB"/>
    <w:rsid w:val="7FB81CAD"/>
    <w:rsid w:val="7FC40652"/>
    <w:rsid w:val="7FC543CA"/>
    <w:rsid w:val="7FC56178"/>
    <w:rsid w:val="7FCA19E0"/>
    <w:rsid w:val="7FCE327F"/>
    <w:rsid w:val="7FD12D6F"/>
    <w:rsid w:val="7FDD1714"/>
    <w:rsid w:val="7FE26D2A"/>
    <w:rsid w:val="7FE42AA2"/>
    <w:rsid w:val="7FE65AA0"/>
    <w:rsid w:val="7FF32CE5"/>
    <w:rsid w:val="7FF60A27"/>
    <w:rsid w:val="7FFF78DC"/>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semiHidden="0" w:name="index 1"/>
    <w:lsdException w:uiPriority="0" w:name="index 2"/>
    <w:lsdException w:uiPriority="0" w:name="index 3"/>
    <w:lsdException w:uiPriority="0" w:name="index 4"/>
    <w:lsdException w:qFormat="1" w:unhideWhenUsed="0" w:uiPriority="99" w:semiHidden="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99" w:semiHidden="0" w:name="page number"/>
    <w:lsdException w:uiPriority="0" w:name="endnote reference"/>
    <w:lsdException w:uiPriority="0" w:name="endnote text"/>
    <w:lsdException w:uiPriority="0" w:name="table of authorities"/>
    <w:lsdException w:uiPriority="0" w:name="macro"/>
    <w:lsdException w:qFormat="1" w:uiPriority="99" w:semiHidden="0" w:name="toa heading"/>
    <w:lsdException w:qFormat="1" w:unhideWhenUsed="0" w:uiPriority="99" w:semiHidden="0" w:name="List"/>
    <w:lsdException w:uiPriority="0" w:name="List Bullet"/>
    <w:lsdException w:uiPriority="0" w:name="List Number"/>
    <w:lsdException w:uiPriority="0" w:name="List 2"/>
    <w:lsdException w:uiPriority="0" w:name="List 3"/>
    <w:lsdException w:uiPriority="0" w:name="List 4"/>
    <w:lsdException w:uiPriority="0" w:name="List 5"/>
    <w:lsdException w:qFormat="1" w:unhideWhenUsed="0" w:uiPriority="0" w:semiHidden="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nhideWhenUsed="0" w:uiPriority="99"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99" w:semiHidden="0" w:name="Body Text First Indent 2"/>
    <w:lsdException w:qFormat="1" w:unhideWhenUsed="0" w:uiPriority="0" w:semiHidden="0"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0" w:name="E-mail Signature"/>
    <w:lsdException w:qFormat="1" w:uiPriority="99" w:semiHidden="0" w:name="Normal (Web)"/>
    <w:lsdException w:qFormat="1" w:uiPriority="0" w:name="HTML Acronym"/>
    <w:lsdException w:uiPriority="0" w:name="HTML Address"/>
    <w:lsdException w:qFormat="1" w:uiPriority="0" w:semiHidden="0" w:name="HTML Cite"/>
    <w:lsdException w:qFormat="1" w:uiPriority="0" w:semiHidden="0" w:name="HTML Code"/>
    <w:lsdException w:qFormat="1" w:uiPriority="0" w:semiHidden="0" w:name="HTML Definition"/>
    <w:lsdException w:qFormat="1" w:uiPriority="0" w:name="HTML Keyboard"/>
    <w:lsdException w:qFormat="1" w:unhideWhenUsed="0" w:uiPriority="0" w:semiHidden="0" w:name="HTML Preformatted"/>
    <w:lsdException w:qFormat="1" w:uiPriority="0" w:name="HTML Sample"/>
    <w:lsdException w:qFormat="1" w:uiPriority="0" w:name="HTML Typewriter"/>
    <w:lsdException w:qFormat="1" w:uiPriority="0" w:semiHidden="0" w:name="HTML Variable"/>
    <w:lsdException w:qFormat="1" w:uiPriority="99" w:name="Normal Table"/>
    <w:lsdException w:qFormat="1"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Arial Unicode MS" w:cs="Times New Roman"/>
      <w:kern w:val="2"/>
      <w:sz w:val="21"/>
      <w:szCs w:val="24"/>
      <w:lang w:val="en-US" w:eastAsia="zh-CN" w:bidi="ar-SA"/>
    </w:rPr>
  </w:style>
  <w:style w:type="paragraph" w:styleId="2">
    <w:name w:val="heading 1"/>
    <w:basedOn w:val="1"/>
    <w:next w:val="1"/>
    <w:link w:val="124"/>
    <w:autoRedefine/>
    <w:qFormat/>
    <w:uiPriority w:val="99"/>
    <w:pPr>
      <w:keepNext/>
      <w:keepLines/>
      <w:adjustRightInd w:val="0"/>
      <w:spacing w:before="240" w:after="240" w:line="578" w:lineRule="atLeast"/>
      <w:textAlignment w:val="baseline"/>
      <w:outlineLvl w:val="0"/>
    </w:pPr>
    <w:rPr>
      <w:rFonts w:ascii="Tahoma" w:hAnsi="Tahoma"/>
      <w:b/>
      <w:bCs/>
      <w:kern w:val="44"/>
      <w:sz w:val="24"/>
      <w:szCs w:val="44"/>
    </w:rPr>
  </w:style>
  <w:style w:type="paragraph" w:styleId="3">
    <w:name w:val="heading 2"/>
    <w:basedOn w:val="1"/>
    <w:next w:val="1"/>
    <w:link w:val="106"/>
    <w:autoRedefine/>
    <w:qFormat/>
    <w:uiPriority w:val="99"/>
    <w:pPr>
      <w:spacing w:before="260" w:after="260" w:line="416" w:lineRule="atLeast"/>
      <w:outlineLvl w:val="1"/>
    </w:pPr>
    <w:rPr>
      <w:rFonts w:ascii="Cambria" w:hAnsi="Cambria"/>
      <w:sz w:val="32"/>
      <w:szCs w:val="32"/>
    </w:rPr>
  </w:style>
  <w:style w:type="paragraph" w:styleId="4">
    <w:name w:val="heading 3"/>
    <w:basedOn w:val="1"/>
    <w:next w:val="5"/>
    <w:link w:val="116"/>
    <w:autoRedefine/>
    <w:qFormat/>
    <w:uiPriority w:val="99"/>
    <w:pPr>
      <w:tabs>
        <w:tab w:val="left" w:pos="588"/>
      </w:tabs>
      <w:spacing w:line="360" w:lineRule="auto"/>
      <w:outlineLvl w:val="2"/>
    </w:pPr>
    <w:rPr>
      <w:rFonts w:ascii="Tahoma" w:hAnsi="Tahoma"/>
    </w:rPr>
  </w:style>
  <w:style w:type="paragraph" w:styleId="6">
    <w:name w:val="heading 4"/>
    <w:basedOn w:val="1"/>
    <w:next w:val="1"/>
    <w:link w:val="143"/>
    <w:autoRedefine/>
    <w:qFormat/>
    <w:uiPriority w:val="99"/>
    <w:pPr>
      <w:keepNext/>
      <w:keepLines/>
      <w:adjustRightInd w:val="0"/>
      <w:snapToGrid w:val="0"/>
      <w:spacing w:beforeAutospacing="1" w:afterAutospacing="1" w:line="300" w:lineRule="auto"/>
      <w:textAlignment w:val="baseline"/>
      <w:outlineLvl w:val="3"/>
    </w:pPr>
    <w:rPr>
      <w:b/>
      <w:kern w:val="0"/>
      <w:sz w:val="24"/>
    </w:rPr>
  </w:style>
  <w:style w:type="paragraph" w:styleId="7">
    <w:name w:val="heading 5"/>
    <w:basedOn w:val="1"/>
    <w:next w:val="1"/>
    <w:link w:val="105"/>
    <w:autoRedefine/>
    <w:qFormat/>
    <w:uiPriority w:val="99"/>
    <w:pPr>
      <w:keepNext/>
      <w:keepLines/>
      <w:spacing w:before="280" w:after="290" w:line="376" w:lineRule="auto"/>
      <w:ind w:left="1008" w:hanging="1008"/>
      <w:outlineLvl w:val="4"/>
    </w:pPr>
    <w:rPr>
      <w:b/>
      <w:bCs/>
      <w:sz w:val="24"/>
      <w:szCs w:val="28"/>
    </w:rPr>
  </w:style>
  <w:style w:type="paragraph" w:styleId="8">
    <w:name w:val="heading 6"/>
    <w:basedOn w:val="1"/>
    <w:next w:val="1"/>
    <w:link w:val="136"/>
    <w:autoRedefine/>
    <w:qFormat/>
    <w:uiPriority w:val="99"/>
    <w:pPr>
      <w:keepNext/>
      <w:keepLines/>
      <w:spacing w:before="240" w:after="64" w:line="320" w:lineRule="auto"/>
      <w:ind w:left="1152" w:hanging="1152"/>
      <w:outlineLvl w:val="5"/>
    </w:pPr>
    <w:rPr>
      <w:rFonts w:ascii="Arial" w:hAnsi="Arial" w:eastAsia="黑体"/>
      <w:b/>
      <w:bCs/>
      <w:sz w:val="24"/>
      <w:szCs w:val="28"/>
    </w:rPr>
  </w:style>
  <w:style w:type="paragraph" w:styleId="9">
    <w:name w:val="heading 7"/>
    <w:basedOn w:val="1"/>
    <w:next w:val="1"/>
    <w:link w:val="126"/>
    <w:autoRedefine/>
    <w:qFormat/>
    <w:uiPriority w:val="99"/>
    <w:pPr>
      <w:keepNext/>
      <w:keepLines/>
      <w:spacing w:before="240" w:after="64" w:line="320" w:lineRule="auto"/>
      <w:ind w:left="1296" w:hanging="1296"/>
      <w:outlineLvl w:val="6"/>
    </w:pPr>
    <w:rPr>
      <w:b/>
      <w:bCs/>
      <w:sz w:val="24"/>
      <w:szCs w:val="28"/>
    </w:rPr>
  </w:style>
  <w:style w:type="paragraph" w:styleId="10">
    <w:name w:val="heading 8"/>
    <w:basedOn w:val="1"/>
    <w:next w:val="1"/>
    <w:link w:val="111"/>
    <w:autoRedefine/>
    <w:qFormat/>
    <w:uiPriority w:val="99"/>
    <w:pPr>
      <w:keepNext/>
      <w:keepLines/>
      <w:spacing w:before="240" w:after="64" w:line="320" w:lineRule="auto"/>
      <w:ind w:left="1440" w:hanging="1440"/>
      <w:outlineLvl w:val="7"/>
    </w:pPr>
    <w:rPr>
      <w:rFonts w:ascii="Arial" w:hAnsi="Arial" w:eastAsia="黑体"/>
      <w:sz w:val="24"/>
      <w:szCs w:val="28"/>
    </w:rPr>
  </w:style>
  <w:style w:type="paragraph" w:styleId="11">
    <w:name w:val="heading 9"/>
    <w:basedOn w:val="1"/>
    <w:next w:val="1"/>
    <w:link w:val="128"/>
    <w:autoRedefine/>
    <w:qFormat/>
    <w:uiPriority w:val="99"/>
    <w:pPr>
      <w:keepNext/>
      <w:keepLines/>
      <w:spacing w:before="240" w:after="64" w:line="320" w:lineRule="auto"/>
      <w:ind w:left="1584" w:hanging="1584"/>
      <w:outlineLvl w:val="8"/>
    </w:pPr>
    <w:rPr>
      <w:rFonts w:ascii="Arial" w:hAnsi="Arial" w:eastAsia="黑体"/>
      <w:sz w:val="24"/>
      <w:szCs w:val="21"/>
    </w:rPr>
  </w:style>
  <w:style w:type="character" w:default="1" w:styleId="52">
    <w:name w:val="Default Paragraph Font"/>
    <w:autoRedefine/>
    <w:semiHidden/>
    <w:unhideWhenUsed/>
    <w:qFormat/>
    <w:uiPriority w:val="1"/>
  </w:style>
  <w:style w:type="table" w:default="1" w:styleId="50">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link w:val="139"/>
    <w:autoRedefine/>
    <w:qFormat/>
    <w:uiPriority w:val="0"/>
    <w:pPr>
      <w:spacing w:line="360" w:lineRule="auto"/>
      <w:ind w:firstLine="200" w:firstLineChars="200"/>
    </w:pPr>
    <w:rPr>
      <w:sz w:val="24"/>
      <w:szCs w:val="20"/>
    </w:rPr>
  </w:style>
  <w:style w:type="paragraph" w:styleId="12">
    <w:name w:val="toc 7"/>
    <w:basedOn w:val="1"/>
    <w:next w:val="1"/>
    <w:autoRedefine/>
    <w:qFormat/>
    <w:uiPriority w:val="39"/>
    <w:pPr>
      <w:spacing w:line="440" w:lineRule="exact"/>
      <w:ind w:left="1680"/>
      <w:jc w:val="left"/>
    </w:pPr>
    <w:rPr>
      <w:rFonts w:ascii="Calibri" w:hAnsi="Calibri"/>
      <w:sz w:val="18"/>
      <w:szCs w:val="18"/>
    </w:rPr>
  </w:style>
  <w:style w:type="paragraph" w:styleId="13">
    <w:name w:val="Note Heading"/>
    <w:basedOn w:val="14"/>
    <w:next w:val="14"/>
    <w:link w:val="203"/>
    <w:autoRedefine/>
    <w:qFormat/>
    <w:uiPriority w:val="0"/>
    <w:rPr>
      <w:rFonts w:ascii="..ì." w:eastAsia="..ì." w:cs="Times New Roman"/>
      <w:color w:val="auto"/>
      <w:szCs w:val="20"/>
    </w:rPr>
  </w:style>
  <w:style w:type="paragraph" w:customStyle="1" w:styleId="14">
    <w:name w:val="Default"/>
    <w:autoRedefine/>
    <w:qFormat/>
    <w:uiPriority w:val="99"/>
    <w:pPr>
      <w:widowControl w:val="0"/>
      <w:autoSpaceDE w:val="0"/>
      <w:autoSpaceDN w:val="0"/>
      <w:adjustRightInd w:val="0"/>
    </w:pPr>
    <w:rPr>
      <w:rFonts w:ascii="宋体" w:hAnsi="Times New Roman" w:eastAsia="Arial Unicode MS" w:cs="宋体"/>
      <w:color w:val="000000"/>
      <w:sz w:val="24"/>
      <w:szCs w:val="24"/>
      <w:lang w:val="en-US" w:eastAsia="zh-CN" w:bidi="ar-SA"/>
    </w:rPr>
  </w:style>
  <w:style w:type="paragraph" w:styleId="15">
    <w:name w:val="caption"/>
    <w:basedOn w:val="1"/>
    <w:next w:val="1"/>
    <w:link w:val="97"/>
    <w:autoRedefine/>
    <w:qFormat/>
    <w:uiPriority w:val="0"/>
    <w:pPr>
      <w:spacing w:line="480" w:lineRule="auto"/>
    </w:pPr>
    <w:rPr>
      <w:rFonts w:ascii="华文中宋" w:eastAsia="华文中宋"/>
      <w:sz w:val="36"/>
      <w:szCs w:val="20"/>
    </w:rPr>
  </w:style>
  <w:style w:type="paragraph" w:styleId="16">
    <w:name w:val="index 5"/>
    <w:basedOn w:val="1"/>
    <w:next w:val="1"/>
    <w:autoRedefine/>
    <w:qFormat/>
    <w:uiPriority w:val="99"/>
    <w:pPr>
      <w:ind w:left="800" w:leftChars="800"/>
    </w:pPr>
    <w:rPr>
      <w:rFonts w:eastAsia="宋体"/>
    </w:rPr>
  </w:style>
  <w:style w:type="paragraph" w:styleId="17">
    <w:name w:val="Document Map"/>
    <w:basedOn w:val="1"/>
    <w:link w:val="133"/>
    <w:autoRedefine/>
    <w:qFormat/>
    <w:uiPriority w:val="99"/>
    <w:pPr>
      <w:spacing w:line="440" w:lineRule="exact"/>
    </w:pPr>
    <w:rPr>
      <w:rFonts w:ascii="宋体"/>
      <w:sz w:val="18"/>
      <w:szCs w:val="18"/>
    </w:rPr>
  </w:style>
  <w:style w:type="paragraph" w:styleId="18">
    <w:name w:val="toa heading"/>
    <w:basedOn w:val="1"/>
    <w:next w:val="1"/>
    <w:autoRedefine/>
    <w:unhideWhenUsed/>
    <w:qFormat/>
    <w:uiPriority w:val="99"/>
    <w:pPr>
      <w:spacing w:before="120"/>
    </w:pPr>
    <w:rPr>
      <w:rFonts w:ascii="Cambria" w:hAnsi="Cambria" w:eastAsia="宋体"/>
      <w:sz w:val="24"/>
    </w:rPr>
  </w:style>
  <w:style w:type="paragraph" w:styleId="19">
    <w:name w:val="annotation text"/>
    <w:basedOn w:val="1"/>
    <w:link w:val="103"/>
    <w:autoRedefine/>
    <w:qFormat/>
    <w:uiPriority w:val="0"/>
    <w:pPr>
      <w:jc w:val="left"/>
    </w:pPr>
    <w:rPr>
      <w:rFonts w:ascii="Tahoma" w:hAnsi="Tahoma"/>
    </w:rPr>
  </w:style>
  <w:style w:type="paragraph" w:styleId="20">
    <w:name w:val="Salutation"/>
    <w:basedOn w:val="14"/>
    <w:next w:val="14"/>
    <w:link w:val="202"/>
    <w:autoRedefine/>
    <w:qFormat/>
    <w:uiPriority w:val="0"/>
    <w:rPr>
      <w:rFonts w:ascii="..ì." w:eastAsia="..ì." w:cs="Times New Roman"/>
      <w:color w:val="auto"/>
      <w:szCs w:val="20"/>
    </w:rPr>
  </w:style>
  <w:style w:type="paragraph" w:styleId="21">
    <w:name w:val="Body Text 3"/>
    <w:basedOn w:val="1"/>
    <w:link w:val="210"/>
    <w:autoRedefine/>
    <w:qFormat/>
    <w:uiPriority w:val="99"/>
    <w:pPr>
      <w:spacing w:after="120"/>
    </w:pPr>
    <w:rPr>
      <w:rFonts w:eastAsia="宋体"/>
      <w:sz w:val="16"/>
      <w:szCs w:val="16"/>
    </w:rPr>
  </w:style>
  <w:style w:type="paragraph" w:styleId="22">
    <w:name w:val="Body Text"/>
    <w:basedOn w:val="1"/>
    <w:link w:val="137"/>
    <w:autoRedefine/>
    <w:qFormat/>
    <w:uiPriority w:val="99"/>
    <w:pPr>
      <w:spacing w:line="360" w:lineRule="auto"/>
    </w:pPr>
    <w:rPr>
      <w:rFonts w:ascii="Tahoma" w:hAnsi="Tahoma"/>
    </w:rPr>
  </w:style>
  <w:style w:type="paragraph" w:styleId="23">
    <w:name w:val="Body Text Indent"/>
    <w:basedOn w:val="1"/>
    <w:link w:val="169"/>
    <w:autoRedefine/>
    <w:qFormat/>
    <w:uiPriority w:val="99"/>
    <w:pPr>
      <w:widowControl/>
      <w:spacing w:line="360" w:lineRule="auto"/>
      <w:ind w:firstLine="709"/>
      <w:jc w:val="left"/>
    </w:pPr>
    <w:rPr>
      <w:rFonts w:ascii="Tahoma" w:hAnsi="Tahoma"/>
    </w:rPr>
  </w:style>
  <w:style w:type="paragraph" w:styleId="24">
    <w:name w:val="Block Text"/>
    <w:basedOn w:val="1"/>
    <w:autoRedefine/>
    <w:qFormat/>
    <w:uiPriority w:val="99"/>
    <w:pPr>
      <w:spacing w:line="360" w:lineRule="auto"/>
      <w:ind w:left="357" w:leftChars="170" w:right="25" w:rightChars="12" w:firstLine="1"/>
    </w:pPr>
    <w:rPr>
      <w:rFonts w:ascii="宋体" w:hAnsi="宋体" w:eastAsia="宋体" w:cs="Arial"/>
      <w:sz w:val="24"/>
      <w:szCs w:val="20"/>
    </w:rPr>
  </w:style>
  <w:style w:type="paragraph" w:styleId="25">
    <w:name w:val="List Bullet 2"/>
    <w:basedOn w:val="1"/>
    <w:autoRedefine/>
    <w:qFormat/>
    <w:uiPriority w:val="0"/>
    <w:pPr>
      <w:numPr>
        <w:ilvl w:val="1"/>
        <w:numId w:val="1"/>
      </w:numPr>
      <w:spacing w:line="360" w:lineRule="auto"/>
    </w:pPr>
    <w:rPr>
      <w:sz w:val="24"/>
      <w:szCs w:val="28"/>
    </w:rPr>
  </w:style>
  <w:style w:type="paragraph" w:styleId="26">
    <w:name w:val="toc 5"/>
    <w:basedOn w:val="1"/>
    <w:next w:val="1"/>
    <w:autoRedefine/>
    <w:qFormat/>
    <w:uiPriority w:val="39"/>
    <w:pPr>
      <w:spacing w:line="440" w:lineRule="exact"/>
      <w:ind w:left="1120"/>
      <w:jc w:val="left"/>
    </w:pPr>
    <w:rPr>
      <w:rFonts w:ascii="Calibri" w:hAnsi="Calibri"/>
      <w:sz w:val="18"/>
      <w:szCs w:val="18"/>
    </w:rPr>
  </w:style>
  <w:style w:type="paragraph" w:styleId="27">
    <w:name w:val="toc 3"/>
    <w:basedOn w:val="1"/>
    <w:next w:val="1"/>
    <w:autoRedefine/>
    <w:qFormat/>
    <w:uiPriority w:val="39"/>
    <w:pPr>
      <w:tabs>
        <w:tab w:val="right" w:leader="dot" w:pos="8302"/>
      </w:tabs>
      <w:ind w:left="561"/>
      <w:jc w:val="left"/>
    </w:pPr>
    <w:rPr>
      <w:rFonts w:ascii="Calibri" w:hAnsi="Calibri"/>
      <w:iCs/>
      <w:sz w:val="20"/>
      <w:szCs w:val="20"/>
    </w:rPr>
  </w:style>
  <w:style w:type="paragraph" w:styleId="28">
    <w:name w:val="Plain Text"/>
    <w:basedOn w:val="1"/>
    <w:link w:val="224"/>
    <w:autoRedefine/>
    <w:qFormat/>
    <w:uiPriority w:val="0"/>
    <w:pPr>
      <w:spacing w:line="360" w:lineRule="auto"/>
    </w:pPr>
    <w:rPr>
      <w:rFonts w:ascii="宋体" w:hAnsi="Courier New"/>
      <w:szCs w:val="21"/>
    </w:rPr>
  </w:style>
  <w:style w:type="paragraph" w:styleId="29">
    <w:name w:val="toc 8"/>
    <w:basedOn w:val="1"/>
    <w:next w:val="1"/>
    <w:autoRedefine/>
    <w:qFormat/>
    <w:uiPriority w:val="39"/>
    <w:pPr>
      <w:spacing w:line="440" w:lineRule="exact"/>
      <w:ind w:left="1960"/>
      <w:jc w:val="left"/>
    </w:pPr>
    <w:rPr>
      <w:rFonts w:ascii="Calibri" w:hAnsi="Calibri"/>
      <w:sz w:val="18"/>
      <w:szCs w:val="18"/>
    </w:rPr>
  </w:style>
  <w:style w:type="paragraph" w:styleId="30">
    <w:name w:val="Date"/>
    <w:basedOn w:val="1"/>
    <w:next w:val="1"/>
    <w:link w:val="200"/>
    <w:autoRedefine/>
    <w:qFormat/>
    <w:uiPriority w:val="99"/>
    <w:pPr>
      <w:spacing w:line="360" w:lineRule="auto"/>
      <w:ind w:left="2500" w:leftChars="2500"/>
    </w:pPr>
    <w:rPr>
      <w:rFonts w:ascii="Tahoma" w:hAnsi="Tahoma"/>
    </w:rPr>
  </w:style>
  <w:style w:type="paragraph" w:styleId="31">
    <w:name w:val="Body Text Indent 2"/>
    <w:basedOn w:val="1"/>
    <w:link w:val="165"/>
    <w:autoRedefine/>
    <w:qFormat/>
    <w:uiPriority w:val="99"/>
    <w:pPr>
      <w:adjustRightInd w:val="0"/>
      <w:snapToGrid w:val="0"/>
      <w:spacing w:afterLines="25" w:line="420" w:lineRule="exact"/>
      <w:ind w:left="778" w:leftChars="378"/>
    </w:pPr>
    <w:rPr>
      <w:rFonts w:eastAsia="宋体"/>
      <w:sz w:val="24"/>
      <w:szCs w:val="30"/>
    </w:rPr>
  </w:style>
  <w:style w:type="paragraph" w:styleId="32">
    <w:name w:val="Balloon Text"/>
    <w:basedOn w:val="1"/>
    <w:link w:val="99"/>
    <w:autoRedefine/>
    <w:qFormat/>
    <w:uiPriority w:val="0"/>
    <w:rPr>
      <w:sz w:val="18"/>
      <w:szCs w:val="18"/>
    </w:rPr>
  </w:style>
  <w:style w:type="paragraph" w:styleId="33">
    <w:name w:val="footer"/>
    <w:basedOn w:val="1"/>
    <w:link w:val="140"/>
    <w:autoRedefine/>
    <w:qFormat/>
    <w:uiPriority w:val="99"/>
    <w:pPr>
      <w:tabs>
        <w:tab w:val="center" w:pos="4153"/>
        <w:tab w:val="right" w:pos="8306"/>
      </w:tabs>
      <w:adjustRightInd w:val="0"/>
      <w:spacing w:line="240" w:lineRule="atLeast"/>
      <w:jc w:val="left"/>
      <w:textAlignment w:val="baseline"/>
    </w:pPr>
    <w:rPr>
      <w:rFonts w:ascii="Tahoma" w:hAnsi="Tahoma"/>
      <w:sz w:val="18"/>
      <w:szCs w:val="18"/>
    </w:rPr>
  </w:style>
  <w:style w:type="paragraph" w:styleId="34">
    <w:name w:val="header"/>
    <w:basedOn w:val="1"/>
    <w:link w:val="125"/>
    <w:autoRedefine/>
    <w:qFormat/>
    <w:uiPriority w:val="99"/>
    <w:pPr>
      <w:pBdr>
        <w:bottom w:val="single" w:color="auto" w:sz="6" w:space="1"/>
      </w:pBdr>
      <w:tabs>
        <w:tab w:val="center" w:pos="4153"/>
        <w:tab w:val="right" w:pos="8306"/>
      </w:tabs>
      <w:adjustRightInd w:val="0"/>
      <w:spacing w:line="240" w:lineRule="atLeast"/>
      <w:jc w:val="center"/>
      <w:textAlignment w:val="baseline"/>
    </w:pPr>
    <w:rPr>
      <w:rFonts w:ascii="Tahoma" w:hAnsi="Tahoma"/>
      <w:sz w:val="18"/>
      <w:szCs w:val="18"/>
    </w:rPr>
  </w:style>
  <w:style w:type="paragraph" w:styleId="35">
    <w:name w:val="toc 1"/>
    <w:basedOn w:val="1"/>
    <w:next w:val="1"/>
    <w:autoRedefine/>
    <w:qFormat/>
    <w:uiPriority w:val="39"/>
    <w:pPr>
      <w:tabs>
        <w:tab w:val="right" w:leader="dot" w:pos="9344"/>
      </w:tabs>
      <w:spacing w:before="120" w:after="120" w:line="360" w:lineRule="auto"/>
      <w:jc w:val="left"/>
    </w:pPr>
    <w:rPr>
      <w:rFonts w:ascii="宋体"/>
      <w:b/>
      <w:bCs/>
      <w:caps/>
      <w:sz w:val="24"/>
      <w:szCs w:val="20"/>
    </w:rPr>
  </w:style>
  <w:style w:type="paragraph" w:styleId="36">
    <w:name w:val="toc 4"/>
    <w:basedOn w:val="1"/>
    <w:next w:val="1"/>
    <w:autoRedefine/>
    <w:qFormat/>
    <w:uiPriority w:val="39"/>
    <w:pPr>
      <w:spacing w:line="440" w:lineRule="exact"/>
      <w:ind w:left="840"/>
      <w:jc w:val="left"/>
    </w:pPr>
    <w:rPr>
      <w:rFonts w:ascii="Calibri" w:hAnsi="Calibri"/>
      <w:sz w:val="18"/>
      <w:szCs w:val="18"/>
    </w:rPr>
  </w:style>
  <w:style w:type="paragraph" w:styleId="37">
    <w:name w:val="List"/>
    <w:basedOn w:val="1"/>
    <w:autoRedefine/>
    <w:qFormat/>
    <w:uiPriority w:val="99"/>
    <w:pPr>
      <w:adjustRightInd w:val="0"/>
      <w:spacing w:line="360" w:lineRule="atLeast"/>
      <w:ind w:left="420" w:hanging="420"/>
      <w:jc w:val="left"/>
    </w:pPr>
    <w:rPr>
      <w:rFonts w:hint="eastAsia" w:ascii="宋体" w:eastAsia="宋体"/>
      <w:kern w:val="0"/>
      <w:sz w:val="24"/>
      <w:szCs w:val="20"/>
    </w:rPr>
  </w:style>
  <w:style w:type="paragraph" w:styleId="38">
    <w:name w:val="toc 6"/>
    <w:basedOn w:val="1"/>
    <w:next w:val="1"/>
    <w:autoRedefine/>
    <w:qFormat/>
    <w:uiPriority w:val="39"/>
    <w:pPr>
      <w:spacing w:line="440" w:lineRule="exact"/>
      <w:ind w:left="1400"/>
      <w:jc w:val="left"/>
    </w:pPr>
    <w:rPr>
      <w:rFonts w:ascii="Calibri" w:hAnsi="Calibri"/>
      <w:sz w:val="18"/>
      <w:szCs w:val="18"/>
    </w:rPr>
  </w:style>
  <w:style w:type="paragraph" w:styleId="39">
    <w:name w:val="Body Text Indent 3"/>
    <w:basedOn w:val="1"/>
    <w:link w:val="213"/>
    <w:autoRedefine/>
    <w:qFormat/>
    <w:uiPriority w:val="99"/>
    <w:pPr>
      <w:spacing w:after="120"/>
      <w:ind w:left="420" w:leftChars="200"/>
    </w:pPr>
    <w:rPr>
      <w:sz w:val="16"/>
      <w:szCs w:val="16"/>
    </w:rPr>
  </w:style>
  <w:style w:type="paragraph" w:styleId="40">
    <w:name w:val="toc 2"/>
    <w:basedOn w:val="1"/>
    <w:next w:val="1"/>
    <w:autoRedefine/>
    <w:qFormat/>
    <w:uiPriority w:val="39"/>
    <w:pPr>
      <w:widowControl/>
      <w:adjustRightInd w:val="0"/>
      <w:spacing w:line="300" w:lineRule="auto"/>
      <w:jc w:val="center"/>
    </w:pPr>
    <w:rPr>
      <w:rFonts w:eastAsia="黑体"/>
      <w:smallCaps/>
      <w:kern w:val="0"/>
      <w:sz w:val="24"/>
    </w:rPr>
  </w:style>
  <w:style w:type="paragraph" w:styleId="41">
    <w:name w:val="toc 9"/>
    <w:basedOn w:val="1"/>
    <w:next w:val="1"/>
    <w:autoRedefine/>
    <w:qFormat/>
    <w:uiPriority w:val="39"/>
    <w:pPr>
      <w:spacing w:line="440" w:lineRule="exact"/>
      <w:ind w:left="2240"/>
      <w:jc w:val="left"/>
    </w:pPr>
    <w:rPr>
      <w:rFonts w:ascii="Calibri" w:hAnsi="Calibri"/>
      <w:sz w:val="18"/>
      <w:szCs w:val="18"/>
    </w:rPr>
  </w:style>
  <w:style w:type="paragraph" w:styleId="42">
    <w:name w:val="Body Text 2"/>
    <w:basedOn w:val="1"/>
    <w:link w:val="171"/>
    <w:autoRedefine/>
    <w:qFormat/>
    <w:uiPriority w:val="99"/>
    <w:pPr>
      <w:spacing w:line="360" w:lineRule="auto"/>
      <w:ind w:right="26"/>
    </w:pPr>
    <w:rPr>
      <w:rFonts w:ascii="宋体" w:eastAsia="宋体"/>
      <w:szCs w:val="20"/>
    </w:rPr>
  </w:style>
  <w:style w:type="paragraph" w:styleId="43">
    <w:name w:val="HTML Preformatted"/>
    <w:basedOn w:val="1"/>
    <w:link w:val="299"/>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kern w:val="0"/>
      <w:sz w:val="20"/>
      <w:szCs w:val="20"/>
    </w:rPr>
  </w:style>
  <w:style w:type="paragraph" w:styleId="44">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45">
    <w:name w:val="index 1"/>
    <w:basedOn w:val="1"/>
    <w:next w:val="1"/>
    <w:autoRedefine/>
    <w:qFormat/>
    <w:uiPriority w:val="99"/>
    <w:pPr>
      <w:spacing w:line="220" w:lineRule="exact"/>
      <w:jc w:val="center"/>
    </w:pPr>
    <w:rPr>
      <w:rFonts w:ascii="仿宋_GB2312" w:eastAsia="仿宋_GB2312"/>
      <w:szCs w:val="21"/>
    </w:rPr>
  </w:style>
  <w:style w:type="paragraph" w:styleId="46">
    <w:name w:val="Title"/>
    <w:basedOn w:val="1"/>
    <w:next w:val="1"/>
    <w:link w:val="127"/>
    <w:autoRedefine/>
    <w:qFormat/>
    <w:uiPriority w:val="0"/>
    <w:pPr>
      <w:spacing w:before="240" w:after="60" w:line="440" w:lineRule="exact"/>
      <w:jc w:val="center"/>
      <w:outlineLvl w:val="0"/>
    </w:pPr>
    <w:rPr>
      <w:rFonts w:ascii="Cambria" w:hAnsi="Cambria"/>
      <w:b/>
      <w:bCs/>
      <w:sz w:val="32"/>
      <w:szCs w:val="32"/>
    </w:rPr>
  </w:style>
  <w:style w:type="paragraph" w:styleId="47">
    <w:name w:val="annotation subject"/>
    <w:basedOn w:val="19"/>
    <w:next w:val="19"/>
    <w:link w:val="131"/>
    <w:autoRedefine/>
    <w:unhideWhenUsed/>
    <w:qFormat/>
    <w:uiPriority w:val="99"/>
    <w:pPr>
      <w:spacing w:line="440" w:lineRule="exact"/>
    </w:pPr>
    <w:rPr>
      <w:b/>
      <w:bCs/>
      <w:sz w:val="24"/>
      <w:szCs w:val="28"/>
    </w:rPr>
  </w:style>
  <w:style w:type="paragraph" w:styleId="48">
    <w:name w:val="Body Text First Indent"/>
    <w:basedOn w:val="22"/>
    <w:link w:val="134"/>
    <w:autoRedefine/>
    <w:qFormat/>
    <w:uiPriority w:val="0"/>
    <w:pPr>
      <w:spacing w:after="120" w:line="240" w:lineRule="auto"/>
      <w:ind w:firstLine="100" w:firstLineChars="100"/>
    </w:pPr>
  </w:style>
  <w:style w:type="paragraph" w:styleId="49">
    <w:name w:val="Body Text First Indent 2"/>
    <w:basedOn w:val="23"/>
    <w:link w:val="170"/>
    <w:autoRedefine/>
    <w:qFormat/>
    <w:uiPriority w:val="99"/>
    <w:pPr>
      <w:widowControl w:val="0"/>
      <w:spacing w:after="120" w:line="240" w:lineRule="auto"/>
      <w:ind w:left="420" w:leftChars="200" w:firstLine="420" w:firstLineChars="200"/>
      <w:jc w:val="both"/>
    </w:pPr>
    <w:rPr>
      <w:rFonts w:ascii="Times New Roman" w:hAnsi="Times New Roman" w:eastAsia="宋体"/>
    </w:rPr>
  </w:style>
  <w:style w:type="table" w:styleId="51">
    <w:name w:val="Table Grid"/>
    <w:basedOn w:val="50"/>
    <w:autoRedefine/>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3">
    <w:name w:val="Strong"/>
    <w:autoRedefine/>
    <w:qFormat/>
    <w:uiPriority w:val="0"/>
  </w:style>
  <w:style w:type="character" w:styleId="54">
    <w:name w:val="page number"/>
    <w:basedOn w:val="52"/>
    <w:autoRedefine/>
    <w:qFormat/>
    <w:uiPriority w:val="99"/>
  </w:style>
  <w:style w:type="character" w:styleId="55">
    <w:name w:val="FollowedHyperlink"/>
    <w:autoRedefine/>
    <w:unhideWhenUsed/>
    <w:qFormat/>
    <w:uiPriority w:val="99"/>
    <w:rPr>
      <w:color w:val="954F72"/>
      <w:u w:val="single"/>
    </w:rPr>
  </w:style>
  <w:style w:type="character" w:styleId="56">
    <w:name w:val="Emphasis"/>
    <w:autoRedefine/>
    <w:qFormat/>
    <w:uiPriority w:val="0"/>
    <w:rPr>
      <w:i/>
      <w:iCs/>
    </w:rPr>
  </w:style>
  <w:style w:type="character" w:styleId="57">
    <w:name w:val="HTML Definition"/>
    <w:autoRedefine/>
    <w:unhideWhenUsed/>
    <w:qFormat/>
    <w:uiPriority w:val="0"/>
  </w:style>
  <w:style w:type="character" w:styleId="58">
    <w:name w:val="HTML Typewriter"/>
    <w:basedOn w:val="52"/>
    <w:semiHidden/>
    <w:unhideWhenUsed/>
    <w:qFormat/>
    <w:uiPriority w:val="0"/>
    <w:rPr>
      <w:rFonts w:ascii="monospace" w:hAnsi="monospace" w:eastAsia="monospace" w:cs="monospace"/>
      <w:sz w:val="20"/>
    </w:rPr>
  </w:style>
  <w:style w:type="character" w:styleId="59">
    <w:name w:val="HTML Acronym"/>
    <w:basedOn w:val="52"/>
    <w:semiHidden/>
    <w:unhideWhenUsed/>
    <w:qFormat/>
    <w:uiPriority w:val="0"/>
  </w:style>
  <w:style w:type="character" w:styleId="60">
    <w:name w:val="HTML Variable"/>
    <w:autoRedefine/>
    <w:unhideWhenUsed/>
    <w:qFormat/>
    <w:uiPriority w:val="0"/>
  </w:style>
  <w:style w:type="character" w:styleId="61">
    <w:name w:val="Hyperlink"/>
    <w:autoRedefine/>
    <w:qFormat/>
    <w:uiPriority w:val="99"/>
    <w:rPr>
      <w:rFonts w:hint="eastAsia" w:ascii="宋体" w:hAnsi="宋体" w:eastAsia="宋体" w:cs="宋体"/>
      <w:color w:val="004A85"/>
      <w:sz w:val="12"/>
      <w:szCs w:val="12"/>
      <w:u w:val="single"/>
    </w:rPr>
  </w:style>
  <w:style w:type="character" w:styleId="62">
    <w:name w:val="HTML Code"/>
    <w:basedOn w:val="52"/>
    <w:autoRedefine/>
    <w:unhideWhenUsed/>
    <w:qFormat/>
    <w:uiPriority w:val="0"/>
    <w:rPr>
      <w:rFonts w:hint="default" w:ascii="monospace" w:hAnsi="monospace" w:eastAsia="monospace" w:cs="monospace"/>
      <w:sz w:val="20"/>
    </w:rPr>
  </w:style>
  <w:style w:type="character" w:styleId="63">
    <w:name w:val="annotation reference"/>
    <w:autoRedefine/>
    <w:qFormat/>
    <w:uiPriority w:val="99"/>
    <w:rPr>
      <w:sz w:val="21"/>
      <w:szCs w:val="21"/>
    </w:rPr>
  </w:style>
  <w:style w:type="character" w:styleId="64">
    <w:name w:val="HTML Cite"/>
    <w:autoRedefine/>
    <w:unhideWhenUsed/>
    <w:qFormat/>
    <w:uiPriority w:val="0"/>
  </w:style>
  <w:style w:type="character" w:styleId="65">
    <w:name w:val="HTML Keyboard"/>
    <w:basedOn w:val="52"/>
    <w:semiHidden/>
    <w:unhideWhenUsed/>
    <w:qFormat/>
    <w:uiPriority w:val="0"/>
    <w:rPr>
      <w:rFonts w:hint="default" w:ascii="monospace" w:hAnsi="monospace" w:eastAsia="monospace" w:cs="monospace"/>
      <w:sz w:val="20"/>
    </w:rPr>
  </w:style>
  <w:style w:type="character" w:styleId="66">
    <w:name w:val="HTML Sample"/>
    <w:basedOn w:val="52"/>
    <w:semiHidden/>
    <w:unhideWhenUsed/>
    <w:qFormat/>
    <w:uiPriority w:val="0"/>
    <w:rPr>
      <w:rFonts w:hint="default" w:ascii="monospace" w:hAnsi="monospace" w:eastAsia="monospace" w:cs="monospace"/>
    </w:rPr>
  </w:style>
  <w:style w:type="paragraph" w:customStyle="1" w:styleId="67">
    <w:name w:val="xl23"/>
    <w:basedOn w:val="1"/>
    <w:autoRedefine/>
    <w:qFormat/>
    <w:uiPriority w:val="0"/>
    <w:pPr>
      <w:widowControl/>
      <w:spacing w:before="100" w:beforeAutospacing="1" w:after="100" w:afterAutospacing="1" w:line="360" w:lineRule="auto"/>
      <w:textAlignment w:val="top"/>
    </w:pPr>
    <w:rPr>
      <w:kern w:val="0"/>
      <w:sz w:val="24"/>
    </w:rPr>
  </w:style>
  <w:style w:type="paragraph" w:customStyle="1" w:styleId="68">
    <w:name w:val="列出段落2"/>
    <w:basedOn w:val="1"/>
    <w:autoRedefine/>
    <w:unhideWhenUsed/>
    <w:qFormat/>
    <w:uiPriority w:val="0"/>
    <w:pPr>
      <w:ind w:firstLine="420" w:firstLineChars="200"/>
    </w:pPr>
  </w:style>
  <w:style w:type="paragraph" w:customStyle="1" w:styleId="69">
    <w:name w:val="题头内容"/>
    <w:basedOn w:val="1"/>
    <w:autoRedefine/>
    <w:qFormat/>
    <w:uiPriority w:val="0"/>
    <w:pPr>
      <w:adjustRightInd w:val="0"/>
      <w:spacing w:before="120" w:after="120" w:line="312" w:lineRule="atLeast"/>
      <w:ind w:right="879" w:firstLine="839" w:firstLineChars="200"/>
      <w:jc w:val="center"/>
      <w:textAlignment w:val="baseline"/>
    </w:pPr>
    <w:rPr>
      <w:rFonts w:hint="eastAsia" w:ascii="黑体" w:eastAsia="黑体"/>
      <w:kern w:val="0"/>
      <w:sz w:val="32"/>
      <w:szCs w:val="32"/>
    </w:rPr>
  </w:style>
  <w:style w:type="paragraph" w:customStyle="1" w:styleId="70">
    <w:name w:val="_Style 67"/>
    <w:basedOn w:val="1"/>
    <w:next w:val="71"/>
    <w:autoRedefine/>
    <w:qFormat/>
    <w:uiPriority w:val="99"/>
    <w:pPr>
      <w:ind w:firstLine="420" w:firstLineChars="200"/>
    </w:pPr>
    <w:rPr>
      <w:rFonts w:ascii="Calibri" w:hAnsi="Calibri"/>
      <w:szCs w:val="22"/>
    </w:rPr>
  </w:style>
  <w:style w:type="paragraph" w:styleId="71">
    <w:name w:val="List Paragraph"/>
    <w:basedOn w:val="1"/>
    <w:autoRedefine/>
    <w:qFormat/>
    <w:uiPriority w:val="99"/>
    <w:pPr>
      <w:ind w:firstLine="420" w:firstLineChars="200"/>
    </w:pPr>
    <w:rPr>
      <w:rFonts w:ascii="Calibri" w:hAnsi="Calibri" w:eastAsia="宋体"/>
      <w:szCs w:val="22"/>
    </w:rPr>
  </w:style>
  <w:style w:type="paragraph" w:customStyle="1" w:styleId="72">
    <w:name w:val="_Style 2"/>
    <w:basedOn w:val="1"/>
    <w:autoRedefine/>
    <w:qFormat/>
    <w:uiPriority w:val="34"/>
    <w:pPr>
      <w:ind w:firstLine="420" w:firstLineChars="200"/>
    </w:pPr>
    <w:rPr>
      <w:rFonts w:ascii="Calibri" w:hAnsi="Calibri"/>
      <w:szCs w:val="22"/>
    </w:rPr>
  </w:style>
  <w:style w:type="paragraph" w:customStyle="1" w:styleId="73">
    <w:name w:val="列出段落1"/>
    <w:basedOn w:val="1"/>
    <w:autoRedefine/>
    <w:qFormat/>
    <w:uiPriority w:val="0"/>
    <w:pPr>
      <w:adjustRightInd w:val="0"/>
      <w:spacing w:line="300" w:lineRule="auto"/>
      <w:ind w:firstLine="420" w:firstLineChars="200"/>
      <w:textAlignment w:val="baseline"/>
    </w:pPr>
    <w:rPr>
      <w:kern w:val="0"/>
      <w:sz w:val="24"/>
    </w:rPr>
  </w:style>
  <w:style w:type="paragraph" w:customStyle="1" w:styleId="74">
    <w:name w:val="TOC 标题1"/>
    <w:basedOn w:val="2"/>
    <w:next w:val="1"/>
    <w:autoRedefine/>
    <w:qFormat/>
    <w:uiPriority w:val="0"/>
    <w:pPr>
      <w:widowControl/>
      <w:adjustRightInd/>
      <w:spacing w:beforeLines="10" w:afterLines="10" w:line="276" w:lineRule="auto"/>
      <w:jc w:val="left"/>
      <w:textAlignment w:val="auto"/>
      <w:outlineLvl w:val="9"/>
    </w:pPr>
    <w:rPr>
      <w:rFonts w:ascii="Cambria" w:hAnsi="Cambria"/>
      <w:b w:val="0"/>
      <w:color w:val="365F91"/>
      <w:kern w:val="0"/>
      <w:sz w:val="28"/>
      <w:szCs w:val="28"/>
    </w:rPr>
  </w:style>
  <w:style w:type="paragraph" w:customStyle="1" w:styleId="75">
    <w:name w:val="封面落款"/>
    <w:basedOn w:val="1"/>
    <w:autoRedefine/>
    <w:qFormat/>
    <w:uiPriority w:val="0"/>
    <w:pPr>
      <w:spacing w:line="360" w:lineRule="auto"/>
      <w:jc w:val="center"/>
    </w:pPr>
    <w:rPr>
      <w:rFonts w:ascii="Arial" w:hAnsi="Arial" w:eastAsia="黑体"/>
      <w:sz w:val="32"/>
      <w:szCs w:val="28"/>
    </w:rPr>
  </w:style>
  <w:style w:type="paragraph" w:customStyle="1" w:styleId="76">
    <w:name w:val="目录"/>
    <w:link w:val="108"/>
    <w:autoRedefine/>
    <w:qFormat/>
    <w:uiPriority w:val="0"/>
    <w:pPr>
      <w:spacing w:before="156" w:after="156"/>
    </w:pPr>
    <w:rPr>
      <w:rFonts w:ascii="仿宋_GB2312" w:hAnsi="宋体" w:eastAsia="仿宋_GB2312" w:cs="Times New Roman"/>
      <w:sz w:val="28"/>
      <w:szCs w:val="28"/>
      <w:lang w:val="en-US" w:eastAsia="zh-CN" w:bidi="ar-SA"/>
    </w:rPr>
  </w:style>
  <w:style w:type="paragraph" w:customStyle="1" w:styleId="77">
    <w:name w:val="表格字体小四"/>
    <w:link w:val="107"/>
    <w:autoRedefine/>
    <w:qFormat/>
    <w:uiPriority w:val="0"/>
    <w:pPr>
      <w:widowControl w:val="0"/>
      <w:jc w:val="center"/>
    </w:pPr>
    <w:rPr>
      <w:rFonts w:ascii="Times New Roman" w:hAnsi="Times New Roman" w:eastAsia="Arial Unicode MS" w:cs="Times New Roman"/>
      <w:kern w:val="2"/>
      <w:sz w:val="24"/>
      <w:szCs w:val="24"/>
      <w:lang w:val="en-US" w:eastAsia="zh-CN" w:bidi="ar-SA"/>
    </w:rPr>
  </w:style>
  <w:style w:type="paragraph" w:customStyle="1" w:styleId="78">
    <w:name w:val="样式 标题 5 + 小四"/>
    <w:basedOn w:val="7"/>
    <w:autoRedefine/>
    <w:qFormat/>
    <w:uiPriority w:val="0"/>
    <w:pPr>
      <w:tabs>
        <w:tab w:val="left" w:pos="567"/>
      </w:tabs>
      <w:wordWrap w:val="0"/>
      <w:spacing w:line="377" w:lineRule="auto"/>
      <w:ind w:left="567" w:hanging="567"/>
      <w:jc w:val="left"/>
    </w:pPr>
  </w:style>
  <w:style w:type="paragraph" w:customStyle="1" w:styleId="79">
    <w:name w:val="表格格式"/>
    <w:basedOn w:val="1"/>
    <w:autoRedefine/>
    <w:qFormat/>
    <w:uiPriority w:val="0"/>
    <w:pPr>
      <w:adjustRightInd w:val="0"/>
      <w:snapToGrid w:val="0"/>
      <w:jc w:val="left"/>
      <w:textAlignment w:val="baseline"/>
    </w:pPr>
    <w:rPr>
      <w:rFonts w:ascii="宋体"/>
      <w:kern w:val="0"/>
      <w:szCs w:val="20"/>
    </w:rPr>
  </w:style>
  <w:style w:type="paragraph" w:customStyle="1" w:styleId="80">
    <w:name w:val="样式5"/>
    <w:basedOn w:val="5"/>
    <w:autoRedefine/>
    <w:qFormat/>
    <w:uiPriority w:val="0"/>
    <w:pPr>
      <w:ind w:firstLine="420"/>
    </w:pPr>
    <w:rPr>
      <w:sz w:val="21"/>
      <w:szCs w:val="21"/>
    </w:rPr>
  </w:style>
  <w:style w:type="paragraph" w:customStyle="1" w:styleId="81">
    <w:name w:val="标题2"/>
    <w:basedOn w:val="3"/>
    <w:next w:val="1"/>
    <w:link w:val="98"/>
    <w:autoRedefine/>
    <w:qFormat/>
    <w:uiPriority w:val="0"/>
    <w:pPr>
      <w:widowControl/>
      <w:spacing w:beforeLines="10" w:afterLines="10" w:line="240" w:lineRule="auto"/>
      <w:jc w:val="left"/>
    </w:pPr>
    <w:rPr>
      <w:rFonts w:ascii="Times New Roman" w:hAnsi="Times New Roman" w:eastAsia="黑体"/>
      <w:b/>
      <w:bCs/>
      <w:szCs w:val="24"/>
    </w:rPr>
  </w:style>
  <w:style w:type="paragraph" w:customStyle="1" w:styleId="82">
    <w:name w:val="三级"/>
    <w:basedOn w:val="3"/>
    <w:link w:val="109"/>
    <w:autoRedefine/>
    <w:qFormat/>
    <w:uiPriority w:val="0"/>
    <w:pPr>
      <w:widowControl/>
      <w:spacing w:beforeLines="10" w:afterLines="10" w:line="240" w:lineRule="auto"/>
      <w:ind w:left="720" w:hanging="720"/>
      <w:jc w:val="left"/>
    </w:pPr>
    <w:rPr>
      <w:rFonts w:ascii="Times New Roman" w:hAnsi="Times New Roman" w:eastAsia="黑体"/>
      <w:b/>
      <w:sz w:val="30"/>
      <w:szCs w:val="24"/>
    </w:rPr>
  </w:style>
  <w:style w:type="paragraph" w:customStyle="1" w:styleId="83">
    <w:name w:val="样式2"/>
    <w:basedOn w:val="1"/>
    <w:link w:val="121"/>
    <w:autoRedefine/>
    <w:qFormat/>
    <w:uiPriority w:val="0"/>
    <w:pPr>
      <w:spacing w:line="300" w:lineRule="auto"/>
      <w:jc w:val="center"/>
      <w:outlineLvl w:val="0"/>
    </w:pPr>
    <w:rPr>
      <w:b/>
      <w:sz w:val="24"/>
    </w:rPr>
  </w:style>
  <w:style w:type="paragraph" w:customStyle="1" w:styleId="84">
    <w:name w:val="Char1"/>
    <w:basedOn w:val="1"/>
    <w:autoRedefine/>
    <w:qFormat/>
    <w:uiPriority w:val="0"/>
    <w:pPr>
      <w:adjustRightInd w:val="0"/>
      <w:spacing w:line="360" w:lineRule="auto"/>
    </w:pPr>
    <w:rPr>
      <w:kern w:val="0"/>
      <w:sz w:val="24"/>
      <w:szCs w:val="20"/>
    </w:rPr>
  </w:style>
  <w:style w:type="paragraph" w:customStyle="1" w:styleId="85">
    <w:name w:val="表格标题(居中)"/>
    <w:basedOn w:val="1"/>
    <w:autoRedefine/>
    <w:qFormat/>
    <w:uiPriority w:val="0"/>
    <w:pPr>
      <w:adjustRightInd w:val="0"/>
      <w:snapToGrid w:val="0"/>
      <w:spacing w:line="300" w:lineRule="auto"/>
      <w:ind w:firstLine="480" w:firstLineChars="200"/>
      <w:jc w:val="center"/>
      <w:textAlignment w:val="baseline"/>
    </w:pPr>
    <w:rPr>
      <w:rFonts w:eastAsia="黑体"/>
      <w:kern w:val="0"/>
      <w:sz w:val="24"/>
    </w:rPr>
  </w:style>
  <w:style w:type="paragraph" w:customStyle="1" w:styleId="86">
    <w:name w:val="标题3"/>
    <w:basedOn w:val="4"/>
    <w:next w:val="1"/>
    <w:link w:val="142"/>
    <w:autoRedefine/>
    <w:qFormat/>
    <w:uiPriority w:val="0"/>
    <w:pPr>
      <w:tabs>
        <w:tab w:val="clear" w:pos="588"/>
      </w:tabs>
      <w:spacing w:beforeLines="10" w:afterLines="10" w:line="440" w:lineRule="exact"/>
      <w:ind w:left="720" w:hanging="720"/>
      <w:jc w:val="left"/>
    </w:pPr>
    <w:rPr>
      <w:rFonts w:ascii="Times New Roman" w:hAnsi="Times New Roman" w:eastAsia="黑体"/>
      <w:b/>
      <w:bCs/>
      <w:sz w:val="28"/>
    </w:rPr>
  </w:style>
  <w:style w:type="paragraph" w:customStyle="1" w:styleId="87">
    <w:name w:val="图表正文"/>
    <w:basedOn w:val="1"/>
    <w:autoRedefine/>
    <w:qFormat/>
    <w:uiPriority w:val="0"/>
    <w:pPr>
      <w:tabs>
        <w:tab w:val="left" w:pos="2117"/>
      </w:tabs>
      <w:spacing w:beforeLines="50" w:afterLines="50" w:line="276" w:lineRule="auto"/>
      <w:jc w:val="center"/>
    </w:pPr>
    <w:rPr>
      <w:rFonts w:ascii="宋体" w:hAnsi="宋体"/>
      <w:color w:val="000000"/>
      <w:szCs w:val="21"/>
    </w:rPr>
  </w:style>
  <w:style w:type="paragraph" w:customStyle="1" w:styleId="88">
    <w:name w:val="表格标题"/>
    <w:basedOn w:val="15"/>
    <w:link w:val="135"/>
    <w:autoRedefine/>
    <w:qFormat/>
    <w:uiPriority w:val="0"/>
    <w:pPr>
      <w:spacing w:before="152" w:after="160" w:line="420" w:lineRule="exact"/>
      <w:ind w:firstLine="480" w:firstLineChars="200"/>
      <w:jc w:val="center"/>
    </w:pPr>
    <w:rPr>
      <w:rFonts w:ascii="Arial" w:hAnsi="Arial" w:eastAsia="宋体"/>
      <w:sz w:val="24"/>
      <w:szCs w:val="24"/>
    </w:rPr>
  </w:style>
  <w:style w:type="paragraph" w:customStyle="1" w:styleId="89">
    <w:name w:val="正文小4号字缩进2字符"/>
    <w:autoRedefine/>
    <w:qFormat/>
    <w:uiPriority w:val="0"/>
    <w:pPr>
      <w:widowControl w:val="0"/>
      <w:tabs>
        <w:tab w:val="left" w:pos="2205"/>
      </w:tabs>
      <w:spacing w:line="400" w:lineRule="exact"/>
      <w:ind w:right="240" w:rightChars="100" w:firstLine="240" w:firstLineChars="100"/>
      <w:jc w:val="center"/>
    </w:pPr>
    <w:rPr>
      <w:rFonts w:ascii="宋体" w:hAnsi="宋体" w:eastAsia="Arial Unicode MS" w:cs="Times New Roman"/>
      <w:color w:val="000000"/>
      <w:kern w:val="2"/>
      <w:sz w:val="24"/>
      <w:szCs w:val="24"/>
      <w:lang w:val="en-US" w:eastAsia="zh-CN" w:bidi="ar-SA"/>
    </w:rPr>
  </w:style>
  <w:style w:type="paragraph" w:customStyle="1" w:styleId="90">
    <w:name w:val="图片"/>
    <w:basedOn w:val="1"/>
    <w:link w:val="123"/>
    <w:autoRedefine/>
    <w:qFormat/>
    <w:uiPriority w:val="0"/>
    <w:pPr>
      <w:jc w:val="center"/>
    </w:pPr>
    <w:rPr>
      <w:sz w:val="28"/>
      <w:szCs w:val="28"/>
    </w:rPr>
  </w:style>
  <w:style w:type="paragraph" w:customStyle="1" w:styleId="91">
    <w:name w:val="正文首行缩进1"/>
    <w:basedOn w:val="22"/>
    <w:autoRedefine/>
    <w:qFormat/>
    <w:uiPriority w:val="0"/>
    <w:pPr>
      <w:suppressAutoHyphens/>
      <w:spacing w:line="300" w:lineRule="auto"/>
      <w:ind w:left="426"/>
    </w:pPr>
    <w:rPr>
      <w:rFonts w:ascii="宋体" w:hAnsi="宋体"/>
      <w:szCs w:val="20"/>
    </w:rPr>
  </w:style>
  <w:style w:type="paragraph" w:customStyle="1" w:styleId="92">
    <w:name w:val="纯文本1"/>
    <w:basedOn w:val="1"/>
    <w:autoRedefine/>
    <w:qFormat/>
    <w:uiPriority w:val="0"/>
    <w:rPr>
      <w:rFonts w:ascii="宋体" w:hAnsi="Courier New"/>
    </w:rPr>
  </w:style>
  <w:style w:type="paragraph" w:customStyle="1" w:styleId="93">
    <w:name w:val="样式 首行不缩进"/>
    <w:basedOn w:val="1"/>
    <w:autoRedefine/>
    <w:qFormat/>
    <w:uiPriority w:val="0"/>
    <w:pPr>
      <w:spacing w:before="120" w:after="120" w:line="360" w:lineRule="auto"/>
      <w:jc w:val="center"/>
    </w:pPr>
    <w:rPr>
      <w:rFonts w:cs="宋体"/>
      <w:sz w:val="24"/>
      <w:szCs w:val="20"/>
    </w:rPr>
  </w:style>
  <w:style w:type="paragraph" w:customStyle="1" w:styleId="94">
    <w:name w:val="图题"/>
    <w:link w:val="117"/>
    <w:autoRedefine/>
    <w:qFormat/>
    <w:uiPriority w:val="0"/>
    <w:pPr>
      <w:jc w:val="center"/>
    </w:pPr>
    <w:rPr>
      <w:rFonts w:ascii="Times New Roman" w:hAnsi="Times New Roman" w:eastAsia="Arial Unicode MS" w:cs="Times New Roman"/>
      <w:kern w:val="2"/>
      <w:sz w:val="24"/>
      <w:szCs w:val="24"/>
      <w:lang w:val="en-US" w:eastAsia="zh-CN" w:bidi="ar-SA"/>
    </w:rPr>
  </w:style>
  <w:style w:type="paragraph" w:customStyle="1" w:styleId="95">
    <w:name w:val="小列表"/>
    <w:basedOn w:val="1"/>
    <w:link w:val="101"/>
    <w:autoRedefine/>
    <w:qFormat/>
    <w:uiPriority w:val="0"/>
    <w:pPr>
      <w:numPr>
        <w:ilvl w:val="0"/>
        <w:numId w:val="2"/>
      </w:numPr>
      <w:autoSpaceDE w:val="0"/>
      <w:autoSpaceDN w:val="0"/>
      <w:spacing w:line="440" w:lineRule="exact"/>
      <w:ind w:firstLine="0"/>
    </w:pPr>
    <w:rPr>
      <w:sz w:val="24"/>
      <w:szCs w:val="28"/>
    </w:rPr>
  </w:style>
  <w:style w:type="paragraph" w:customStyle="1" w:styleId="96">
    <w:name w:val="表格正文"/>
    <w:basedOn w:val="1"/>
    <w:autoRedefine/>
    <w:qFormat/>
    <w:uiPriority w:val="0"/>
    <w:pPr>
      <w:widowControl/>
      <w:snapToGrid w:val="0"/>
      <w:spacing w:before="60" w:after="60"/>
      <w:ind w:left="11"/>
      <w:jc w:val="center"/>
    </w:pPr>
    <w:rPr>
      <w:kern w:val="0"/>
      <w:szCs w:val="21"/>
    </w:rPr>
  </w:style>
  <w:style w:type="character" w:customStyle="1" w:styleId="97">
    <w:name w:val="题注 Char"/>
    <w:link w:val="15"/>
    <w:autoRedefine/>
    <w:qFormat/>
    <w:uiPriority w:val="0"/>
    <w:rPr>
      <w:rFonts w:ascii="华文中宋" w:eastAsia="华文中宋"/>
      <w:kern w:val="2"/>
      <w:sz w:val="36"/>
    </w:rPr>
  </w:style>
  <w:style w:type="character" w:customStyle="1" w:styleId="98">
    <w:name w:val="标题2 Char Char"/>
    <w:link w:val="81"/>
    <w:autoRedefine/>
    <w:qFormat/>
    <w:uiPriority w:val="0"/>
    <w:rPr>
      <w:rFonts w:eastAsia="黑体"/>
      <w:kern w:val="2"/>
      <w:sz w:val="32"/>
      <w:szCs w:val="24"/>
    </w:rPr>
  </w:style>
  <w:style w:type="character" w:customStyle="1" w:styleId="99">
    <w:name w:val="批注框文本 Char"/>
    <w:link w:val="32"/>
    <w:autoRedefine/>
    <w:qFormat/>
    <w:uiPriority w:val="0"/>
    <w:rPr>
      <w:kern w:val="2"/>
      <w:sz w:val="18"/>
      <w:szCs w:val="18"/>
    </w:rPr>
  </w:style>
  <w:style w:type="character" w:customStyle="1" w:styleId="100">
    <w:name w:val="refresh"/>
    <w:basedOn w:val="52"/>
    <w:autoRedefine/>
    <w:qFormat/>
    <w:uiPriority w:val="0"/>
  </w:style>
  <w:style w:type="character" w:customStyle="1" w:styleId="101">
    <w:name w:val="小列表 Char Char"/>
    <w:link w:val="95"/>
    <w:autoRedefine/>
    <w:qFormat/>
    <w:uiPriority w:val="0"/>
    <w:rPr>
      <w:rFonts w:eastAsia="Arial Unicode MS"/>
      <w:kern w:val="2"/>
      <w:sz w:val="24"/>
      <w:szCs w:val="28"/>
    </w:rPr>
  </w:style>
  <w:style w:type="character" w:customStyle="1" w:styleId="102">
    <w:name w:val="del"/>
    <w:basedOn w:val="52"/>
    <w:autoRedefine/>
    <w:qFormat/>
    <w:uiPriority w:val="0"/>
  </w:style>
  <w:style w:type="character" w:customStyle="1" w:styleId="103">
    <w:name w:val="批注文字 Char1"/>
    <w:link w:val="19"/>
    <w:autoRedefine/>
    <w:qFormat/>
    <w:uiPriority w:val="0"/>
    <w:rPr>
      <w:rFonts w:ascii="Tahoma" w:hAnsi="Tahoma"/>
      <w:kern w:val="2"/>
      <w:sz w:val="21"/>
      <w:szCs w:val="24"/>
    </w:rPr>
  </w:style>
  <w:style w:type="character" w:customStyle="1" w:styleId="104">
    <w:name w:val="正文缩进 Char1"/>
    <w:autoRedefine/>
    <w:qFormat/>
    <w:uiPriority w:val="0"/>
    <w:rPr>
      <w:rFonts w:eastAsia="宋体"/>
      <w:kern w:val="2"/>
      <w:sz w:val="21"/>
      <w:szCs w:val="24"/>
      <w:lang w:val="en-US" w:eastAsia="zh-CN" w:bidi="ar-SA"/>
    </w:rPr>
  </w:style>
  <w:style w:type="character" w:customStyle="1" w:styleId="105">
    <w:name w:val="标题 5 Char"/>
    <w:link w:val="7"/>
    <w:autoRedefine/>
    <w:qFormat/>
    <w:uiPriority w:val="99"/>
    <w:rPr>
      <w:b/>
      <w:bCs/>
      <w:kern w:val="2"/>
      <w:sz w:val="24"/>
      <w:szCs w:val="28"/>
    </w:rPr>
  </w:style>
  <w:style w:type="character" w:customStyle="1" w:styleId="106">
    <w:name w:val="标题 2 Char"/>
    <w:link w:val="3"/>
    <w:autoRedefine/>
    <w:qFormat/>
    <w:uiPriority w:val="99"/>
    <w:rPr>
      <w:rFonts w:ascii="Cambria" w:hAnsi="Cambria"/>
      <w:b/>
      <w:bCs/>
      <w:kern w:val="2"/>
      <w:sz w:val="32"/>
      <w:szCs w:val="32"/>
    </w:rPr>
  </w:style>
  <w:style w:type="character" w:customStyle="1" w:styleId="107">
    <w:name w:val="表格字体小四 Char Char"/>
    <w:link w:val="77"/>
    <w:autoRedefine/>
    <w:qFormat/>
    <w:uiPriority w:val="0"/>
    <w:rPr>
      <w:kern w:val="2"/>
      <w:sz w:val="24"/>
      <w:szCs w:val="24"/>
      <w:lang w:val="en-US" w:eastAsia="zh-CN" w:bidi="ar-SA"/>
    </w:rPr>
  </w:style>
  <w:style w:type="character" w:customStyle="1" w:styleId="108">
    <w:name w:val="目录 Char Char"/>
    <w:link w:val="76"/>
    <w:autoRedefine/>
    <w:qFormat/>
    <w:uiPriority w:val="0"/>
    <w:rPr>
      <w:rFonts w:ascii="仿宋_GB2312" w:hAnsi="宋体" w:eastAsia="仿宋_GB2312"/>
      <w:sz w:val="28"/>
      <w:szCs w:val="28"/>
      <w:lang w:val="en-US" w:eastAsia="zh-CN" w:bidi="ar-SA"/>
    </w:rPr>
  </w:style>
  <w:style w:type="character" w:customStyle="1" w:styleId="109">
    <w:name w:val="三级 Char Char"/>
    <w:link w:val="82"/>
    <w:autoRedefine/>
    <w:qFormat/>
    <w:uiPriority w:val="0"/>
    <w:rPr>
      <w:rFonts w:eastAsia="黑体"/>
      <w:bCs/>
      <w:kern w:val="2"/>
      <w:sz w:val="30"/>
      <w:szCs w:val="24"/>
    </w:rPr>
  </w:style>
  <w:style w:type="character" w:customStyle="1" w:styleId="110">
    <w:name w:val="label"/>
    <w:basedOn w:val="52"/>
    <w:autoRedefine/>
    <w:qFormat/>
    <w:uiPriority w:val="0"/>
  </w:style>
  <w:style w:type="character" w:customStyle="1" w:styleId="111">
    <w:name w:val="标题 8 Char"/>
    <w:link w:val="10"/>
    <w:autoRedefine/>
    <w:qFormat/>
    <w:uiPriority w:val="99"/>
    <w:rPr>
      <w:rFonts w:ascii="Arial" w:hAnsi="Arial" w:eastAsia="黑体"/>
      <w:kern w:val="2"/>
      <w:sz w:val="24"/>
      <w:szCs w:val="28"/>
    </w:rPr>
  </w:style>
  <w:style w:type="character" w:customStyle="1" w:styleId="112">
    <w:name w:val="open2"/>
    <w:basedOn w:val="52"/>
    <w:autoRedefine/>
    <w:qFormat/>
    <w:uiPriority w:val="0"/>
  </w:style>
  <w:style w:type="character" w:customStyle="1" w:styleId="113">
    <w:name w:val="15"/>
    <w:autoRedefine/>
    <w:qFormat/>
    <w:uiPriority w:val="0"/>
    <w:rPr>
      <w:rFonts w:hint="default" w:ascii="Calibri" w:hAnsi="Calibri" w:cs="Calibri"/>
      <w:color w:val="0000FF"/>
      <w:u w:val="single"/>
    </w:rPr>
  </w:style>
  <w:style w:type="character" w:customStyle="1" w:styleId="114">
    <w:name w:val="trans"/>
    <w:basedOn w:val="52"/>
    <w:autoRedefine/>
    <w:qFormat/>
    <w:uiPriority w:val="0"/>
  </w:style>
  <w:style w:type="character" w:customStyle="1" w:styleId="115">
    <w:name w:val="del2"/>
    <w:basedOn w:val="52"/>
    <w:autoRedefine/>
    <w:qFormat/>
    <w:uiPriority w:val="0"/>
  </w:style>
  <w:style w:type="character" w:customStyle="1" w:styleId="116">
    <w:name w:val="标题 3 Char"/>
    <w:link w:val="4"/>
    <w:autoRedefine/>
    <w:qFormat/>
    <w:uiPriority w:val="99"/>
    <w:rPr>
      <w:rFonts w:ascii="Tahoma" w:hAnsi="Tahoma"/>
      <w:b/>
      <w:bCs/>
      <w:kern w:val="2"/>
      <w:sz w:val="32"/>
      <w:szCs w:val="32"/>
    </w:rPr>
  </w:style>
  <w:style w:type="character" w:customStyle="1" w:styleId="117">
    <w:name w:val="图题 Char Char"/>
    <w:link w:val="94"/>
    <w:autoRedefine/>
    <w:qFormat/>
    <w:uiPriority w:val="0"/>
    <w:rPr>
      <w:kern w:val="2"/>
      <w:sz w:val="24"/>
      <w:szCs w:val="24"/>
      <w:lang w:val="en-US" w:eastAsia="zh-CN" w:bidi="ar-SA"/>
    </w:rPr>
  </w:style>
  <w:style w:type="character" w:customStyle="1" w:styleId="118">
    <w:name w:val="pagelinks"/>
    <w:basedOn w:val="52"/>
    <w:autoRedefine/>
    <w:qFormat/>
    <w:uiPriority w:val="0"/>
  </w:style>
  <w:style w:type="character" w:customStyle="1" w:styleId="119">
    <w:name w:val="morewin"/>
    <w:basedOn w:val="52"/>
    <w:autoRedefine/>
    <w:qFormat/>
    <w:uiPriority w:val="0"/>
  </w:style>
  <w:style w:type="character" w:customStyle="1" w:styleId="120">
    <w:name w:val="open"/>
    <w:basedOn w:val="52"/>
    <w:autoRedefine/>
    <w:qFormat/>
    <w:uiPriority w:val="0"/>
  </w:style>
  <w:style w:type="character" w:customStyle="1" w:styleId="121">
    <w:name w:val="样式2 Char Char"/>
    <w:link w:val="83"/>
    <w:autoRedefine/>
    <w:qFormat/>
    <w:uiPriority w:val="0"/>
    <w:rPr>
      <w:b/>
      <w:kern w:val="2"/>
      <w:sz w:val="24"/>
      <w:szCs w:val="24"/>
    </w:rPr>
  </w:style>
  <w:style w:type="character" w:customStyle="1" w:styleId="122">
    <w:name w:val="批注文字 Char"/>
    <w:autoRedefine/>
    <w:qFormat/>
    <w:uiPriority w:val="99"/>
    <w:rPr>
      <w:kern w:val="2"/>
      <w:sz w:val="24"/>
      <w:szCs w:val="28"/>
    </w:rPr>
  </w:style>
  <w:style w:type="character" w:customStyle="1" w:styleId="123">
    <w:name w:val="图片 Char Char"/>
    <w:link w:val="90"/>
    <w:autoRedefine/>
    <w:qFormat/>
    <w:uiPriority w:val="0"/>
    <w:rPr>
      <w:kern w:val="2"/>
      <w:sz w:val="28"/>
      <w:szCs w:val="28"/>
    </w:rPr>
  </w:style>
  <w:style w:type="character" w:customStyle="1" w:styleId="124">
    <w:name w:val="标题 1 Char"/>
    <w:link w:val="2"/>
    <w:autoRedefine/>
    <w:qFormat/>
    <w:uiPriority w:val="99"/>
    <w:rPr>
      <w:rFonts w:ascii="Tahoma" w:hAnsi="Tahoma"/>
      <w:b/>
      <w:bCs/>
      <w:kern w:val="44"/>
      <w:sz w:val="24"/>
      <w:szCs w:val="44"/>
    </w:rPr>
  </w:style>
  <w:style w:type="character" w:customStyle="1" w:styleId="125">
    <w:name w:val="页眉 Char"/>
    <w:link w:val="34"/>
    <w:autoRedefine/>
    <w:qFormat/>
    <w:uiPriority w:val="99"/>
    <w:rPr>
      <w:rFonts w:ascii="Tahoma" w:hAnsi="Tahoma"/>
      <w:kern w:val="2"/>
      <w:sz w:val="18"/>
      <w:szCs w:val="18"/>
    </w:rPr>
  </w:style>
  <w:style w:type="character" w:customStyle="1" w:styleId="126">
    <w:name w:val="标题 7 Char"/>
    <w:link w:val="9"/>
    <w:autoRedefine/>
    <w:qFormat/>
    <w:uiPriority w:val="99"/>
    <w:rPr>
      <w:b/>
      <w:bCs/>
      <w:kern w:val="2"/>
      <w:sz w:val="24"/>
      <w:szCs w:val="28"/>
    </w:rPr>
  </w:style>
  <w:style w:type="character" w:customStyle="1" w:styleId="127">
    <w:name w:val="标题 Char"/>
    <w:link w:val="46"/>
    <w:autoRedefine/>
    <w:qFormat/>
    <w:uiPriority w:val="0"/>
    <w:rPr>
      <w:rFonts w:ascii="Cambria" w:hAnsi="Cambria"/>
      <w:b/>
      <w:bCs/>
      <w:kern w:val="2"/>
      <w:sz w:val="32"/>
      <w:szCs w:val="32"/>
    </w:rPr>
  </w:style>
  <w:style w:type="character" w:customStyle="1" w:styleId="128">
    <w:name w:val="标题 9 Char"/>
    <w:link w:val="11"/>
    <w:autoRedefine/>
    <w:qFormat/>
    <w:uiPriority w:val="99"/>
    <w:rPr>
      <w:rFonts w:ascii="Arial" w:hAnsi="Arial" w:eastAsia="黑体"/>
      <w:kern w:val="2"/>
      <w:sz w:val="24"/>
      <w:szCs w:val="21"/>
    </w:rPr>
  </w:style>
  <w:style w:type="character" w:customStyle="1" w:styleId="129">
    <w:name w:val="error"/>
    <w:autoRedefine/>
    <w:qFormat/>
    <w:uiPriority w:val="0"/>
    <w:rPr>
      <w:color w:val="CC0000"/>
    </w:rPr>
  </w:style>
  <w:style w:type="character" w:customStyle="1" w:styleId="130">
    <w:name w:val="add"/>
    <w:basedOn w:val="52"/>
    <w:autoRedefine/>
    <w:qFormat/>
    <w:uiPriority w:val="0"/>
  </w:style>
  <w:style w:type="character" w:customStyle="1" w:styleId="131">
    <w:name w:val="批注主题 Char"/>
    <w:link w:val="47"/>
    <w:autoRedefine/>
    <w:qFormat/>
    <w:uiPriority w:val="99"/>
    <w:rPr>
      <w:rFonts w:ascii="Tahoma" w:hAnsi="Tahoma"/>
      <w:b/>
      <w:bCs/>
      <w:kern w:val="2"/>
      <w:sz w:val="24"/>
      <w:szCs w:val="28"/>
    </w:rPr>
  </w:style>
  <w:style w:type="character" w:customStyle="1" w:styleId="132">
    <w:name w:val="pagebanner"/>
    <w:basedOn w:val="52"/>
    <w:autoRedefine/>
    <w:qFormat/>
    <w:uiPriority w:val="0"/>
  </w:style>
  <w:style w:type="character" w:customStyle="1" w:styleId="133">
    <w:name w:val="文档结构图 Char"/>
    <w:link w:val="17"/>
    <w:autoRedefine/>
    <w:qFormat/>
    <w:uiPriority w:val="99"/>
    <w:rPr>
      <w:rFonts w:ascii="宋体"/>
      <w:kern w:val="2"/>
      <w:sz w:val="18"/>
      <w:szCs w:val="18"/>
    </w:rPr>
  </w:style>
  <w:style w:type="character" w:customStyle="1" w:styleId="134">
    <w:name w:val="正文首行缩进 Char"/>
    <w:link w:val="48"/>
    <w:autoRedefine/>
    <w:qFormat/>
    <w:uiPriority w:val="0"/>
    <w:rPr>
      <w:rFonts w:ascii="Tahoma" w:hAnsi="Tahoma"/>
      <w:kern w:val="2"/>
      <w:sz w:val="21"/>
      <w:szCs w:val="24"/>
    </w:rPr>
  </w:style>
  <w:style w:type="character" w:customStyle="1" w:styleId="135">
    <w:name w:val="表格标题 Char Char"/>
    <w:link w:val="88"/>
    <w:autoRedefine/>
    <w:qFormat/>
    <w:uiPriority w:val="0"/>
    <w:rPr>
      <w:rFonts w:ascii="Arial" w:hAnsi="Arial" w:cs="Arial"/>
      <w:kern w:val="2"/>
      <w:sz w:val="24"/>
      <w:szCs w:val="24"/>
    </w:rPr>
  </w:style>
  <w:style w:type="character" w:customStyle="1" w:styleId="136">
    <w:name w:val="标题 6 Char"/>
    <w:link w:val="8"/>
    <w:autoRedefine/>
    <w:qFormat/>
    <w:uiPriority w:val="99"/>
    <w:rPr>
      <w:rFonts w:ascii="Arial" w:hAnsi="Arial" w:eastAsia="黑体"/>
      <w:b/>
      <w:bCs/>
      <w:kern w:val="2"/>
      <w:sz w:val="24"/>
      <w:szCs w:val="28"/>
    </w:rPr>
  </w:style>
  <w:style w:type="character" w:customStyle="1" w:styleId="137">
    <w:name w:val="正文文本 Char"/>
    <w:link w:val="22"/>
    <w:autoRedefine/>
    <w:qFormat/>
    <w:uiPriority w:val="99"/>
    <w:rPr>
      <w:rFonts w:ascii="Tahoma" w:hAnsi="Tahoma"/>
      <w:kern w:val="2"/>
      <w:sz w:val="21"/>
      <w:szCs w:val="24"/>
    </w:rPr>
  </w:style>
  <w:style w:type="character" w:customStyle="1" w:styleId="138">
    <w:name w:val="10"/>
    <w:autoRedefine/>
    <w:qFormat/>
    <w:uiPriority w:val="0"/>
    <w:rPr>
      <w:rFonts w:hint="default" w:ascii="Calibri" w:hAnsi="Calibri" w:cs="Calibri"/>
    </w:rPr>
  </w:style>
  <w:style w:type="character" w:customStyle="1" w:styleId="139">
    <w:name w:val="正文缩进 Char"/>
    <w:link w:val="5"/>
    <w:autoRedefine/>
    <w:qFormat/>
    <w:uiPriority w:val="0"/>
    <w:rPr>
      <w:kern w:val="2"/>
      <w:sz w:val="24"/>
    </w:rPr>
  </w:style>
  <w:style w:type="character" w:customStyle="1" w:styleId="140">
    <w:name w:val="页脚 Char"/>
    <w:link w:val="33"/>
    <w:autoRedefine/>
    <w:qFormat/>
    <w:uiPriority w:val="99"/>
    <w:rPr>
      <w:rFonts w:ascii="Tahoma" w:hAnsi="Tahoma"/>
      <w:kern w:val="2"/>
      <w:sz w:val="18"/>
      <w:szCs w:val="18"/>
    </w:rPr>
  </w:style>
  <w:style w:type="character" w:customStyle="1" w:styleId="141">
    <w:name w:val="mod"/>
    <w:basedOn w:val="52"/>
    <w:autoRedefine/>
    <w:qFormat/>
    <w:uiPriority w:val="0"/>
  </w:style>
  <w:style w:type="character" w:customStyle="1" w:styleId="142">
    <w:name w:val="标题3 Char Char"/>
    <w:link w:val="86"/>
    <w:autoRedefine/>
    <w:qFormat/>
    <w:uiPriority w:val="0"/>
    <w:rPr>
      <w:rFonts w:eastAsia="黑体"/>
      <w:kern w:val="2"/>
      <w:sz w:val="28"/>
      <w:szCs w:val="32"/>
    </w:rPr>
  </w:style>
  <w:style w:type="character" w:customStyle="1" w:styleId="143">
    <w:name w:val="标题 4 Char"/>
    <w:link w:val="6"/>
    <w:autoRedefine/>
    <w:qFormat/>
    <w:uiPriority w:val="99"/>
    <w:rPr>
      <w:b/>
      <w:sz w:val="24"/>
      <w:szCs w:val="24"/>
    </w:rPr>
  </w:style>
  <w:style w:type="paragraph" w:customStyle="1" w:styleId="144">
    <w:name w:val="默认"/>
    <w:autoRedefine/>
    <w:qFormat/>
    <w:uiPriority w:val="0"/>
    <w:pPr>
      <w:framePr w:wrap="around" w:vAnchor="margin" w:hAnchor="text" w:y="1"/>
      <w:spacing w:before="160"/>
    </w:pPr>
    <w:rPr>
      <w:rFonts w:ascii="Helvetica Neue" w:hAnsi="Helvetica Neue" w:eastAsia="Helvetica Neue" w:cs="Helvetica Neue"/>
      <w:color w:val="000000"/>
      <w:sz w:val="24"/>
      <w:szCs w:val="24"/>
      <w:lang w:val="en-US" w:eastAsia="zh-CN" w:bidi="ar-SA"/>
    </w:rPr>
  </w:style>
  <w:style w:type="character" w:customStyle="1" w:styleId="145">
    <w:name w:val="redfilefwwh"/>
    <w:basedOn w:val="52"/>
    <w:autoRedefine/>
    <w:qFormat/>
    <w:uiPriority w:val="0"/>
    <w:rPr>
      <w:color w:val="BA2636"/>
      <w:sz w:val="12"/>
      <w:szCs w:val="12"/>
    </w:rPr>
  </w:style>
  <w:style w:type="character" w:customStyle="1" w:styleId="146">
    <w:name w:val="gjfg"/>
    <w:basedOn w:val="52"/>
    <w:autoRedefine/>
    <w:qFormat/>
    <w:uiPriority w:val="0"/>
  </w:style>
  <w:style w:type="character" w:customStyle="1" w:styleId="147">
    <w:name w:val="redfilenumber"/>
    <w:basedOn w:val="52"/>
    <w:autoRedefine/>
    <w:qFormat/>
    <w:uiPriority w:val="0"/>
    <w:rPr>
      <w:color w:val="BA2636"/>
      <w:sz w:val="12"/>
      <w:szCs w:val="12"/>
    </w:rPr>
  </w:style>
  <w:style w:type="character" w:customStyle="1" w:styleId="148">
    <w:name w:val="qxdate"/>
    <w:basedOn w:val="52"/>
    <w:autoRedefine/>
    <w:qFormat/>
    <w:uiPriority w:val="0"/>
    <w:rPr>
      <w:color w:val="333333"/>
      <w:sz w:val="12"/>
      <w:szCs w:val="12"/>
    </w:rPr>
  </w:style>
  <w:style w:type="character" w:customStyle="1" w:styleId="149">
    <w:name w:val="prev"/>
    <w:basedOn w:val="52"/>
    <w:autoRedefine/>
    <w:qFormat/>
    <w:uiPriority w:val="0"/>
    <w:rPr>
      <w:rFonts w:ascii="微软雅黑" w:hAnsi="微软雅黑" w:eastAsia="微软雅黑" w:cs="微软雅黑"/>
      <w:sz w:val="14"/>
      <w:szCs w:val="14"/>
    </w:rPr>
  </w:style>
  <w:style w:type="character" w:customStyle="1" w:styleId="150">
    <w:name w:val="cfdate"/>
    <w:basedOn w:val="52"/>
    <w:autoRedefine/>
    <w:qFormat/>
    <w:uiPriority w:val="0"/>
    <w:rPr>
      <w:color w:val="333333"/>
      <w:sz w:val="12"/>
      <w:szCs w:val="12"/>
    </w:rPr>
  </w:style>
  <w:style w:type="character" w:customStyle="1" w:styleId="151">
    <w:name w:val="displayarti"/>
    <w:basedOn w:val="52"/>
    <w:autoRedefine/>
    <w:qFormat/>
    <w:uiPriority w:val="0"/>
    <w:rPr>
      <w:color w:val="FFFFFF"/>
      <w:shd w:val="clear" w:color="auto" w:fill="A00000"/>
    </w:rPr>
  </w:style>
  <w:style w:type="character" w:customStyle="1" w:styleId="152">
    <w:name w:val="next2"/>
    <w:basedOn w:val="52"/>
    <w:autoRedefine/>
    <w:qFormat/>
    <w:uiPriority w:val="0"/>
    <w:rPr>
      <w:rFonts w:hint="eastAsia" w:ascii="微软雅黑" w:hAnsi="微软雅黑" w:eastAsia="微软雅黑" w:cs="微软雅黑"/>
      <w:sz w:val="14"/>
      <w:szCs w:val="14"/>
    </w:rPr>
  </w:style>
  <w:style w:type="character" w:customStyle="1" w:styleId="153">
    <w:name w:val="next3"/>
    <w:basedOn w:val="52"/>
    <w:autoRedefine/>
    <w:qFormat/>
    <w:uiPriority w:val="0"/>
    <w:rPr>
      <w:color w:val="888888"/>
    </w:rPr>
  </w:style>
  <w:style w:type="character" w:customStyle="1" w:styleId="154">
    <w:name w:val="next"/>
    <w:basedOn w:val="52"/>
    <w:autoRedefine/>
    <w:qFormat/>
    <w:uiPriority w:val="0"/>
    <w:rPr>
      <w:rFonts w:ascii="微软雅黑" w:hAnsi="微软雅黑" w:eastAsia="微软雅黑" w:cs="微软雅黑"/>
      <w:sz w:val="14"/>
      <w:szCs w:val="14"/>
    </w:rPr>
  </w:style>
  <w:style w:type="character" w:customStyle="1" w:styleId="155">
    <w:name w:val="prev1"/>
    <w:basedOn w:val="52"/>
    <w:autoRedefine/>
    <w:qFormat/>
    <w:uiPriority w:val="0"/>
    <w:rPr>
      <w:color w:val="888888"/>
    </w:rPr>
  </w:style>
  <w:style w:type="paragraph" w:customStyle="1" w:styleId="156">
    <w:name w:val="Body text|21"/>
    <w:basedOn w:val="1"/>
    <w:link w:val="158"/>
    <w:autoRedefine/>
    <w:qFormat/>
    <w:uiPriority w:val="0"/>
    <w:pPr>
      <w:shd w:val="clear" w:color="auto" w:fill="FFFFFF"/>
      <w:spacing w:before="4340" w:after="840" w:line="240" w:lineRule="exact"/>
      <w:jc w:val="center"/>
    </w:pPr>
    <w:rPr>
      <w:rFonts w:ascii="PMingLiU" w:hAnsi="PMingLiU" w:eastAsia="PMingLiU" w:cs="PMingLiU"/>
      <w:spacing w:val="30"/>
    </w:rPr>
  </w:style>
  <w:style w:type="character" w:customStyle="1" w:styleId="157">
    <w:name w:val="Body text|2 + Spacing 0 pt"/>
    <w:basedOn w:val="158"/>
    <w:autoRedefine/>
    <w:qFormat/>
    <w:uiPriority w:val="0"/>
    <w:rPr>
      <w:rFonts w:ascii="PMingLiU" w:hAnsi="PMingLiU" w:eastAsia="PMingLiU" w:cs="PMingLiU"/>
      <w:color w:val="000000"/>
      <w:spacing w:val="0"/>
      <w:w w:val="100"/>
      <w:position w:val="0"/>
      <w:sz w:val="24"/>
      <w:szCs w:val="24"/>
      <w:u w:val="none"/>
      <w:lang w:val="zh-CN" w:eastAsia="zh-CN" w:bidi="zh-CN"/>
    </w:rPr>
  </w:style>
  <w:style w:type="character" w:customStyle="1" w:styleId="158">
    <w:name w:val="Body text|2_"/>
    <w:basedOn w:val="52"/>
    <w:link w:val="156"/>
    <w:autoRedefine/>
    <w:qFormat/>
    <w:uiPriority w:val="0"/>
    <w:rPr>
      <w:rFonts w:ascii="PMingLiU" w:hAnsi="PMingLiU" w:eastAsia="PMingLiU" w:cs="PMingLiU"/>
      <w:spacing w:val="30"/>
    </w:rPr>
  </w:style>
  <w:style w:type="character" w:customStyle="1" w:styleId="159">
    <w:name w:val="Body text|2 + Spacing 3 pt"/>
    <w:basedOn w:val="158"/>
    <w:autoRedefine/>
    <w:qFormat/>
    <w:uiPriority w:val="0"/>
    <w:rPr>
      <w:rFonts w:ascii="PMingLiU" w:hAnsi="PMingLiU" w:eastAsia="PMingLiU" w:cs="PMingLiU"/>
      <w:color w:val="000000"/>
      <w:spacing w:val="60"/>
      <w:w w:val="100"/>
      <w:position w:val="0"/>
      <w:sz w:val="24"/>
      <w:szCs w:val="24"/>
      <w:u w:val="none"/>
      <w:lang w:val="zh-CN" w:eastAsia="zh-CN" w:bidi="zh-CN"/>
    </w:rPr>
  </w:style>
  <w:style w:type="paragraph" w:customStyle="1" w:styleId="160">
    <w:name w:val="图文"/>
    <w:basedOn w:val="1"/>
    <w:autoRedefine/>
    <w:qFormat/>
    <w:uiPriority w:val="0"/>
    <w:pPr>
      <w:adjustRightInd w:val="0"/>
      <w:snapToGrid w:val="0"/>
      <w:spacing w:after="50" w:line="360" w:lineRule="auto"/>
    </w:pPr>
    <w:rPr>
      <w:sz w:val="24"/>
    </w:rPr>
  </w:style>
  <w:style w:type="paragraph" w:customStyle="1" w:styleId="161">
    <w:name w:val="页眉与页脚"/>
    <w:autoRedefine/>
    <w:qFormat/>
    <w:uiPriority w:val="0"/>
    <w:pPr>
      <w:framePr w:wrap="around" w:vAnchor="margin" w:hAnchor="text" w:y="1"/>
      <w:tabs>
        <w:tab w:val="right" w:pos="9020"/>
      </w:tabs>
    </w:pPr>
    <w:rPr>
      <w:rFonts w:ascii="Helvetica Neue" w:hAnsi="Helvetica Neue" w:eastAsia="Helvetica Neue" w:cs="Helvetica Neue"/>
      <w:color w:val="000000"/>
      <w:sz w:val="24"/>
      <w:szCs w:val="24"/>
      <w:lang w:val="en-US" w:eastAsia="zh-CN" w:bidi="ar-SA"/>
    </w:rPr>
  </w:style>
  <w:style w:type="paragraph" w:customStyle="1" w:styleId="162">
    <w:name w:val="Char"/>
    <w:basedOn w:val="1"/>
    <w:autoRedefine/>
    <w:qFormat/>
    <w:uiPriority w:val="0"/>
    <w:rPr>
      <w:rFonts w:ascii="仿宋_GB2312" w:eastAsia="仿宋_GB2312"/>
      <w:b/>
      <w:sz w:val="32"/>
      <w:szCs w:val="32"/>
    </w:rPr>
  </w:style>
  <w:style w:type="paragraph" w:customStyle="1" w:styleId="163">
    <w:name w:val="目录文字"/>
    <w:basedOn w:val="1"/>
    <w:autoRedefine/>
    <w:qFormat/>
    <w:uiPriority w:val="0"/>
    <w:pPr>
      <w:widowControl/>
      <w:spacing w:line="480" w:lineRule="auto"/>
      <w:jc w:val="left"/>
    </w:pPr>
    <w:rPr>
      <w:rFonts w:ascii="宋体" w:hAnsi="宋体" w:eastAsia="宋体"/>
      <w:kern w:val="0"/>
      <w:sz w:val="24"/>
      <w:szCs w:val="20"/>
    </w:rPr>
  </w:style>
  <w:style w:type="paragraph" w:customStyle="1" w:styleId="164">
    <w:name w:val="1"/>
    <w:basedOn w:val="1"/>
    <w:next w:val="23"/>
    <w:autoRedefine/>
    <w:qFormat/>
    <w:uiPriority w:val="99"/>
    <w:pPr>
      <w:widowControl/>
      <w:overflowPunct w:val="0"/>
      <w:autoSpaceDE w:val="0"/>
      <w:autoSpaceDN w:val="0"/>
      <w:adjustRightInd w:val="0"/>
      <w:spacing w:line="360" w:lineRule="auto"/>
      <w:ind w:firstLine="540"/>
      <w:textAlignment w:val="baseline"/>
    </w:pPr>
    <w:rPr>
      <w:rFonts w:ascii="宋体" w:hAnsi="MS Sans Serif" w:eastAsia="宋体"/>
      <w:spacing w:val="12"/>
      <w:kern w:val="0"/>
      <w:sz w:val="24"/>
      <w:szCs w:val="20"/>
    </w:rPr>
  </w:style>
  <w:style w:type="character" w:customStyle="1" w:styleId="165">
    <w:name w:val="正文文本缩进 2 Char"/>
    <w:basedOn w:val="52"/>
    <w:link w:val="31"/>
    <w:autoRedefine/>
    <w:qFormat/>
    <w:uiPriority w:val="99"/>
    <w:rPr>
      <w:rFonts w:ascii="Times New Roman" w:hAnsi="Times New Roman" w:eastAsia="宋体" w:cs="Times New Roman"/>
      <w:kern w:val="2"/>
      <w:sz w:val="24"/>
      <w:szCs w:val="30"/>
    </w:rPr>
  </w:style>
  <w:style w:type="paragraph" w:customStyle="1" w:styleId="166">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eastAsia="宋体"/>
      <w:kern w:val="0"/>
      <w:sz w:val="20"/>
      <w:szCs w:val="20"/>
    </w:rPr>
  </w:style>
  <w:style w:type="paragraph" w:customStyle="1" w:styleId="167">
    <w:name w:val="xl24"/>
    <w:basedOn w:val="1"/>
    <w:autoRedefine/>
    <w:qFormat/>
    <w:uiPriority w:val="99"/>
    <w:pPr>
      <w:widowControl/>
      <w:spacing w:before="100" w:after="100"/>
      <w:jc w:val="center"/>
      <w:textAlignment w:val="center"/>
    </w:pPr>
    <w:rPr>
      <w:rFonts w:ascii="宋体" w:hAnsi="宋体" w:eastAsia="宋体"/>
      <w:kern w:val="0"/>
      <w:sz w:val="24"/>
      <w:szCs w:val="20"/>
    </w:rPr>
  </w:style>
  <w:style w:type="paragraph" w:customStyle="1" w:styleId="168">
    <w:name w:val="倪芳"/>
    <w:basedOn w:val="1"/>
    <w:autoRedefine/>
    <w:qFormat/>
    <w:uiPriority w:val="0"/>
    <w:pPr>
      <w:spacing w:beforeLines="25" w:afterLines="15" w:line="400" w:lineRule="exact"/>
    </w:pPr>
    <w:rPr>
      <w:rFonts w:ascii="宋体" w:hAnsi="Courier New" w:eastAsia="宋体" w:cs="Courier New"/>
      <w:sz w:val="24"/>
      <w:szCs w:val="21"/>
    </w:rPr>
  </w:style>
  <w:style w:type="character" w:customStyle="1" w:styleId="169">
    <w:name w:val="正文文本缩进 Char"/>
    <w:basedOn w:val="52"/>
    <w:link w:val="23"/>
    <w:autoRedefine/>
    <w:qFormat/>
    <w:uiPriority w:val="99"/>
    <w:rPr>
      <w:rFonts w:ascii="Tahoma" w:hAnsi="Tahoma" w:eastAsia="Arial Unicode MS" w:cs="Times New Roman"/>
      <w:kern w:val="2"/>
      <w:sz w:val="21"/>
      <w:szCs w:val="24"/>
    </w:rPr>
  </w:style>
  <w:style w:type="character" w:customStyle="1" w:styleId="170">
    <w:name w:val="正文首行缩进 2 Char"/>
    <w:basedOn w:val="169"/>
    <w:link w:val="49"/>
    <w:autoRedefine/>
    <w:qFormat/>
    <w:uiPriority w:val="0"/>
    <w:rPr>
      <w:rFonts w:ascii="Times New Roman" w:hAnsi="Times New Roman" w:eastAsia="宋体" w:cs="Times New Roman"/>
      <w:kern w:val="2"/>
      <w:sz w:val="21"/>
      <w:szCs w:val="24"/>
    </w:rPr>
  </w:style>
  <w:style w:type="character" w:customStyle="1" w:styleId="171">
    <w:name w:val="正文文本 2 Char"/>
    <w:basedOn w:val="52"/>
    <w:link w:val="42"/>
    <w:autoRedefine/>
    <w:qFormat/>
    <w:uiPriority w:val="99"/>
    <w:rPr>
      <w:rFonts w:ascii="宋体" w:hAnsi="Times New Roman" w:eastAsia="宋体" w:cs="Times New Roman"/>
      <w:kern w:val="2"/>
      <w:sz w:val="21"/>
    </w:rPr>
  </w:style>
  <w:style w:type="paragraph" w:customStyle="1" w:styleId="172">
    <w:name w:val="普通 (Web)"/>
    <w:basedOn w:val="1"/>
    <w:autoRedefine/>
    <w:qFormat/>
    <w:uiPriority w:val="0"/>
    <w:pPr>
      <w:widowControl/>
      <w:spacing w:before="100" w:beforeAutospacing="1" w:after="100" w:afterAutospacing="1"/>
      <w:jc w:val="left"/>
    </w:pPr>
    <w:rPr>
      <w:rFonts w:ascii="宋体" w:hAnsi="宋体" w:eastAsia="宋体"/>
      <w:kern w:val="0"/>
      <w:sz w:val="24"/>
    </w:rPr>
  </w:style>
  <w:style w:type="paragraph" w:customStyle="1" w:styleId="173">
    <w:name w:val="样式 标题 2 + (符号) 宋体 小四"/>
    <w:basedOn w:val="3"/>
    <w:autoRedefine/>
    <w:qFormat/>
    <w:uiPriority w:val="0"/>
    <w:pPr>
      <w:keepNext/>
      <w:keepLines/>
      <w:spacing w:line="416" w:lineRule="auto"/>
    </w:pPr>
    <w:rPr>
      <w:rFonts w:ascii="Arial" w:hAnsi="Arial" w:eastAsia="宋体"/>
      <w:bCs/>
      <w:sz w:val="24"/>
    </w:rPr>
  </w:style>
  <w:style w:type="character" w:customStyle="1" w:styleId="174">
    <w:name w:val="Char2"/>
    <w:autoRedefine/>
    <w:qFormat/>
    <w:uiPriority w:val="0"/>
    <w:rPr>
      <w:rFonts w:ascii="Arial" w:hAnsi="Arial" w:eastAsia="黑体"/>
      <w:b/>
      <w:bCs/>
      <w:kern w:val="2"/>
      <w:sz w:val="32"/>
      <w:szCs w:val="32"/>
      <w:lang w:val="en-US" w:eastAsia="zh-CN" w:bidi="ar-SA"/>
    </w:rPr>
  </w:style>
  <w:style w:type="character" w:customStyle="1" w:styleId="175">
    <w:name w:val="样式 标题 2 + (符号) 宋体 小四 Char"/>
    <w:autoRedefine/>
    <w:qFormat/>
    <w:uiPriority w:val="0"/>
    <w:rPr>
      <w:rFonts w:ascii="Arial" w:hAnsi="Arial" w:eastAsia="宋体"/>
      <w:b/>
      <w:bCs/>
      <w:kern w:val="2"/>
      <w:sz w:val="24"/>
      <w:szCs w:val="32"/>
      <w:lang w:val="en-US" w:eastAsia="zh-CN" w:bidi="ar-SA"/>
    </w:rPr>
  </w:style>
  <w:style w:type="paragraph" w:customStyle="1" w:styleId="176">
    <w:name w:val="样式1"/>
    <w:basedOn w:val="1"/>
    <w:next w:val="4"/>
    <w:autoRedefine/>
    <w:qFormat/>
    <w:uiPriority w:val="99"/>
    <w:rPr>
      <w:rFonts w:eastAsia="宋体"/>
      <w:sz w:val="24"/>
      <w:szCs w:val="20"/>
    </w:rPr>
  </w:style>
  <w:style w:type="paragraph" w:customStyle="1" w:styleId="177">
    <w:name w:val="默认段落字体 Para Char Char Char Char Char Char Char Char Char Char"/>
    <w:basedOn w:val="17"/>
    <w:autoRedefine/>
    <w:qFormat/>
    <w:uiPriority w:val="0"/>
    <w:pPr>
      <w:shd w:val="clear" w:color="auto" w:fill="000080"/>
      <w:spacing w:line="240" w:lineRule="auto"/>
    </w:pPr>
    <w:rPr>
      <w:rFonts w:ascii="Tahoma" w:hAnsi="Tahoma" w:eastAsia="宋体"/>
      <w:sz w:val="24"/>
      <w:szCs w:val="24"/>
    </w:rPr>
  </w:style>
  <w:style w:type="paragraph" w:customStyle="1" w:styleId="178">
    <w:name w:val="font5"/>
    <w:basedOn w:val="1"/>
    <w:autoRedefine/>
    <w:qFormat/>
    <w:uiPriority w:val="0"/>
    <w:pPr>
      <w:widowControl/>
      <w:spacing w:before="100" w:beforeAutospacing="1" w:after="100" w:afterAutospacing="1"/>
      <w:jc w:val="left"/>
    </w:pPr>
    <w:rPr>
      <w:rFonts w:hint="eastAsia" w:ascii="宋体" w:hAnsi="宋体" w:eastAsia="宋体" w:cs="Arial Unicode MS"/>
      <w:kern w:val="0"/>
      <w:sz w:val="18"/>
      <w:szCs w:val="18"/>
    </w:rPr>
  </w:style>
  <w:style w:type="paragraph" w:customStyle="1" w:styleId="179">
    <w:name w:val="xl25"/>
    <w:basedOn w:val="1"/>
    <w:autoRedefine/>
    <w:qFormat/>
    <w:uiPriority w:val="0"/>
    <w:pPr>
      <w:widowControl/>
      <w:pBdr>
        <w:right w:val="single" w:color="969696" w:sz="8" w:space="0"/>
      </w:pBdr>
      <w:spacing w:before="100" w:beforeAutospacing="1" w:after="100" w:afterAutospacing="1"/>
      <w:jc w:val="left"/>
    </w:pPr>
    <w:rPr>
      <w:rFonts w:ascii="Arial Unicode MS" w:hAnsi="Arial Unicode MS" w:cs="Arial Unicode MS"/>
      <w:kern w:val="0"/>
      <w:sz w:val="18"/>
      <w:szCs w:val="18"/>
    </w:rPr>
  </w:style>
  <w:style w:type="paragraph" w:customStyle="1" w:styleId="180">
    <w:name w:val="xl26"/>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1">
    <w:name w:val="xl2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2">
    <w:name w:val="xl28"/>
    <w:basedOn w:val="1"/>
    <w:autoRedefine/>
    <w:qFormat/>
    <w:uiPriority w:val="0"/>
    <w:pPr>
      <w:widowControl/>
      <w:pBdr>
        <w:left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3">
    <w:name w:val="xl2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4">
    <w:name w:val="xl30"/>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5">
    <w:name w:val="xl31"/>
    <w:basedOn w:val="1"/>
    <w:autoRedefine/>
    <w:qFormat/>
    <w:uiPriority w:val="0"/>
    <w:pPr>
      <w:widowControl/>
      <w:pBdr>
        <w:top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6">
    <w:name w:val="xl32"/>
    <w:basedOn w:val="1"/>
    <w:autoRedefine/>
    <w:qFormat/>
    <w:uiPriority w:val="0"/>
    <w:pPr>
      <w:widowControl/>
      <w:pBdr>
        <w:bottom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7">
    <w:name w:val="xl33"/>
    <w:basedOn w:val="1"/>
    <w:autoRedefine/>
    <w:qFormat/>
    <w:uiPriority w:val="0"/>
    <w:pPr>
      <w:widowControl/>
      <w:pBdr>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8">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89">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kern w:val="0"/>
      <w:sz w:val="24"/>
    </w:rPr>
  </w:style>
  <w:style w:type="paragraph" w:customStyle="1" w:styleId="190">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b/>
      <w:bCs/>
      <w:kern w:val="0"/>
      <w:sz w:val="18"/>
      <w:szCs w:val="18"/>
    </w:rPr>
  </w:style>
  <w:style w:type="paragraph" w:customStyle="1" w:styleId="191">
    <w:name w:val="xl3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Arial Unicode MS" w:hAnsi="Arial Unicode MS" w:cs="Arial Unicode MS"/>
      <w:kern w:val="0"/>
      <w:sz w:val="24"/>
    </w:rPr>
  </w:style>
  <w:style w:type="paragraph" w:customStyle="1" w:styleId="192">
    <w:name w:val="xl38"/>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kern w:val="0"/>
      <w:sz w:val="24"/>
    </w:rPr>
  </w:style>
  <w:style w:type="paragraph" w:customStyle="1" w:styleId="193">
    <w:name w:val="xl39"/>
    <w:basedOn w:val="1"/>
    <w:autoRedefine/>
    <w:qFormat/>
    <w:uiPriority w:val="0"/>
    <w:pPr>
      <w:widowControl/>
      <w:pBdr>
        <w:left w:val="single" w:color="auto" w:sz="4" w:space="0"/>
        <w:right w:val="single" w:color="auto" w:sz="4" w:space="0"/>
      </w:pBdr>
      <w:spacing w:before="100" w:beforeAutospacing="1" w:after="100" w:afterAutospacing="1"/>
      <w:jc w:val="left"/>
    </w:pPr>
    <w:rPr>
      <w:rFonts w:ascii="Arial Unicode MS" w:hAnsi="Arial Unicode MS" w:cs="Arial Unicode MS"/>
      <w:kern w:val="0"/>
      <w:sz w:val="24"/>
    </w:rPr>
  </w:style>
  <w:style w:type="paragraph" w:customStyle="1" w:styleId="194">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95">
    <w:name w:val="xl41"/>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96">
    <w:name w:val="xl42"/>
    <w:basedOn w:val="1"/>
    <w:autoRedefine/>
    <w:qFormat/>
    <w:uiPriority w:val="0"/>
    <w:pPr>
      <w:widowControl/>
      <w:pBdr>
        <w:left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97">
    <w:name w:val="xl4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98">
    <w:name w:val="_Style 186"/>
    <w:autoRedefine/>
    <w:qFormat/>
    <w:uiPriority w:val="99"/>
    <w:pPr>
      <w:widowControl w:val="0"/>
      <w:jc w:val="both"/>
    </w:pPr>
    <w:rPr>
      <w:rFonts w:ascii="Times New Roman" w:hAnsi="Times New Roman" w:eastAsia="Arial Unicode MS" w:cs="Times New Roman"/>
      <w:kern w:val="2"/>
      <w:sz w:val="21"/>
      <w:szCs w:val="24"/>
      <w:lang w:val="en-US" w:eastAsia="zh-CN" w:bidi="ar-SA"/>
    </w:rPr>
  </w:style>
  <w:style w:type="paragraph" w:customStyle="1" w:styleId="199">
    <w:name w:val="文档正文"/>
    <w:basedOn w:val="1"/>
    <w:autoRedefine/>
    <w:qFormat/>
    <w:uiPriority w:val="0"/>
    <w:pPr>
      <w:adjustRightInd w:val="0"/>
      <w:spacing w:line="480" w:lineRule="atLeast"/>
      <w:ind w:firstLine="567"/>
      <w:textAlignment w:val="baseline"/>
    </w:pPr>
    <w:rPr>
      <w:rFonts w:ascii="长城仿宋" w:eastAsia="宋体"/>
      <w:kern w:val="0"/>
      <w:sz w:val="24"/>
    </w:rPr>
  </w:style>
  <w:style w:type="character" w:customStyle="1" w:styleId="200">
    <w:name w:val="日期 Char"/>
    <w:link w:val="30"/>
    <w:autoRedefine/>
    <w:qFormat/>
    <w:uiPriority w:val="99"/>
    <w:rPr>
      <w:rFonts w:ascii="Tahoma" w:hAnsi="Tahoma" w:eastAsia="Arial Unicode MS" w:cs="Times New Roman"/>
      <w:kern w:val="2"/>
      <w:sz w:val="21"/>
      <w:szCs w:val="24"/>
    </w:rPr>
  </w:style>
  <w:style w:type="character" w:customStyle="1" w:styleId="201">
    <w:name w:val="Char Char"/>
    <w:autoRedefine/>
    <w:qFormat/>
    <w:uiPriority w:val="0"/>
    <w:rPr>
      <w:rFonts w:eastAsia="宋体"/>
      <w:kern w:val="2"/>
      <w:sz w:val="24"/>
      <w:lang w:val="en-US" w:eastAsia="zh-CN" w:bidi="ar-SA"/>
    </w:rPr>
  </w:style>
  <w:style w:type="character" w:customStyle="1" w:styleId="202">
    <w:name w:val="称呼 Char"/>
    <w:basedOn w:val="52"/>
    <w:link w:val="20"/>
    <w:autoRedefine/>
    <w:qFormat/>
    <w:uiPriority w:val="0"/>
    <w:rPr>
      <w:rFonts w:ascii="..ì." w:hAnsi="Times New Roman" w:eastAsia="..ì." w:cs="Times New Roman"/>
      <w:sz w:val="24"/>
    </w:rPr>
  </w:style>
  <w:style w:type="character" w:customStyle="1" w:styleId="203">
    <w:name w:val="注释标题 Char"/>
    <w:basedOn w:val="52"/>
    <w:link w:val="13"/>
    <w:autoRedefine/>
    <w:qFormat/>
    <w:uiPriority w:val="0"/>
    <w:rPr>
      <w:rFonts w:ascii="..ì." w:hAnsi="Times New Roman" w:eastAsia="..ì." w:cs="Times New Roman"/>
      <w:sz w:val="24"/>
    </w:rPr>
  </w:style>
  <w:style w:type="paragraph" w:customStyle="1" w:styleId="204">
    <w:name w:val="1 Char Char Char Char"/>
    <w:basedOn w:val="1"/>
    <w:autoRedefine/>
    <w:qFormat/>
    <w:uiPriority w:val="0"/>
    <w:rPr>
      <w:rFonts w:ascii="Tahoma" w:hAnsi="Tahoma" w:eastAsia="宋体"/>
      <w:sz w:val="24"/>
      <w:szCs w:val="20"/>
    </w:rPr>
  </w:style>
  <w:style w:type="paragraph" w:customStyle="1" w:styleId="205">
    <w:name w:val="修订1"/>
    <w:autoRedefine/>
    <w:hidden/>
    <w:semiHidden/>
    <w:qFormat/>
    <w:uiPriority w:val="99"/>
    <w:rPr>
      <w:rFonts w:ascii="Times New Roman" w:hAnsi="Times New Roman" w:eastAsia="宋体" w:cs="Times New Roman"/>
      <w:kern w:val="2"/>
      <w:sz w:val="21"/>
      <w:szCs w:val="24"/>
      <w:lang w:val="en-US" w:eastAsia="zh-CN" w:bidi="ar-SA"/>
    </w:rPr>
  </w:style>
  <w:style w:type="paragraph" w:customStyle="1" w:styleId="206">
    <w:name w:val="TOC 标题2"/>
    <w:basedOn w:val="2"/>
    <w:next w:val="1"/>
    <w:autoRedefine/>
    <w:qFormat/>
    <w:uiPriority w:val="99"/>
    <w:pPr>
      <w:adjustRightInd/>
      <w:spacing w:before="340" w:after="330" w:line="578" w:lineRule="auto"/>
      <w:textAlignment w:val="auto"/>
      <w:outlineLvl w:val="9"/>
    </w:pPr>
    <w:rPr>
      <w:rFonts w:ascii="Times New Roman" w:hAnsi="Times New Roman" w:eastAsia="宋体"/>
      <w:sz w:val="44"/>
    </w:rPr>
  </w:style>
  <w:style w:type="character" w:customStyle="1" w:styleId="207">
    <w:name w:val="标题 1 Char1"/>
    <w:autoRedefine/>
    <w:qFormat/>
    <w:uiPriority w:val="99"/>
    <w:rPr>
      <w:rFonts w:ascii="黑体" w:eastAsia="黑体"/>
      <w:sz w:val="52"/>
      <w:lang w:bidi="ar-SA"/>
    </w:rPr>
  </w:style>
  <w:style w:type="paragraph" w:customStyle="1" w:styleId="208">
    <w:name w:val="样式 标题 2 + Times New Roman 四号 非加粗 段前: 5 磅 段后: 0 磅 行距: 固定值 20..."/>
    <w:basedOn w:val="3"/>
    <w:autoRedefine/>
    <w:qFormat/>
    <w:uiPriority w:val="99"/>
    <w:pPr>
      <w:keepNext/>
      <w:keepLines/>
      <w:spacing w:before="100" w:after="0" w:line="400" w:lineRule="exact"/>
    </w:pPr>
    <w:rPr>
      <w:rFonts w:ascii="Times New Roman" w:hAnsi="Times New Roman" w:eastAsia="黑体" w:cs="宋体"/>
      <w:sz w:val="28"/>
      <w:szCs w:val="20"/>
    </w:rPr>
  </w:style>
  <w:style w:type="paragraph" w:customStyle="1" w:styleId="209">
    <w:name w:val="3"/>
    <w:basedOn w:val="1"/>
    <w:next w:val="21"/>
    <w:autoRedefine/>
    <w:qFormat/>
    <w:uiPriority w:val="99"/>
    <w:rPr>
      <w:rFonts w:ascii="宋体" w:eastAsia="宋体"/>
      <w:sz w:val="24"/>
      <w:szCs w:val="20"/>
    </w:rPr>
  </w:style>
  <w:style w:type="character" w:customStyle="1" w:styleId="210">
    <w:name w:val="正文文本 3 Char"/>
    <w:basedOn w:val="52"/>
    <w:link w:val="21"/>
    <w:autoRedefine/>
    <w:qFormat/>
    <w:uiPriority w:val="99"/>
    <w:rPr>
      <w:rFonts w:ascii="Times New Roman" w:hAnsi="Times New Roman" w:eastAsia="宋体" w:cs="Times New Roman"/>
      <w:kern w:val="2"/>
      <w:sz w:val="16"/>
      <w:szCs w:val="16"/>
    </w:rPr>
  </w:style>
  <w:style w:type="paragraph" w:customStyle="1" w:styleId="211">
    <w:name w:val="样式 标题 3 + (中文) 黑体 小四 非加粗 段前: 7.8 磅 段后: 0 磅 行距: 固定值 20 磅"/>
    <w:basedOn w:val="4"/>
    <w:autoRedefine/>
    <w:qFormat/>
    <w:uiPriority w:val="0"/>
    <w:pPr>
      <w:keepNext/>
      <w:keepLines/>
      <w:tabs>
        <w:tab w:val="clear" w:pos="588"/>
      </w:tabs>
      <w:spacing w:line="400" w:lineRule="exact"/>
    </w:pPr>
    <w:rPr>
      <w:rFonts w:ascii="Times New Roman" w:hAnsi="Times New Roman" w:eastAsia="黑体"/>
      <w:sz w:val="24"/>
      <w:szCs w:val="20"/>
    </w:rPr>
  </w:style>
  <w:style w:type="paragraph" w:customStyle="1" w:styleId="212">
    <w:name w:val="2"/>
    <w:basedOn w:val="1"/>
    <w:next w:val="23"/>
    <w:autoRedefine/>
    <w:qFormat/>
    <w:uiPriority w:val="99"/>
    <w:pPr>
      <w:ind w:left="432"/>
    </w:pPr>
    <w:rPr>
      <w:rFonts w:eastAsia="宋体"/>
      <w:szCs w:val="20"/>
    </w:rPr>
  </w:style>
  <w:style w:type="character" w:customStyle="1" w:styleId="213">
    <w:name w:val="正文文本缩进 3 Char"/>
    <w:link w:val="39"/>
    <w:autoRedefine/>
    <w:qFormat/>
    <w:uiPriority w:val="99"/>
    <w:rPr>
      <w:rFonts w:ascii="Times New Roman" w:hAnsi="Times New Roman" w:eastAsia="Arial Unicode MS" w:cs="Times New Roman"/>
      <w:kern w:val="2"/>
      <w:sz w:val="16"/>
      <w:szCs w:val="16"/>
    </w:rPr>
  </w:style>
  <w:style w:type="paragraph" w:customStyle="1" w:styleId="214">
    <w:name w:val="样式 标题 1 + 黑体 三号 非加粗 居中 段前: 6 磅 段后: 6 磅 行距: 固定值 20 磅"/>
    <w:basedOn w:val="2"/>
    <w:autoRedefine/>
    <w:qFormat/>
    <w:uiPriority w:val="99"/>
    <w:pPr>
      <w:adjustRightInd/>
      <w:spacing w:before="120" w:after="120" w:line="400" w:lineRule="exact"/>
      <w:jc w:val="center"/>
      <w:textAlignment w:val="auto"/>
    </w:pPr>
    <w:rPr>
      <w:rFonts w:ascii="黑体" w:hAnsi="黑体" w:eastAsia="黑体" w:cs="宋体"/>
      <w:b w:val="0"/>
      <w:bCs w:val="0"/>
      <w:sz w:val="32"/>
      <w:szCs w:val="20"/>
    </w:rPr>
  </w:style>
  <w:style w:type="paragraph" w:customStyle="1" w:styleId="215">
    <w:name w:val="Char1111"/>
    <w:basedOn w:val="1"/>
    <w:autoRedefine/>
    <w:qFormat/>
    <w:uiPriority w:val="0"/>
    <w:rPr>
      <w:rFonts w:ascii="Tahoma" w:hAnsi="Tahoma" w:eastAsia="宋体"/>
      <w:sz w:val="24"/>
      <w:szCs w:val="20"/>
    </w:rPr>
  </w:style>
  <w:style w:type="character" w:customStyle="1" w:styleId="216">
    <w:name w:val="font161"/>
    <w:autoRedefine/>
    <w:qFormat/>
    <w:uiPriority w:val="99"/>
    <w:rPr>
      <w:b/>
      <w:bCs/>
      <w:sz w:val="32"/>
      <w:szCs w:val="32"/>
    </w:rPr>
  </w:style>
  <w:style w:type="paragraph" w:customStyle="1" w:styleId="217">
    <w:name w:val="6'"/>
    <w:basedOn w:val="1"/>
    <w:autoRedefine/>
    <w:qFormat/>
    <w:uiPriority w:val="99"/>
    <w:pPr>
      <w:autoSpaceDE w:val="0"/>
      <w:autoSpaceDN w:val="0"/>
      <w:adjustRightInd w:val="0"/>
      <w:snapToGrid w:val="0"/>
      <w:spacing w:line="320" w:lineRule="exact"/>
      <w:jc w:val="center"/>
      <w:textAlignment w:val="baseline"/>
    </w:pPr>
    <w:rPr>
      <w:rFonts w:eastAsia="宋体"/>
      <w:spacing w:val="20"/>
      <w:kern w:val="28"/>
      <w:szCs w:val="20"/>
    </w:rPr>
  </w:style>
  <w:style w:type="paragraph" w:customStyle="1" w:styleId="218">
    <w:name w:val="表格"/>
    <w:basedOn w:val="1"/>
    <w:autoRedefine/>
    <w:qFormat/>
    <w:uiPriority w:val="99"/>
    <w:pPr>
      <w:jc w:val="center"/>
      <w:textAlignment w:val="center"/>
    </w:pPr>
    <w:rPr>
      <w:rFonts w:ascii="华文细黑" w:hAnsi="华文细黑" w:eastAsia="宋体"/>
      <w:kern w:val="0"/>
      <w:szCs w:val="20"/>
    </w:rPr>
  </w:style>
  <w:style w:type="paragraph" w:customStyle="1" w:styleId="219">
    <w:name w:val="表格文字"/>
    <w:basedOn w:val="1"/>
    <w:autoRedefine/>
    <w:qFormat/>
    <w:uiPriority w:val="99"/>
    <w:pPr>
      <w:adjustRightInd w:val="0"/>
      <w:spacing w:line="420" w:lineRule="atLeast"/>
      <w:jc w:val="left"/>
      <w:textAlignment w:val="baseline"/>
    </w:pPr>
    <w:rPr>
      <w:rFonts w:eastAsia="宋体"/>
      <w:kern w:val="0"/>
      <w:szCs w:val="20"/>
    </w:rPr>
  </w:style>
  <w:style w:type="paragraph" w:customStyle="1" w:styleId="220">
    <w:name w:val="XW正文"/>
    <w:basedOn w:val="23"/>
    <w:autoRedefine/>
    <w:qFormat/>
    <w:uiPriority w:val="99"/>
    <w:pPr>
      <w:widowControl w:val="0"/>
      <w:adjustRightInd w:val="0"/>
      <w:snapToGrid w:val="0"/>
      <w:spacing w:line="300" w:lineRule="auto"/>
      <w:ind w:firstLine="520" w:firstLineChars="200"/>
    </w:pPr>
    <w:rPr>
      <w:rFonts w:ascii="Times New Roman" w:hAnsi="Times New Roman" w:eastAsia="宋体"/>
      <w:kern w:val="0"/>
    </w:rPr>
  </w:style>
  <w:style w:type="paragraph" w:customStyle="1" w:styleId="221">
    <w:name w:val="金安桥正文"/>
    <w:basedOn w:val="23"/>
    <w:autoRedefine/>
    <w:qFormat/>
    <w:uiPriority w:val="99"/>
    <w:pPr>
      <w:widowControl w:val="0"/>
      <w:adjustRightInd w:val="0"/>
      <w:spacing w:line="300" w:lineRule="auto"/>
      <w:ind w:firstLine="200" w:firstLineChars="200"/>
    </w:pPr>
    <w:rPr>
      <w:rFonts w:ascii="Times New Roman" w:hAnsi="Times New Roman" w:eastAsia="宋体"/>
      <w:kern w:val="0"/>
      <w:sz w:val="24"/>
      <w:szCs w:val="20"/>
    </w:rPr>
  </w:style>
  <w:style w:type="character" w:customStyle="1" w:styleId="222">
    <w:name w:val="样式 粉红"/>
    <w:autoRedefine/>
    <w:qFormat/>
    <w:uiPriority w:val="99"/>
    <w:rPr>
      <w:color w:val="auto"/>
      <w:u w:val="none"/>
    </w:rPr>
  </w:style>
  <w:style w:type="character" w:customStyle="1" w:styleId="223">
    <w:name w:val="Char Char1"/>
    <w:autoRedefine/>
    <w:qFormat/>
    <w:uiPriority w:val="0"/>
    <w:rPr>
      <w:rFonts w:eastAsia="宋体"/>
      <w:kern w:val="2"/>
      <w:sz w:val="24"/>
      <w:lang w:val="en-US" w:eastAsia="zh-CN" w:bidi="ar-SA"/>
    </w:rPr>
  </w:style>
  <w:style w:type="character" w:customStyle="1" w:styleId="224">
    <w:name w:val="纯文本 Char"/>
    <w:link w:val="28"/>
    <w:autoRedefine/>
    <w:qFormat/>
    <w:uiPriority w:val="0"/>
    <w:rPr>
      <w:rFonts w:ascii="宋体" w:hAnsi="Courier New" w:eastAsia="Arial Unicode MS" w:cs="Times New Roman"/>
      <w:kern w:val="2"/>
      <w:sz w:val="21"/>
      <w:szCs w:val="21"/>
    </w:rPr>
  </w:style>
  <w:style w:type="paragraph" w:customStyle="1" w:styleId="225">
    <w:name w:val="Char Char Char Char"/>
    <w:basedOn w:val="1"/>
    <w:autoRedefine/>
    <w:qFormat/>
    <w:uiPriority w:val="0"/>
    <w:pPr>
      <w:widowControl/>
      <w:spacing w:after="160" w:line="240" w:lineRule="exact"/>
      <w:jc w:val="left"/>
    </w:pPr>
    <w:rPr>
      <w:rFonts w:eastAsia="宋体"/>
      <w:szCs w:val="20"/>
    </w:rPr>
  </w:style>
  <w:style w:type="paragraph" w:customStyle="1" w:styleId="226">
    <w:name w:val="p17"/>
    <w:basedOn w:val="1"/>
    <w:autoRedefine/>
    <w:qFormat/>
    <w:uiPriority w:val="99"/>
    <w:pPr>
      <w:widowControl/>
    </w:pPr>
    <w:rPr>
      <w:rFonts w:eastAsia="宋体"/>
      <w:kern w:val="0"/>
      <w:szCs w:val="21"/>
    </w:rPr>
  </w:style>
  <w:style w:type="character" w:customStyle="1" w:styleId="227">
    <w:name w:val="H4 Char"/>
    <w:autoRedefine/>
    <w:qFormat/>
    <w:uiPriority w:val="0"/>
    <w:rPr>
      <w:b/>
      <w:sz w:val="28"/>
    </w:rPr>
  </w:style>
  <w:style w:type="character" w:customStyle="1" w:styleId="228">
    <w:name w:val="Char Char2"/>
    <w:autoRedefine/>
    <w:qFormat/>
    <w:uiPriority w:val="0"/>
    <w:rPr>
      <w:rFonts w:eastAsia="宋体"/>
      <w:kern w:val="2"/>
      <w:sz w:val="24"/>
      <w:lang w:val="en-US" w:eastAsia="zh-CN" w:bidi="ar-SA"/>
    </w:rPr>
  </w:style>
  <w:style w:type="character" w:customStyle="1" w:styleId="229">
    <w:name w:val="Char Char111"/>
    <w:autoRedefine/>
    <w:qFormat/>
    <w:uiPriority w:val="99"/>
    <w:rPr>
      <w:rFonts w:eastAsia="宋体"/>
      <w:kern w:val="2"/>
      <w:sz w:val="24"/>
      <w:lang w:val="en-US" w:eastAsia="zh-CN" w:bidi="ar-SA"/>
    </w:rPr>
  </w:style>
  <w:style w:type="paragraph" w:customStyle="1" w:styleId="230">
    <w:name w:val="Char Char Char Char111"/>
    <w:basedOn w:val="1"/>
    <w:autoRedefine/>
    <w:qFormat/>
    <w:uiPriority w:val="0"/>
    <w:pPr>
      <w:widowControl/>
      <w:spacing w:after="160" w:line="240" w:lineRule="exact"/>
      <w:jc w:val="left"/>
    </w:pPr>
    <w:rPr>
      <w:rFonts w:eastAsia="宋体"/>
      <w:szCs w:val="20"/>
    </w:rPr>
  </w:style>
  <w:style w:type="paragraph" w:customStyle="1" w:styleId="231">
    <w:name w:val="font1"/>
    <w:basedOn w:val="1"/>
    <w:autoRedefine/>
    <w:qFormat/>
    <w:uiPriority w:val="0"/>
    <w:pPr>
      <w:widowControl/>
      <w:spacing w:before="100" w:beforeAutospacing="1" w:after="100" w:afterAutospacing="1"/>
      <w:jc w:val="left"/>
    </w:pPr>
    <w:rPr>
      <w:rFonts w:ascii="宋体" w:hAnsi="宋体" w:eastAsia="宋体" w:cs="宋体"/>
      <w:kern w:val="0"/>
      <w:sz w:val="24"/>
    </w:rPr>
  </w:style>
  <w:style w:type="paragraph" w:customStyle="1" w:styleId="232">
    <w:name w:val="font6"/>
    <w:basedOn w:val="1"/>
    <w:autoRedefine/>
    <w:qFormat/>
    <w:uiPriority w:val="0"/>
    <w:pPr>
      <w:widowControl/>
      <w:spacing w:before="100" w:beforeAutospacing="1" w:after="100" w:afterAutospacing="1"/>
      <w:jc w:val="left"/>
    </w:pPr>
    <w:rPr>
      <w:rFonts w:ascii="宋体" w:hAnsi="宋体" w:eastAsia="宋体" w:cs="宋体"/>
      <w:kern w:val="0"/>
      <w:sz w:val="24"/>
    </w:rPr>
  </w:style>
  <w:style w:type="paragraph" w:customStyle="1" w:styleId="233">
    <w:name w:val="font7"/>
    <w:basedOn w:val="1"/>
    <w:autoRedefine/>
    <w:qFormat/>
    <w:uiPriority w:val="0"/>
    <w:pPr>
      <w:widowControl/>
      <w:spacing w:before="100" w:beforeAutospacing="1" w:after="100" w:afterAutospacing="1"/>
      <w:jc w:val="left"/>
    </w:pPr>
    <w:rPr>
      <w:rFonts w:ascii="宋体" w:hAnsi="宋体" w:eastAsia="宋体" w:cs="宋体"/>
      <w:kern w:val="0"/>
      <w:sz w:val="18"/>
      <w:szCs w:val="18"/>
    </w:rPr>
  </w:style>
  <w:style w:type="paragraph" w:customStyle="1" w:styleId="234">
    <w:name w:val="xl65"/>
    <w:basedOn w:val="1"/>
    <w:autoRedefine/>
    <w:qFormat/>
    <w:uiPriority w:val="0"/>
    <w:pPr>
      <w:widowControl/>
      <w:spacing w:before="100" w:beforeAutospacing="1" w:after="100" w:afterAutospacing="1"/>
      <w:jc w:val="center"/>
      <w:textAlignment w:val="center"/>
    </w:pPr>
    <w:rPr>
      <w:rFonts w:ascii="宋体" w:hAnsi="宋体" w:eastAsia="宋体" w:cs="宋体"/>
      <w:kern w:val="0"/>
      <w:sz w:val="24"/>
    </w:rPr>
  </w:style>
  <w:style w:type="paragraph" w:customStyle="1" w:styleId="235">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4"/>
    </w:rPr>
  </w:style>
  <w:style w:type="paragraph" w:customStyle="1" w:styleId="236">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kern w:val="0"/>
      <w:sz w:val="24"/>
    </w:rPr>
  </w:style>
  <w:style w:type="paragraph" w:customStyle="1" w:styleId="237">
    <w:name w:val="xl68"/>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eastAsia="宋体" w:cs="宋体"/>
      <w:kern w:val="0"/>
      <w:sz w:val="24"/>
    </w:rPr>
  </w:style>
  <w:style w:type="paragraph" w:customStyle="1" w:styleId="238">
    <w:name w:val="xl69"/>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eastAsia="宋体" w:cs="宋体"/>
      <w:kern w:val="0"/>
      <w:sz w:val="24"/>
    </w:rPr>
  </w:style>
  <w:style w:type="paragraph" w:customStyle="1" w:styleId="239">
    <w:name w:val="xl70"/>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kern w:val="0"/>
      <w:sz w:val="24"/>
    </w:rPr>
  </w:style>
  <w:style w:type="paragraph" w:customStyle="1" w:styleId="240">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b/>
      <w:bCs/>
      <w:kern w:val="0"/>
      <w:sz w:val="24"/>
    </w:rPr>
  </w:style>
  <w:style w:type="paragraph" w:customStyle="1" w:styleId="241">
    <w:name w:val="xl72"/>
    <w:basedOn w:val="1"/>
    <w:autoRedefine/>
    <w:qFormat/>
    <w:uiPriority w:val="0"/>
    <w:pPr>
      <w:widowControl/>
      <w:spacing w:before="100" w:beforeAutospacing="1" w:after="100" w:afterAutospacing="1"/>
      <w:jc w:val="left"/>
    </w:pPr>
    <w:rPr>
      <w:rFonts w:ascii="宋体" w:hAnsi="宋体" w:eastAsia="宋体" w:cs="宋体"/>
      <w:b/>
      <w:bCs/>
      <w:kern w:val="0"/>
      <w:sz w:val="24"/>
    </w:rPr>
  </w:style>
  <w:style w:type="paragraph" w:customStyle="1" w:styleId="242">
    <w:name w:val="xl73"/>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eastAsia="宋体" w:cs="宋体"/>
      <w:b/>
      <w:bCs/>
      <w:kern w:val="0"/>
      <w:sz w:val="24"/>
    </w:rPr>
  </w:style>
  <w:style w:type="paragraph" w:customStyle="1" w:styleId="243">
    <w:name w:val="前言、引言标题"/>
    <w:next w:val="1"/>
    <w:autoRedefine/>
    <w:qFormat/>
    <w:uiPriority w:val="0"/>
    <w:pPr>
      <w:numPr>
        <w:ilvl w:val="0"/>
        <w:numId w:val="3"/>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244">
    <w:name w:val="章标题"/>
    <w:next w:val="1"/>
    <w:link w:val="251"/>
    <w:autoRedefine/>
    <w:qFormat/>
    <w:uiPriority w:val="0"/>
    <w:pPr>
      <w:numPr>
        <w:ilvl w:val="1"/>
        <w:numId w:val="3"/>
      </w:numPr>
      <w:spacing w:beforeLines="50" w:afterLines="50"/>
      <w:jc w:val="both"/>
      <w:outlineLvl w:val="1"/>
    </w:pPr>
    <w:rPr>
      <w:rFonts w:ascii="黑体" w:hAnsi="Times New Roman" w:eastAsia="黑体" w:cs="Times New Roman"/>
      <w:sz w:val="21"/>
      <w:lang w:val="en-US" w:eastAsia="zh-CN" w:bidi="ar-SA"/>
    </w:rPr>
  </w:style>
  <w:style w:type="paragraph" w:customStyle="1" w:styleId="245">
    <w:name w:val="一级条标题"/>
    <w:basedOn w:val="244"/>
    <w:next w:val="1"/>
    <w:link w:val="252"/>
    <w:autoRedefine/>
    <w:qFormat/>
    <w:uiPriority w:val="0"/>
    <w:pPr>
      <w:numPr>
        <w:ilvl w:val="2"/>
      </w:numPr>
      <w:tabs>
        <w:tab w:val="left" w:pos="360"/>
      </w:tabs>
      <w:spacing w:beforeLines="0" w:afterLines="0"/>
      <w:ind w:left="315"/>
      <w:outlineLvl w:val="2"/>
    </w:pPr>
  </w:style>
  <w:style w:type="paragraph" w:customStyle="1" w:styleId="246">
    <w:name w:val="二级条标题"/>
    <w:basedOn w:val="245"/>
    <w:next w:val="1"/>
    <w:link w:val="253"/>
    <w:autoRedefine/>
    <w:qFormat/>
    <w:uiPriority w:val="0"/>
    <w:pPr>
      <w:numPr>
        <w:ilvl w:val="3"/>
      </w:numPr>
      <w:ind w:left="315"/>
      <w:outlineLvl w:val="3"/>
    </w:pPr>
  </w:style>
  <w:style w:type="paragraph" w:customStyle="1" w:styleId="247">
    <w:name w:val="列项——"/>
    <w:autoRedefine/>
    <w:qFormat/>
    <w:uiPriority w:val="0"/>
    <w:pPr>
      <w:widowControl w:val="0"/>
      <w:numPr>
        <w:ilvl w:val="0"/>
        <w:numId w:val="4"/>
      </w:numPr>
      <w:jc w:val="both"/>
    </w:pPr>
    <w:rPr>
      <w:rFonts w:ascii="宋体" w:hAnsi="Times New Roman" w:eastAsia="宋体" w:cs="Times New Roman"/>
      <w:sz w:val="21"/>
      <w:lang w:val="en-US" w:eastAsia="zh-CN" w:bidi="ar-SA"/>
    </w:rPr>
  </w:style>
  <w:style w:type="paragraph" w:customStyle="1" w:styleId="248">
    <w:name w:val="三级条标题"/>
    <w:basedOn w:val="246"/>
    <w:next w:val="1"/>
    <w:autoRedefine/>
    <w:qFormat/>
    <w:uiPriority w:val="0"/>
    <w:pPr>
      <w:numPr>
        <w:ilvl w:val="4"/>
      </w:numPr>
      <w:tabs>
        <w:tab w:val="left" w:pos="1680"/>
        <w:tab w:val="left" w:pos="2100"/>
      </w:tabs>
      <w:ind w:left="2100" w:hanging="420"/>
      <w:outlineLvl w:val="4"/>
    </w:pPr>
  </w:style>
  <w:style w:type="paragraph" w:customStyle="1" w:styleId="249">
    <w:name w:val="四级条标题"/>
    <w:basedOn w:val="248"/>
    <w:next w:val="1"/>
    <w:autoRedefine/>
    <w:qFormat/>
    <w:uiPriority w:val="0"/>
    <w:pPr>
      <w:numPr>
        <w:ilvl w:val="5"/>
      </w:numPr>
      <w:tabs>
        <w:tab w:val="left" w:pos="2520"/>
      </w:tabs>
      <w:ind w:left="2520" w:hanging="420"/>
      <w:outlineLvl w:val="5"/>
    </w:pPr>
  </w:style>
  <w:style w:type="paragraph" w:customStyle="1" w:styleId="250">
    <w:name w:val="五级条标题"/>
    <w:basedOn w:val="249"/>
    <w:next w:val="1"/>
    <w:autoRedefine/>
    <w:qFormat/>
    <w:uiPriority w:val="0"/>
    <w:pPr>
      <w:numPr>
        <w:ilvl w:val="6"/>
      </w:numPr>
      <w:tabs>
        <w:tab w:val="left" w:pos="2940"/>
      </w:tabs>
      <w:ind w:left="2940" w:hanging="420"/>
      <w:outlineLvl w:val="6"/>
    </w:pPr>
  </w:style>
  <w:style w:type="character" w:customStyle="1" w:styleId="251">
    <w:name w:val="章标题 Char"/>
    <w:link w:val="244"/>
    <w:autoRedefine/>
    <w:qFormat/>
    <w:uiPriority w:val="0"/>
    <w:rPr>
      <w:rFonts w:ascii="黑体" w:eastAsia="黑体"/>
      <w:sz w:val="21"/>
    </w:rPr>
  </w:style>
  <w:style w:type="character" w:customStyle="1" w:styleId="252">
    <w:name w:val="一级条标题 Char"/>
    <w:link w:val="245"/>
    <w:autoRedefine/>
    <w:qFormat/>
    <w:uiPriority w:val="0"/>
    <w:rPr>
      <w:rFonts w:ascii="黑体" w:eastAsia="黑体"/>
      <w:sz w:val="21"/>
    </w:rPr>
  </w:style>
  <w:style w:type="character" w:customStyle="1" w:styleId="253">
    <w:name w:val="二级条标题 Char"/>
    <w:link w:val="246"/>
    <w:autoRedefine/>
    <w:qFormat/>
    <w:uiPriority w:val="0"/>
    <w:rPr>
      <w:rFonts w:ascii="黑体" w:eastAsia="黑体"/>
      <w:sz w:val="21"/>
    </w:rPr>
  </w:style>
  <w:style w:type="character" w:customStyle="1" w:styleId="254">
    <w:name w:val="Heading 1 Char"/>
    <w:autoRedefine/>
    <w:qFormat/>
    <w:locked/>
    <w:uiPriority w:val="0"/>
    <w:rPr>
      <w:rFonts w:ascii="黑体" w:hAnsi="Times New Roman" w:eastAsia="黑体" w:cs="Times New Roman"/>
      <w:kern w:val="0"/>
      <w:sz w:val="20"/>
      <w:szCs w:val="20"/>
    </w:rPr>
  </w:style>
  <w:style w:type="character" w:customStyle="1" w:styleId="255">
    <w:name w:val="Heading 2 Char"/>
    <w:autoRedefine/>
    <w:qFormat/>
    <w:locked/>
    <w:uiPriority w:val="0"/>
    <w:rPr>
      <w:rFonts w:ascii="Times New Roman" w:hAnsi="Times New Roman" w:eastAsia="宋体" w:cs="Times New Roman"/>
      <w:b/>
      <w:kern w:val="0"/>
      <w:sz w:val="32"/>
      <w:szCs w:val="32"/>
    </w:rPr>
  </w:style>
  <w:style w:type="character" w:customStyle="1" w:styleId="256">
    <w:name w:val="标题 3 Char1"/>
    <w:autoRedefine/>
    <w:qFormat/>
    <w:locked/>
    <w:uiPriority w:val="99"/>
    <w:rPr>
      <w:rFonts w:eastAsia="宋体"/>
      <w:b/>
      <w:sz w:val="32"/>
      <w:lang w:val="en-US" w:eastAsia="zh-CN" w:bidi="ar-SA"/>
    </w:rPr>
  </w:style>
  <w:style w:type="character" w:customStyle="1" w:styleId="257">
    <w:name w:val="Heading 4 Char"/>
    <w:autoRedefine/>
    <w:qFormat/>
    <w:locked/>
    <w:uiPriority w:val="0"/>
    <w:rPr>
      <w:rFonts w:ascii="Times New Roman" w:hAnsi="Times New Roman" w:eastAsia="宋体" w:cs="Times New Roman"/>
      <w:b/>
      <w:kern w:val="0"/>
      <w:sz w:val="20"/>
      <w:szCs w:val="20"/>
    </w:rPr>
  </w:style>
  <w:style w:type="character" w:customStyle="1" w:styleId="258">
    <w:name w:val="Heading 5 Char"/>
    <w:autoRedefine/>
    <w:qFormat/>
    <w:locked/>
    <w:uiPriority w:val="0"/>
    <w:rPr>
      <w:rFonts w:ascii="Times New Roman" w:hAnsi="Times New Roman" w:eastAsia="宋体" w:cs="Times New Roman"/>
      <w:b/>
      <w:bCs/>
      <w:sz w:val="28"/>
      <w:szCs w:val="28"/>
    </w:rPr>
  </w:style>
  <w:style w:type="character" w:customStyle="1" w:styleId="259">
    <w:name w:val="Heading 6 Char"/>
    <w:autoRedefine/>
    <w:qFormat/>
    <w:locked/>
    <w:uiPriority w:val="0"/>
    <w:rPr>
      <w:rFonts w:ascii="Arial" w:hAnsi="Arial" w:eastAsia="黑体" w:cs="Times New Roman"/>
      <w:b/>
      <w:bCs/>
      <w:kern w:val="0"/>
      <w:sz w:val="24"/>
      <w:szCs w:val="24"/>
    </w:rPr>
  </w:style>
  <w:style w:type="character" w:customStyle="1" w:styleId="260">
    <w:name w:val="Heading 7 Char"/>
    <w:autoRedefine/>
    <w:qFormat/>
    <w:locked/>
    <w:uiPriority w:val="0"/>
    <w:rPr>
      <w:rFonts w:ascii="Times New Roman" w:hAnsi="Times New Roman" w:eastAsia="宋体" w:cs="Times New Roman"/>
      <w:b/>
      <w:bCs/>
      <w:kern w:val="0"/>
      <w:sz w:val="24"/>
      <w:szCs w:val="24"/>
    </w:rPr>
  </w:style>
  <w:style w:type="character" w:customStyle="1" w:styleId="261">
    <w:name w:val="Heading 8 Char"/>
    <w:autoRedefine/>
    <w:qFormat/>
    <w:locked/>
    <w:uiPriority w:val="0"/>
    <w:rPr>
      <w:rFonts w:ascii="Arial" w:hAnsi="Arial" w:eastAsia="黑体" w:cs="Times New Roman"/>
      <w:kern w:val="0"/>
      <w:sz w:val="24"/>
      <w:szCs w:val="24"/>
    </w:rPr>
  </w:style>
  <w:style w:type="character" w:customStyle="1" w:styleId="262">
    <w:name w:val="Heading 9 Char"/>
    <w:autoRedefine/>
    <w:qFormat/>
    <w:locked/>
    <w:uiPriority w:val="0"/>
    <w:rPr>
      <w:rFonts w:ascii="Arial" w:hAnsi="Arial" w:eastAsia="黑体" w:cs="Times New Roman"/>
      <w:kern w:val="0"/>
      <w:sz w:val="21"/>
      <w:szCs w:val="21"/>
    </w:rPr>
  </w:style>
  <w:style w:type="character" w:customStyle="1" w:styleId="263">
    <w:name w:val="Document Map Char"/>
    <w:autoRedefine/>
    <w:qFormat/>
    <w:locked/>
    <w:uiPriority w:val="0"/>
    <w:rPr>
      <w:rFonts w:ascii="Times New Roman" w:hAnsi="Times New Roman" w:eastAsia="宋体" w:cs="Times New Roman"/>
      <w:sz w:val="24"/>
      <w:szCs w:val="24"/>
      <w:shd w:val="clear" w:color="auto" w:fill="000080"/>
    </w:rPr>
  </w:style>
  <w:style w:type="character" w:customStyle="1" w:styleId="264">
    <w:name w:val="Date Char"/>
    <w:autoRedefine/>
    <w:qFormat/>
    <w:locked/>
    <w:uiPriority w:val="0"/>
    <w:rPr>
      <w:rFonts w:ascii="Times New Roman" w:hAnsi="Times New Roman" w:eastAsia="宋体" w:cs="Times New Roman"/>
      <w:sz w:val="20"/>
      <w:szCs w:val="20"/>
    </w:rPr>
  </w:style>
  <w:style w:type="character" w:customStyle="1" w:styleId="265">
    <w:name w:val="Header Char"/>
    <w:autoRedefine/>
    <w:qFormat/>
    <w:locked/>
    <w:uiPriority w:val="0"/>
    <w:rPr>
      <w:rFonts w:ascii="Times New Roman" w:hAnsi="Times New Roman" w:eastAsia="宋体" w:cs="Times New Roman"/>
      <w:kern w:val="0"/>
      <w:sz w:val="20"/>
      <w:szCs w:val="20"/>
    </w:rPr>
  </w:style>
  <w:style w:type="character" w:customStyle="1" w:styleId="266">
    <w:name w:val="Footer Char"/>
    <w:autoRedefine/>
    <w:qFormat/>
    <w:locked/>
    <w:uiPriority w:val="0"/>
    <w:rPr>
      <w:rFonts w:ascii="Times New Roman" w:hAnsi="Times New Roman" w:eastAsia="宋体" w:cs="Times New Roman"/>
      <w:kern w:val="0"/>
      <w:sz w:val="20"/>
      <w:szCs w:val="20"/>
    </w:rPr>
  </w:style>
  <w:style w:type="character" w:customStyle="1" w:styleId="267">
    <w:name w:val="Plain Text Char"/>
    <w:autoRedefine/>
    <w:qFormat/>
    <w:locked/>
    <w:uiPriority w:val="0"/>
    <w:rPr>
      <w:rFonts w:ascii="宋体" w:hAnsi="Courier New" w:eastAsia="宋体" w:cs="Times New Roman"/>
      <w:sz w:val="20"/>
      <w:szCs w:val="20"/>
    </w:rPr>
  </w:style>
  <w:style w:type="character" w:customStyle="1" w:styleId="268">
    <w:name w:val="Body Text Indent 2 Char"/>
    <w:autoRedefine/>
    <w:qFormat/>
    <w:locked/>
    <w:uiPriority w:val="0"/>
    <w:rPr>
      <w:rFonts w:ascii="Times New Roman" w:hAnsi="Times New Roman" w:eastAsia="宋体" w:cs="Times New Roman"/>
      <w:sz w:val="30"/>
      <w:szCs w:val="30"/>
    </w:rPr>
  </w:style>
  <w:style w:type="character" w:customStyle="1" w:styleId="269">
    <w:name w:val="Body Text Indent 3 Char"/>
    <w:autoRedefine/>
    <w:qFormat/>
    <w:locked/>
    <w:uiPriority w:val="0"/>
    <w:rPr>
      <w:rFonts w:ascii="Times New Roman" w:hAnsi="Times New Roman" w:eastAsia="宋体" w:cs="Times New Roman"/>
      <w:sz w:val="30"/>
      <w:szCs w:val="30"/>
    </w:rPr>
  </w:style>
  <w:style w:type="character" w:customStyle="1" w:styleId="270">
    <w:name w:val="Body Text First Indent 2 Char"/>
    <w:autoRedefine/>
    <w:qFormat/>
    <w:locked/>
    <w:uiPriority w:val="0"/>
    <w:rPr>
      <w:rFonts w:ascii="Times New Roman" w:hAnsi="Times New Roman" w:eastAsia="宋体" w:cs="Times New Roman"/>
      <w:kern w:val="2"/>
      <w:sz w:val="24"/>
      <w:szCs w:val="24"/>
    </w:rPr>
  </w:style>
  <w:style w:type="character" w:customStyle="1" w:styleId="271">
    <w:name w:val="Body Text 2 Char"/>
    <w:autoRedefine/>
    <w:qFormat/>
    <w:locked/>
    <w:uiPriority w:val="0"/>
    <w:rPr>
      <w:rFonts w:ascii="宋体" w:hAnsi="Times New Roman" w:eastAsia="宋体" w:cs="Times New Roman"/>
      <w:sz w:val="20"/>
      <w:szCs w:val="20"/>
    </w:rPr>
  </w:style>
  <w:style w:type="character" w:customStyle="1" w:styleId="272">
    <w:name w:val="Balloon Text Char"/>
    <w:autoRedefine/>
    <w:qFormat/>
    <w:locked/>
    <w:uiPriority w:val="0"/>
    <w:rPr>
      <w:rFonts w:ascii="Times New Roman" w:hAnsi="Times New Roman" w:eastAsia="宋体" w:cs="Times New Roman"/>
      <w:sz w:val="18"/>
      <w:szCs w:val="18"/>
    </w:rPr>
  </w:style>
  <w:style w:type="character" w:customStyle="1" w:styleId="273">
    <w:name w:val="Salutation Char"/>
    <w:autoRedefine/>
    <w:qFormat/>
    <w:locked/>
    <w:uiPriority w:val="0"/>
    <w:rPr>
      <w:rFonts w:ascii="..ì." w:hAnsi="Times New Roman" w:eastAsia="..ì." w:cs="Times New Roman"/>
      <w:kern w:val="0"/>
      <w:sz w:val="20"/>
      <w:szCs w:val="20"/>
    </w:rPr>
  </w:style>
  <w:style w:type="character" w:customStyle="1" w:styleId="274">
    <w:name w:val="Note Heading Char"/>
    <w:autoRedefine/>
    <w:qFormat/>
    <w:locked/>
    <w:uiPriority w:val="0"/>
    <w:rPr>
      <w:rFonts w:ascii="..ì." w:hAnsi="Times New Roman" w:eastAsia="..ì." w:cs="Times New Roman"/>
      <w:kern w:val="0"/>
      <w:sz w:val="20"/>
      <w:szCs w:val="20"/>
    </w:rPr>
  </w:style>
  <w:style w:type="paragraph" w:customStyle="1" w:styleId="275">
    <w:name w:val="Revision1"/>
    <w:autoRedefine/>
    <w:hidden/>
    <w:semiHidden/>
    <w:qFormat/>
    <w:uiPriority w:val="0"/>
    <w:rPr>
      <w:rFonts w:ascii="Times New Roman" w:hAnsi="Times New Roman" w:eastAsia="宋体" w:cs="Times New Roman"/>
      <w:kern w:val="2"/>
      <w:sz w:val="21"/>
      <w:szCs w:val="24"/>
      <w:lang w:val="en-US" w:eastAsia="zh-CN" w:bidi="ar-SA"/>
    </w:rPr>
  </w:style>
  <w:style w:type="paragraph" w:customStyle="1" w:styleId="276">
    <w:name w:val="TOC Heading1"/>
    <w:basedOn w:val="2"/>
    <w:next w:val="1"/>
    <w:autoRedefine/>
    <w:qFormat/>
    <w:uiPriority w:val="0"/>
    <w:pPr>
      <w:adjustRightInd/>
      <w:spacing w:before="340" w:after="330" w:line="578" w:lineRule="auto"/>
      <w:textAlignment w:val="auto"/>
      <w:outlineLvl w:val="9"/>
    </w:pPr>
    <w:rPr>
      <w:rFonts w:ascii="Times New Roman" w:hAnsi="Times New Roman" w:eastAsia="宋体"/>
      <w:sz w:val="44"/>
    </w:rPr>
  </w:style>
  <w:style w:type="character" w:customStyle="1" w:styleId="277">
    <w:name w:val="Body Text 3 Char"/>
    <w:autoRedefine/>
    <w:qFormat/>
    <w:locked/>
    <w:uiPriority w:val="0"/>
    <w:rPr>
      <w:rFonts w:ascii="Times New Roman" w:hAnsi="Times New Roman" w:eastAsia="宋体" w:cs="Times New Roman"/>
      <w:sz w:val="16"/>
      <w:szCs w:val="16"/>
    </w:rPr>
  </w:style>
  <w:style w:type="character" w:customStyle="1" w:styleId="278">
    <w:name w:val="Title Char"/>
    <w:autoRedefine/>
    <w:qFormat/>
    <w:locked/>
    <w:uiPriority w:val="0"/>
    <w:rPr>
      <w:rFonts w:ascii="Arial" w:hAnsi="Arial" w:eastAsia="宋体" w:cs="Times New Roman"/>
      <w:b/>
      <w:kern w:val="0"/>
      <w:sz w:val="20"/>
      <w:szCs w:val="20"/>
    </w:rPr>
  </w:style>
  <w:style w:type="character" w:customStyle="1" w:styleId="279">
    <w:name w:val="Comment Subject Char"/>
    <w:autoRedefine/>
    <w:qFormat/>
    <w:locked/>
    <w:uiPriority w:val="0"/>
    <w:rPr>
      <w:rFonts w:ascii="Times New Roman" w:hAnsi="Times New Roman" w:eastAsia="宋体" w:cs="Times New Roman"/>
      <w:b/>
      <w:bCs/>
      <w:sz w:val="24"/>
      <w:szCs w:val="24"/>
    </w:rPr>
  </w:style>
  <w:style w:type="character" w:customStyle="1" w:styleId="280">
    <w:name w:val="Comment Text Char"/>
    <w:autoRedefine/>
    <w:qFormat/>
    <w:locked/>
    <w:uiPriority w:val="0"/>
    <w:rPr>
      <w:rFonts w:ascii="Times New Roman" w:hAnsi="Times New Roman" w:eastAsia="宋体"/>
      <w:sz w:val="24"/>
    </w:rPr>
  </w:style>
  <w:style w:type="paragraph" w:customStyle="1" w:styleId="281">
    <w:name w:val="List Paragraph1"/>
    <w:basedOn w:val="1"/>
    <w:autoRedefine/>
    <w:qFormat/>
    <w:uiPriority w:val="0"/>
    <w:pPr>
      <w:ind w:firstLine="420" w:firstLineChars="200"/>
    </w:pPr>
    <w:rPr>
      <w:rFonts w:eastAsia="宋体"/>
    </w:rPr>
  </w:style>
  <w:style w:type="paragraph" w:customStyle="1" w:styleId="282">
    <w:name w:val="reader-word-layer reader-word-s2-5"/>
    <w:basedOn w:val="1"/>
    <w:autoRedefine/>
    <w:qFormat/>
    <w:uiPriority w:val="0"/>
    <w:pPr>
      <w:widowControl/>
      <w:spacing w:before="100" w:beforeAutospacing="1" w:after="100" w:afterAutospacing="1"/>
      <w:jc w:val="left"/>
    </w:pPr>
    <w:rPr>
      <w:rFonts w:ascii="宋体" w:hAnsi="宋体" w:eastAsia="宋体" w:cs="宋体"/>
      <w:kern w:val="0"/>
      <w:sz w:val="24"/>
    </w:rPr>
  </w:style>
  <w:style w:type="character" w:customStyle="1" w:styleId="283">
    <w:name w:val="未处理的提及"/>
    <w:autoRedefine/>
    <w:unhideWhenUsed/>
    <w:qFormat/>
    <w:uiPriority w:val="99"/>
    <w:rPr>
      <w:color w:val="605E5C"/>
      <w:shd w:val="clear" w:color="auto" w:fill="E1DFDD"/>
    </w:rPr>
  </w:style>
  <w:style w:type="character" w:customStyle="1" w:styleId="284">
    <w:name w:val="Char Char11"/>
    <w:autoRedefine/>
    <w:qFormat/>
    <w:uiPriority w:val="99"/>
    <w:rPr>
      <w:rFonts w:eastAsia="宋体"/>
      <w:kern w:val="2"/>
      <w:sz w:val="24"/>
      <w:lang w:val="en-US" w:eastAsia="zh-CN"/>
    </w:rPr>
  </w:style>
  <w:style w:type="character" w:customStyle="1" w:styleId="285">
    <w:name w:val="正文文本 Char1"/>
    <w:autoRedefine/>
    <w:semiHidden/>
    <w:qFormat/>
    <w:uiPriority w:val="0"/>
    <w:rPr>
      <w:rFonts w:ascii="Times New Roman" w:hAnsi="Times New Roman" w:eastAsia="宋体" w:cs="Times New Roman"/>
      <w:szCs w:val="24"/>
    </w:rPr>
  </w:style>
  <w:style w:type="paragraph" w:customStyle="1" w:styleId="286">
    <w:name w:val="样式"/>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87">
    <w:name w:val="Char11"/>
    <w:basedOn w:val="1"/>
    <w:autoRedefine/>
    <w:qFormat/>
    <w:uiPriority w:val="99"/>
    <w:rPr>
      <w:rFonts w:ascii="Tahoma" w:hAnsi="Tahoma" w:eastAsia="宋体"/>
      <w:sz w:val="24"/>
      <w:szCs w:val="20"/>
    </w:rPr>
  </w:style>
  <w:style w:type="paragraph" w:customStyle="1" w:styleId="288">
    <w:name w:val="Char Char Char Char1"/>
    <w:basedOn w:val="1"/>
    <w:autoRedefine/>
    <w:qFormat/>
    <w:uiPriority w:val="99"/>
    <w:pPr>
      <w:widowControl/>
      <w:spacing w:after="160" w:line="240" w:lineRule="exact"/>
      <w:jc w:val="left"/>
    </w:pPr>
    <w:rPr>
      <w:rFonts w:eastAsia="宋体"/>
      <w:szCs w:val="20"/>
    </w:rPr>
  </w:style>
  <w:style w:type="paragraph" w:customStyle="1" w:styleId="289">
    <w:name w:val="Normal_0"/>
    <w:autoRedefine/>
    <w:qFormat/>
    <w:uiPriority w:val="99"/>
    <w:pPr>
      <w:spacing w:before="120" w:after="240"/>
      <w:jc w:val="both"/>
    </w:pPr>
    <w:rPr>
      <w:rFonts w:ascii="Calibri" w:hAnsi="Calibri" w:eastAsia="Calibri" w:cs="Times New Roman"/>
      <w:sz w:val="22"/>
      <w:szCs w:val="22"/>
      <w:lang w:val="ru-RU" w:eastAsia="en-US" w:bidi="ar-SA"/>
    </w:rPr>
  </w:style>
  <w:style w:type="paragraph" w:customStyle="1" w:styleId="290">
    <w:name w:val="_Style 29"/>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1">
    <w:name w:val="Char Char Char Char11"/>
    <w:basedOn w:val="1"/>
    <w:autoRedefine/>
    <w:qFormat/>
    <w:uiPriority w:val="99"/>
    <w:pPr>
      <w:widowControl/>
      <w:spacing w:after="160" w:line="240" w:lineRule="exact"/>
      <w:jc w:val="left"/>
    </w:pPr>
    <w:rPr>
      <w:rFonts w:eastAsia="宋体"/>
      <w:szCs w:val="20"/>
    </w:rPr>
  </w:style>
  <w:style w:type="paragraph" w:customStyle="1" w:styleId="292">
    <w:name w:val="Char12"/>
    <w:basedOn w:val="1"/>
    <w:autoRedefine/>
    <w:qFormat/>
    <w:uiPriority w:val="99"/>
    <w:rPr>
      <w:rFonts w:ascii="Tahoma" w:hAnsi="Tahoma" w:eastAsia="宋体"/>
      <w:sz w:val="24"/>
      <w:szCs w:val="20"/>
    </w:rPr>
  </w:style>
  <w:style w:type="paragraph" w:customStyle="1" w:styleId="293">
    <w:name w:val="Char111"/>
    <w:basedOn w:val="1"/>
    <w:autoRedefine/>
    <w:qFormat/>
    <w:uiPriority w:val="99"/>
    <w:rPr>
      <w:rFonts w:ascii="Tahoma" w:hAnsi="Tahoma" w:eastAsia="宋体"/>
      <w:sz w:val="24"/>
      <w:szCs w:val="20"/>
    </w:rPr>
  </w:style>
  <w:style w:type="paragraph" w:customStyle="1" w:styleId="294">
    <w:name w:val="访问过的超链接1"/>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95">
    <w:name w:val="Char Char Char Char2"/>
    <w:basedOn w:val="1"/>
    <w:autoRedefine/>
    <w:qFormat/>
    <w:uiPriority w:val="99"/>
    <w:pPr>
      <w:widowControl/>
      <w:spacing w:after="160" w:line="240" w:lineRule="exact"/>
      <w:jc w:val="left"/>
    </w:pPr>
    <w:rPr>
      <w:rFonts w:eastAsia="宋体"/>
      <w:szCs w:val="20"/>
    </w:rPr>
  </w:style>
  <w:style w:type="character" w:customStyle="1" w:styleId="296">
    <w:name w:val="正文文本 字符"/>
    <w:autoRedefine/>
    <w:qFormat/>
    <w:uiPriority w:val="0"/>
    <w:rPr>
      <w:b/>
      <w:i/>
      <w:szCs w:val="24"/>
    </w:rPr>
  </w:style>
  <w:style w:type="paragraph" w:customStyle="1" w:styleId="297">
    <w:name w:val="纯文本2"/>
    <w:basedOn w:val="1"/>
    <w:autoRedefine/>
    <w:qFormat/>
    <w:uiPriority w:val="0"/>
    <w:rPr>
      <w:rFonts w:ascii="宋体" w:hAnsi="Courier New" w:cs="Courier New"/>
      <w:szCs w:val="21"/>
    </w:rPr>
  </w:style>
  <w:style w:type="paragraph" w:customStyle="1" w:styleId="298">
    <w:name w:val="TOC 标题3"/>
    <w:basedOn w:val="2"/>
    <w:next w:val="1"/>
    <w:autoRedefine/>
    <w:unhideWhenUsed/>
    <w:qFormat/>
    <w:uiPriority w:val="39"/>
    <w:pPr>
      <w:widowControl/>
      <w:adjustRightInd/>
      <w:spacing w:before="480" w:after="0" w:line="276" w:lineRule="auto"/>
      <w:jc w:val="left"/>
      <w:textAlignment w:val="auto"/>
      <w:outlineLvl w:val="9"/>
    </w:pPr>
    <w:rPr>
      <w:rFonts w:asciiTheme="majorHAnsi" w:hAnsiTheme="majorHAnsi" w:eastAsiaTheme="majorEastAsia" w:cstheme="majorBidi"/>
      <w:color w:val="376092" w:themeColor="accent1" w:themeShade="BF"/>
      <w:kern w:val="0"/>
      <w:sz w:val="28"/>
      <w:szCs w:val="28"/>
    </w:rPr>
  </w:style>
  <w:style w:type="character" w:customStyle="1" w:styleId="299">
    <w:name w:val="HTML 预设格式 Char"/>
    <w:basedOn w:val="52"/>
    <w:link w:val="43"/>
    <w:autoRedefine/>
    <w:qFormat/>
    <w:uiPriority w:val="0"/>
    <w:rPr>
      <w:rFonts w:ascii="黑体" w:hAnsi="Courier New" w:eastAsia="黑体"/>
    </w:rPr>
  </w:style>
  <w:style w:type="paragraph" w:customStyle="1" w:styleId="300">
    <w:name w:val="reader-word-layer"/>
    <w:basedOn w:val="1"/>
    <w:autoRedefine/>
    <w:qFormat/>
    <w:uiPriority w:val="0"/>
    <w:pPr>
      <w:spacing w:before="100" w:beforeAutospacing="1" w:after="100" w:afterAutospacing="1"/>
    </w:pPr>
    <w:rPr>
      <w:rFonts w:eastAsia="宋体"/>
      <w:szCs w:val="20"/>
    </w:rPr>
  </w:style>
  <w:style w:type="paragraph" w:customStyle="1" w:styleId="301">
    <w:name w:val="列出段落11"/>
    <w:basedOn w:val="1"/>
    <w:autoRedefine/>
    <w:qFormat/>
    <w:uiPriority w:val="0"/>
    <w:pPr>
      <w:autoSpaceDE w:val="0"/>
      <w:autoSpaceDN w:val="0"/>
      <w:ind w:firstLine="420" w:firstLineChars="200"/>
      <w:jc w:val="left"/>
    </w:pPr>
    <w:rPr>
      <w:rFonts w:eastAsia="宋体"/>
      <w:kern w:val="0"/>
      <w:sz w:val="22"/>
      <w:lang w:val="zh-CN" w:bidi="zh-CN"/>
    </w:rPr>
  </w:style>
  <w:style w:type="paragraph" w:customStyle="1" w:styleId="302">
    <w:name w:val="正文文本 31"/>
    <w:basedOn w:val="1"/>
    <w:autoRedefine/>
    <w:qFormat/>
    <w:uiPriority w:val="0"/>
    <w:pPr>
      <w:autoSpaceDE w:val="0"/>
      <w:autoSpaceDN w:val="0"/>
      <w:spacing w:after="120"/>
      <w:jc w:val="left"/>
    </w:pPr>
    <w:rPr>
      <w:rFonts w:eastAsia="宋体" w:cs="宋体"/>
      <w:kern w:val="0"/>
      <w:sz w:val="16"/>
      <w:szCs w:val="16"/>
      <w:lang w:val="zh-CN" w:bidi="zh-CN"/>
    </w:rPr>
  </w:style>
  <w:style w:type="paragraph" w:customStyle="1" w:styleId="303">
    <w:name w:val="Revision"/>
    <w:autoRedefine/>
    <w:hidden/>
    <w:unhideWhenUsed/>
    <w:qFormat/>
    <w:uiPriority w:val="99"/>
    <w:rPr>
      <w:rFonts w:ascii="Times New Roman" w:hAnsi="Times New Roman" w:eastAsia="Arial Unicode MS" w:cs="Times New Roman"/>
      <w:kern w:val="2"/>
      <w:sz w:val="21"/>
      <w:szCs w:val="24"/>
      <w:lang w:val="en-US" w:eastAsia="zh-CN" w:bidi="ar-SA"/>
    </w:rPr>
  </w:style>
  <w:style w:type="paragraph" w:customStyle="1" w:styleId="304">
    <w:name w:val="数字编号列项（二级）"/>
    <w:autoRedefine/>
    <w:qFormat/>
    <w:uiPriority w:val="0"/>
    <w:pPr>
      <w:numPr>
        <w:ilvl w:val="1"/>
        <w:numId w:val="5"/>
      </w:numPr>
      <w:jc w:val="both"/>
    </w:pPr>
    <w:rPr>
      <w:rFonts w:ascii="宋体" w:hAnsi="Times New Roman" w:eastAsia="宋体" w:cs="Times New Roman"/>
      <w:sz w:val="21"/>
      <w:lang w:val="en-US" w:eastAsia="zh-CN" w:bidi="ar-SA"/>
    </w:rPr>
  </w:style>
  <w:style w:type="table" w:customStyle="1" w:styleId="305">
    <w:name w:val="网格型1"/>
    <w:basedOn w:val="50"/>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306">
    <w:name w:val="Body text|1"/>
    <w:basedOn w:val="1"/>
    <w:autoRedefine/>
    <w:qFormat/>
    <w:uiPriority w:val="0"/>
    <w:pPr>
      <w:widowControl w:val="0"/>
      <w:shd w:val="clear" w:color="auto" w:fill="auto"/>
      <w:spacing w:line="401" w:lineRule="auto"/>
      <w:ind w:firstLine="400"/>
    </w:pPr>
    <w:rPr>
      <w:rFonts w:ascii="宋体" w:hAnsi="宋体" w:eastAsia="宋体" w:cs="宋体"/>
      <w:sz w:val="30"/>
      <w:szCs w:val="30"/>
      <w:u w:val="none"/>
      <w:shd w:val="clear" w:color="auto" w:fill="auto"/>
      <w:lang w:val="zh-TW" w:eastAsia="zh-TW" w:bidi="zh-TW"/>
    </w:rPr>
  </w:style>
  <w:style w:type="paragraph" w:customStyle="1" w:styleId="307">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_rels/numbering.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MS</Company>
  <Pages>62</Pages>
  <Words>3065</Words>
  <Characters>3643</Characters>
  <Lines>349</Lines>
  <Paragraphs>98</Paragraphs>
  <TotalTime>28</TotalTime>
  <ScaleCrop>false</ScaleCrop>
  <LinksUpToDate>false</LinksUpToDate>
  <CharactersWithSpaces>3728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2021-03-12T07:18:00Z</dcterms:created>
  <dc:creator>Lv Ji_BM</dc:creator>
  <cp:lastModifiedBy>Jun</cp:lastModifiedBy>
  <cp:lastPrinted>2023-08-16T07:30:00Z</cp:lastPrinted>
  <dcterms:modified xsi:type="dcterms:W3CDTF">2026-06-25T08:40:50Z</dcterms:modified>
  <dc:title>_x0001_</dc:title>
  <cp:revision>137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96DE3F9F64A8443B9153C6FE4ED87940_13</vt:lpwstr>
  </property>
  <property fmtid="{D5CDD505-2E9C-101B-9397-08002B2CF9AE}" pid="4" name="KSOTemplateDocerSaveRecord">
    <vt:lpwstr>eyJoZGlkIjoiZDU3NDQxYWM0MTczYjBhMzlmYjdkYmMwMzBhMmYwMWMiLCJ1c2VySWQiOiIyNTQ0OTA1OTQifQ==</vt:lpwstr>
  </property>
</Properties>
</file>