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版本号：HRC-ZBDL-2026-0089820260812001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练功地毯采购项目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HRC-ZBDL-2026-00898</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练功地毯采购项目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HRC-ZBDL-2026-00898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练功地毯采购项目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本项目采购戏曲练功房专用地毯一批，根据练功房实际面积定制，含运输、上门铺设、接缝处理及固边安装。具体数量及规格以采购清单为准，铺设后须实现满铺、接缝平整牢固、无翘边起鼓。</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采购包1（练功地毯）：属于专门面向中小企业采购。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王寒星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采购包1：1,940,680.00元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银行账号：30205868007157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说明：供应商中标后凭中标通知书向学校缴纳中标金额的5%作为履约保证金，待合同履约完毕后无息退还。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号)收费标准和代理协议约定计取。 户名：华睿诚项目管理有限公司 开户行：西安银行股份有限公司小寨东路支行 账号：816011580000101224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联系人：王欢</w:t>
      </w:r>
    </w:p>
    <w:p>
      <w:pPr>
        <w:pStyle w:val="null3"/>
      </w:pPr>
      <w:r>
        <w:rPr>
          <w:rFonts w:ascii="仿宋_GB2312" w:hAnsi="仿宋_GB2312" w:cs="仿宋_GB2312" w:eastAsia="仿宋_GB2312"/>
        </w:rPr>
        <w:t>联系电话：029-88228813</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本项目采购戏曲练功房专用地毯一批，根据练功房实际面积定制，含运输、上门铺设、接缝处理及固边安装。具体数量及规格以采购清单为准，铺设后须实现满铺、接缝平整牢固、无翘边起鼓。</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1,940,680.00</w:t>
      </w:r>
    </w:p>
    <w:p>
      <w:pPr>
        <w:pStyle w:val="null3"/>
      </w:pPr>
      <w:r>
        <w:rPr>
          <w:rFonts w:ascii="仿宋_GB2312" w:hAnsi="仿宋_GB2312" w:cs="仿宋_GB2312" w:eastAsia="仿宋_GB2312"/>
        </w:rPr>
        <w:t>采购包最高限价（元）: 1,940,680.00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练功地毯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1,940,680.00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标的名称：练功地毯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47"/>
            </w:tblGrid>
            <w:tr>
              <w:tc>
                <w:tcPr>
                  <w:tcW w:type="dxa" w:w="2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项目概述</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1）项目背景与必要性</w:t>
                  </w:r>
                </w:p>
                <w:p>
                  <w:pPr>
                    <w:pStyle w:val="null3"/>
                    <w:jc w:val="left"/>
                  </w:pPr>
                  <w:r>
                    <w:rPr>
                      <w:rFonts w:ascii="仿宋_GB2312" w:hAnsi="仿宋_GB2312" w:cs="仿宋_GB2312" w:eastAsia="仿宋_GB2312"/>
                      <w:sz w:val="19"/>
                    </w:rPr>
                    <w:t>西安戏剧学院为新成立本科院校，戏曲系排练厅是戏曲表演专业</w:t>
                  </w:r>
                  <w:r>
                    <w:rPr>
                      <w:rFonts w:ascii="仿宋_GB2312" w:hAnsi="仿宋_GB2312" w:cs="仿宋_GB2312" w:eastAsia="仿宋_GB2312"/>
                      <w:sz w:val="19"/>
                    </w:rPr>
                    <w:t>“四功五法”日常教学的核心场所。戏曲教学包含大量翻腾、跌扑、跪转、滑叉等高强度程式化动作，普通地面缺乏专业缓冲，存在严重安全隐患，无法满足专业教学基本条件。配备专业练功地毯是构建规范教学环境、保障师生人身安全、防范运动损伤的迫切需要。</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2）项目目标</w:t>
                  </w:r>
                </w:p>
                <w:p>
                  <w:pPr>
                    <w:pStyle w:val="null3"/>
                    <w:jc w:val="left"/>
                  </w:pPr>
                  <w:r>
                    <w:rPr>
                      <w:rFonts w:ascii="仿宋_GB2312" w:hAnsi="仿宋_GB2312" w:cs="仿宋_GB2312" w:eastAsia="仿宋_GB2312"/>
                      <w:sz w:val="19"/>
                    </w:rPr>
                    <w:t>通过本次采购，为戏曲系练功房完成专业地毯满铺配置，实现教学场地专业化、安全化、标准化，满足戏曲日常教学、排练及基本功训练需要，有效降低运动损伤风险，保障教学质量，为培养戏曲表演人才提供合格的硬件支撑。</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3）项目内容</w:t>
                  </w:r>
                </w:p>
                <w:p>
                  <w:pPr>
                    <w:pStyle w:val="null3"/>
                    <w:jc w:val="left"/>
                  </w:pPr>
                  <w:r>
                    <w:rPr>
                      <w:rFonts w:ascii="仿宋_GB2312" w:hAnsi="仿宋_GB2312" w:cs="仿宋_GB2312" w:eastAsia="仿宋_GB2312"/>
                      <w:sz w:val="19"/>
                    </w:rPr>
                    <w:t>本项目采购戏曲练功房专用地毯一批，根据练功房实际面积定制，含运输、上门铺设、接缝处理及固边安装。具体数量及规格以采购清单为准，铺设后须实现满铺、接缝平整牢固、无翘边起鼓。</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4）功能要求</w:t>
                  </w:r>
                </w:p>
                <w:p>
                  <w:pPr>
                    <w:pStyle w:val="null3"/>
                    <w:jc w:val="left"/>
                  </w:pPr>
                  <w:r>
                    <w:rPr>
                      <w:rFonts w:ascii="仿宋_GB2312" w:hAnsi="仿宋_GB2312" w:cs="仿宋_GB2312" w:eastAsia="仿宋_GB2312"/>
                      <w:sz w:val="19"/>
                    </w:rPr>
                    <w:t>地毯须具备良好的防滑性能与适度弹性，能有效缓冲跌扑冲击力，适应翻、滚、腾、跃等戏曲基本功训练强度；须耐磨耐压，满足长期高频率使用；环保指标达到</w:t>
                  </w:r>
                  <w:r>
                    <w:rPr>
                      <w:rFonts w:ascii="仿宋_GB2312" w:hAnsi="仿宋_GB2312" w:cs="仿宋_GB2312" w:eastAsia="仿宋_GB2312"/>
                      <w:sz w:val="19"/>
                    </w:rPr>
                    <w:t>E0级，阻燃等级不低于B1级；铺设后表面平整、接缝严密，保障师生日常教学安全。</w:t>
                  </w:r>
                </w:p>
              </w:tc>
            </w:tr>
          </w:tbl>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2"/>
              <w:gridCol w:w="1110"/>
              <w:gridCol w:w="409"/>
              <w:gridCol w:w="224"/>
              <w:gridCol w:w="493"/>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产品</w:t>
                  </w:r>
                </w:p>
                <w:p>
                  <w:pPr>
                    <w:pStyle w:val="null3"/>
                    <w:jc w:val="center"/>
                  </w:pPr>
                  <w:r>
                    <w:rPr>
                      <w:rFonts w:ascii="仿宋_GB2312" w:hAnsi="仿宋_GB2312" w:cs="仿宋_GB2312" w:eastAsia="仿宋_GB2312"/>
                      <w:sz w:val="19"/>
                    </w:rPr>
                    <w:t>名称</w:t>
                  </w:r>
                </w:p>
              </w:tc>
              <w:tc>
                <w:tcPr>
                  <w:tcW w:type="dxa" w:w="1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技术标准</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配置要求</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戏曲练功地毯</w:t>
                  </w:r>
                </w:p>
              </w:tc>
              <w:tc>
                <w:tcPr>
                  <w:tcW w:type="dxa" w:w="1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1.工艺：手工枪刺，成品做背胶处理；</w:t>
                  </w:r>
                </w:p>
                <w:p>
                  <w:pPr>
                    <w:pStyle w:val="null3"/>
                    <w:jc w:val="left"/>
                  </w:pPr>
                  <w:r>
                    <w:rPr>
                      <w:rFonts w:ascii="仿宋_GB2312" w:hAnsi="仿宋_GB2312" w:cs="仿宋_GB2312" w:eastAsia="仿宋_GB2312"/>
                      <w:sz w:val="19"/>
                    </w:rPr>
                    <w:t>2.材质：80%新西兰羊毛</w:t>
                  </w:r>
                  <w:r>
                    <w:rPr>
                      <w:rFonts w:ascii="仿宋_GB2312" w:hAnsi="仿宋_GB2312" w:cs="仿宋_GB2312" w:eastAsia="仿宋_GB2312"/>
                      <w:sz w:val="19"/>
                    </w:rPr>
                    <w:t>、</w:t>
                  </w:r>
                  <w:r>
                    <w:rPr>
                      <w:rFonts w:ascii="仿宋_GB2312" w:hAnsi="仿宋_GB2312" w:cs="仿宋_GB2312" w:eastAsia="仿宋_GB2312"/>
                      <w:sz w:val="19"/>
                    </w:rPr>
                    <w:t>20%锦纶</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3.绒头纱织：380/1Tex；</w:t>
                  </w:r>
                </w:p>
                <w:p>
                  <w:pPr>
                    <w:pStyle w:val="null3"/>
                    <w:jc w:val="left"/>
                  </w:pPr>
                  <w:r>
                    <w:rPr>
                      <w:rFonts w:ascii="仿宋_GB2312" w:hAnsi="仿宋_GB2312" w:cs="仿宋_GB2312" w:eastAsia="仿宋_GB2312"/>
                      <w:sz w:val="19"/>
                    </w:rPr>
                    <w:t>4.毯基上单位面积绒头质量：≥3kg/㎡</w:t>
                  </w:r>
                  <w:r>
                    <w:rPr>
                      <w:rFonts w:ascii="仿宋_GB2312" w:hAnsi="仿宋_GB2312" w:cs="仿宋_GB2312" w:eastAsia="仿宋_GB2312"/>
                      <w:sz w:val="19"/>
                    </w:rPr>
                    <w:t>；</w:t>
                  </w:r>
                </w:p>
                <w:p>
                  <w:pPr>
                    <w:pStyle w:val="null3"/>
                    <w:jc w:val="left"/>
                  </w:pPr>
                  <w:r>
                    <w:rPr>
                      <w:rFonts w:ascii="仿宋_GB2312" w:hAnsi="仿宋_GB2312" w:cs="仿宋_GB2312" w:eastAsia="仿宋_GB2312"/>
                      <w:sz w:val="21"/>
                    </w:rPr>
                    <w:t>5.总重：</w:t>
                  </w:r>
                  <w:r>
                    <w:rPr>
                      <w:rFonts w:ascii="仿宋_GB2312" w:hAnsi="仿宋_GB2312" w:cs="仿宋_GB2312" w:eastAsia="仿宋_GB2312"/>
                      <w:sz w:val="21"/>
                    </w:rPr>
                    <w:t>＞</w:t>
                  </w:r>
                  <w:r>
                    <w:rPr>
                      <w:rFonts w:ascii="仿宋_GB2312" w:hAnsi="仿宋_GB2312" w:cs="仿宋_GB2312" w:eastAsia="仿宋_GB2312"/>
                      <w:sz w:val="21"/>
                    </w:rPr>
                    <w:t>3.8kg/㎡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有效绒高：</w:t>
                  </w:r>
                  <w:r>
                    <w:rPr>
                      <w:rFonts w:ascii="仿宋_GB2312" w:hAnsi="仿宋_GB2312" w:cs="仿宋_GB2312" w:eastAsia="仿宋_GB2312"/>
                      <w:sz w:val="21"/>
                    </w:rPr>
                    <w:t>8~12mm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总厚度：＞</w:t>
                  </w:r>
                  <w:r>
                    <w:rPr>
                      <w:rFonts w:ascii="仿宋_GB2312" w:hAnsi="仿宋_GB2312" w:cs="仿宋_GB2312" w:eastAsia="仿宋_GB2312"/>
                      <w:sz w:val="21"/>
                    </w:rPr>
                    <w:t>13.5mm</w:t>
                  </w:r>
                </w:p>
                <w:p>
                  <w:pPr>
                    <w:pStyle w:val="null3"/>
                    <w:jc w:val="left"/>
                  </w:pPr>
                  <w:r>
                    <w:rPr>
                      <w:rFonts w:ascii="仿宋_GB2312" w:hAnsi="仿宋_GB2312" w:cs="仿宋_GB2312" w:eastAsia="仿宋_GB2312"/>
                      <w:sz w:val="19"/>
                    </w:rPr>
                    <w:t>8.脱毛量：≤15g/㎡，长期使用翻滚不起球、不倒绒；</w:t>
                  </w:r>
                </w:p>
                <w:p>
                  <w:pPr>
                    <w:pStyle w:val="null3"/>
                    <w:jc w:val="left"/>
                  </w:pPr>
                  <w:r>
                    <w:rPr>
                      <w:rFonts w:ascii="仿宋_GB2312" w:hAnsi="仿宋_GB2312" w:cs="仿宋_GB2312" w:eastAsia="仿宋_GB2312"/>
                      <w:sz w:val="19"/>
                    </w:rPr>
                    <w:t>9.防静电：表面电阻率吧1.0*10⁶~1.0*10⁹Ω；</w:t>
                  </w:r>
                </w:p>
                <w:p>
                  <w:pPr>
                    <w:pStyle w:val="null3"/>
                    <w:jc w:val="left"/>
                  </w:pPr>
                  <w:r>
                    <w:rPr>
                      <w:rFonts w:ascii="仿宋_GB2312" w:hAnsi="仿宋_GB2312" w:cs="仿宋_GB2312" w:eastAsia="仿宋_GB2312"/>
                      <w:sz w:val="19"/>
                    </w:rPr>
                    <w:t>10.针步：28针/10cm</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11.行数：22行/10cm</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12.绒簇数：4/4毛纱；</w:t>
                  </w:r>
                </w:p>
                <w:p>
                  <w:pPr>
                    <w:pStyle w:val="null3"/>
                    <w:jc w:val="left"/>
                  </w:pPr>
                  <w:r>
                    <w:rPr>
                      <w:rFonts w:ascii="仿宋_GB2312" w:hAnsi="仿宋_GB2312" w:cs="仿宋_GB2312" w:eastAsia="仿宋_GB2312"/>
                      <w:sz w:val="19"/>
                    </w:rPr>
                    <w:t>13.衬底：67%棉/ 33%涤纶；</w:t>
                  </w:r>
                </w:p>
                <w:p>
                  <w:pPr>
                    <w:pStyle w:val="null3"/>
                    <w:jc w:val="left"/>
                  </w:pPr>
                  <w:r>
                    <w:rPr>
                      <w:rFonts w:ascii="仿宋_GB2312" w:hAnsi="仿宋_GB2312" w:cs="仿宋_GB2312" w:eastAsia="仿宋_GB2312"/>
                      <w:sz w:val="19"/>
                    </w:rPr>
                    <w:t>14.二层底布：棉网布；</w:t>
                  </w:r>
                </w:p>
                <w:p>
                  <w:pPr>
                    <w:pStyle w:val="null3"/>
                    <w:jc w:val="left"/>
                  </w:pPr>
                  <w:r>
                    <w:rPr>
                      <w:rFonts w:ascii="仿宋_GB2312" w:hAnsi="仿宋_GB2312" w:cs="仿宋_GB2312" w:eastAsia="仿宋_GB2312"/>
                      <w:sz w:val="19"/>
                    </w:rPr>
                    <w:t>15.胶水主要成分：环保天然乳胶，无回收废胶，voc≤0.5mg/m³；</w:t>
                  </w:r>
                </w:p>
                <w:p>
                  <w:pPr>
                    <w:pStyle w:val="null3"/>
                    <w:jc w:val="left"/>
                  </w:pPr>
                  <w:r>
                    <w:rPr>
                      <w:rFonts w:ascii="仿宋_GB2312" w:hAnsi="仿宋_GB2312" w:cs="仿宋_GB2312" w:eastAsia="仿宋_GB2312"/>
                      <w:sz w:val="19"/>
                    </w:rPr>
                    <w:t>16.整体平整度误差：≤2mm/3m靠尺；</w:t>
                  </w:r>
                </w:p>
                <w:p>
                  <w:pPr>
                    <w:pStyle w:val="null3"/>
                    <w:jc w:val="left"/>
                  </w:pPr>
                  <w:r>
                    <w:rPr>
                      <w:rFonts w:ascii="仿宋_GB2312" w:hAnsi="仿宋_GB2312" w:cs="仿宋_GB2312" w:eastAsia="仿宋_GB2312"/>
                      <w:sz w:val="19"/>
                    </w:rPr>
                    <w:t>17.耐光色牢度：≥4级，干摩擦色牢度：≥3-4级，湿摩擦色牢度：≥3级。</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A1教室（240平米）</w:t>
                  </w:r>
                </w:p>
                <w:p>
                  <w:pPr>
                    <w:pStyle w:val="null3"/>
                    <w:jc w:val="center"/>
                  </w:pPr>
                  <w:r>
                    <w:rPr>
                      <w:rFonts w:ascii="仿宋_GB2312" w:hAnsi="仿宋_GB2312" w:cs="仿宋_GB2312" w:eastAsia="仿宋_GB2312"/>
                      <w:sz w:val="19"/>
                    </w:rPr>
                    <w:t>B1教室（160平米）</w:t>
                  </w:r>
                </w:p>
                <w:p>
                  <w:pPr>
                    <w:pStyle w:val="null3"/>
                    <w:jc w:val="center"/>
                  </w:pPr>
                  <w:r>
                    <w:rPr>
                      <w:rFonts w:ascii="仿宋_GB2312" w:hAnsi="仿宋_GB2312" w:cs="仿宋_GB2312" w:eastAsia="仿宋_GB2312"/>
                      <w:sz w:val="19"/>
                    </w:rPr>
                    <w:t>B3教室（160平米）</w:t>
                  </w:r>
                </w:p>
                <w:p>
                  <w:pPr>
                    <w:pStyle w:val="null3"/>
                    <w:jc w:val="center"/>
                  </w:pPr>
                  <w:r>
                    <w:rPr>
                      <w:rFonts w:ascii="仿宋_GB2312" w:hAnsi="仿宋_GB2312" w:cs="仿宋_GB2312" w:eastAsia="仿宋_GB2312"/>
                      <w:sz w:val="19"/>
                    </w:rPr>
                    <w:t>B4教室（84平米）</w:t>
                  </w:r>
                </w:p>
                <w:p>
                  <w:pPr>
                    <w:pStyle w:val="null3"/>
                    <w:jc w:val="center"/>
                  </w:pPr>
                  <w:r>
                    <w:rPr>
                      <w:rFonts w:ascii="仿宋_GB2312" w:hAnsi="仿宋_GB2312" w:cs="仿宋_GB2312" w:eastAsia="仿宋_GB2312"/>
                      <w:sz w:val="19"/>
                    </w:rPr>
                    <w:t>C2教室（168平米）</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812平方米（6块地毯）</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提供样品尺寸为：</w:t>
                  </w:r>
                  <w:r>
                    <w:rPr>
                      <w:rFonts w:ascii="仿宋_GB2312" w:hAnsi="仿宋_GB2312" w:cs="仿宋_GB2312" w:eastAsia="仿宋_GB2312"/>
                      <w:sz w:val="19"/>
                    </w:rPr>
                    <w:t>50cm*50cm，符合本表技术标准要求。</w:t>
                  </w:r>
                </w:p>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★西安戏剧学院（指定位置）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预付项目款40%，待所有货物到达指定地点、安装调试完成并由学校验收合格后，凭供应商开具的全额发票，30日内一次性付清合同尾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1.验收分初次开箱验收（使用部门）和学校最终验收两个阶段，以最终验收为准。 2.货物到货后，甲、乙双方共同开箱验收。在检查货物原产地、型号、规格、配置符合合同要求后，由乙方负责安装、地毯铺装完毕后，由使用部门、采购部门及供应商共同验收。验收内容包括：外观无污损、色差、起鼓、翘边；接缝平整严密、无明显缝隙；铺设平整牢固、无滑动移位；规格尺寸与合同一致；需提供产品检测报告（其内容包括产品技术要求指标），必要时可组织戏曲专业师生进行现场试练，以实际教学动作检验防滑与缓冲效果。  3.验收依据：国家行业标准、招标文件技术参数、乙方投标响应、项目封存样品。 4.甲方使用部门初验合格后提出验收申请，学校相关部门根据使用单位技术验收结果，组织有关专家进行货物的最终验收。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3年，质保期内因产品质量或铺装工艺导致的起鼓、脱胶、大面积倒仆、开裂、过度磨损等问题，供应商须免费维修或更换。质保期内因产品质量问题免费维修或更换；质保期外提供终身有偿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3.5.1安装环境、配套工作：供应商须根据练功房现场实际尺寸定制并铺设，确保地面平整、牢固防滑，接缝严密，满足戏曲练功翻滚等安全要求 。 3.5.2售后服务响应时间（质保期内）：即时响应（包括电话响应）；电话响应无法解决 24 小时内到达现场。修复时间 48 小时内解决；如在 72 小时内无法修复，则提供部件冗余服务或采取应急措施，提供相同产品或不低于故障产品规格档次的备用产品供采购人使用，以确保货物的正常使用。 3.5.3投标保证金注意事项： 投标保证金须从供应商户名支付，如从个人户名或非供应商户名支付，将被拒绝，视为自动放弃投标权利（该个人是投标人的情形除外）；投标保证金缴纳时间同投标文件递交截止时间一致，投标保证金以采购代理机构到账凭证为准，未按指定账户提交的，代理机构将退回，投标人须在文件递交截止时间前按照指定账户再次提交。 3.5.4样品递交地点：陕西省西安市莲湖区南二环西段180号财富中心二期D座2203室。 样品递交规则：本项目地毯样品不接受任何快递、物流、驿站邮寄送达，仅接受投标人工作人员在规定截止时间内现场递交、现场登记。快递寄送、逾期送达、外包装破损的样品一律不予接收，不得参与样品评审。运输、人工送样产生的所有费用由投标人自行承担。 3.5.5标注★的商务条款为实质性要求，不允许负偏离，否则投标无效；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1、提供有效合格的具有统一社会信用代码的营业执照，其他组织经营的须提供合法凭证，自然人提供身份证明文件； 2、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磋商前三个月内其基本存款账户开户银行出具的资信证明，须同时提供基本存款账户开户许可证或基本账户信息表）； 3、提供2026年1月至今已缴纳的至少一个月的税收缴纳证明（时间以税款所属日期为准)，依法免税的单位应提供相关证明材料； 4、提供2026年1月至今已缴存的至少一个月的社会保障资金缴存单据或社保机构开具的社会保险参保缴费情况证明，依法不需要缴纳社会保障资金的单位应提供相关证明材料； 5、提供具有履行本合同所必需的设备和专业技术能力的书面声明及承诺； 6、提供参加本次政府采购活动前三年内在经营活动中没有重大违法记录的书面声明；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审计报告(包括审计报告、资产负债表、利润表、现金流量表、所有者权益变动表及其附注，成立时间至提交响应文件截止时间不足一年的可提供成立后任意时段的资产负债表)或投标前三个月内其基本存款账户开户银行出具的资信证明，须同时提供基本存款账户开户许可证或基本账户信息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投标产品的制造商应为中型企业或小型、微型企业或监狱企业或残疾人福利性单位。投标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投标文件构成无重大缺项，按照招标文件要求的格式编写投标文件。</w:t>
            </w:r>
          </w:p>
        </w:tc>
        <w:tc>
          <w:tcPr>
            <w:tcW w:type="dxa" w:w="1661"/>
          </w:tcPr>
          <w:p>
            <w:pPr>
              <w:pStyle w:val="null3"/>
            </w:pPr>
            <w:r>
              <w:rPr>
                <w:rFonts w:ascii="仿宋_GB2312" w:hAnsi="仿宋_GB2312" w:cs="仿宋_GB2312" w:eastAsia="仿宋_GB2312"/>
              </w:rPr>
              <w:t>开标一览表 投标人拒绝政府采购领域商业贿赂承诺书.docx 商务响应与偏离表.docx 投标函 标的清单 投标人资格证明文件.docx 投标文件封面 技术响应与偏离表.docx 分项价格表.docx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投标函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商务响应与偏离表.docx 投标函 投标人资格证明文件.docx 投标文件封面 技术响应与偏离表.docx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商务响应与偏离表.docx 投标函 投标人资格证明文件.docx 投标文件封面 技术响应与偏离表.docx 分项价格表.docx 投标人认为需要补充的其他内容.docx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技术参数完全符合、响应招标文件3.3技术要求中“2、采购清单及技术标准、配置要求”，没有负偏离计17分；参数每负偏离一项扣1分。 备注：1、上述参数完全复制招标文件技术指标要求的，给予10分扣分。2、所投产品必须提供佐证材料，否则视为负偏离，佐证材料包括但不限于产品技术说明或官网截图或检测报告或产品彩页等。</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p>
            <w:pPr>
              <w:pStyle w:val="null3"/>
            </w:pPr>
            <w:r>
              <w:rPr>
                <w:rFonts w:ascii="仿宋_GB2312" w:hAnsi="仿宋_GB2312" w:cs="仿宋_GB2312" w:eastAsia="仿宋_GB2312"/>
              </w:rPr>
              <w:t>投标人认为需要补充的其他内容.docx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投标人提供针对本项目的实施方案，包括但不限于①备货供货方案；②地毯铺设方案；③辅料选择及安装方案；④成品保护方案⑤团队人员配备等。 以上5项共计5分，每有一项缺失的1分，每项中每有1处存在内容缺陷（缺陷是指以下情形中的任意一项：存在不适用该项目实际情况的情形、内容过于简单、凭空编造、内容前后不一致、前后逻辑错误、涉及的规范及标准错误、地点区域错误、内容缺失、无针对性、内容与项目内在需求有漏项等）扣0.25分，扣完为止，无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提供产品合法来源渠道证明文件（包括但不限于销售协议或代理协议或原厂授权等），提供计3分，未提供或证明材料链条不完整不计分。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根据投标人所提供样品进行评审，未提交样品与所提交样品不符合招标文件样品要求，本项均不得分。 1、面料质感与脚感（5分） 1.1  优秀（5分）：毯面纤维密实均匀，踩压回弹好，脚感柔软厚实，触感细腻顺滑，无扎手、粗糙、发硬现象，整体舒适程度高； 1.2  良好（3分）：纤维排布基本均匀，回弹一般，触感正常，轻微偏硬，不影响日常练功使用； 1.3  一般（1分）：纤维稀疏，踩压后回弹差，手感粗糙、发硬，脚感较差。 2、织造与裁剪做工（5分） 2.1 优秀（5分）：毯面织造纹理整齐，边缘锁边工整密实，无毛丝、跳线、漏织，裁切平直无歪边，拼接处平整无凸起； 2.2 良好（3分）：织造整体规整，锁边存在少量细微毛边，无大面积跳线漏织，裁切轻微不齐，不影响使用； 2.3  一般（1分）：织造杂乱，锁边松散、大量毛边，裁切歪斜、存在明显跳线瑕疵。 3、外观整体观感（5分） 3.1 优秀（5分）：色泽均匀无色差，无异味、无杂色斑块，毯面平整无褶皱、凹凸，视觉整洁美观； 3.2 良好（3分）：轻微色差，无刺鼻异味，少量轻微褶皱，整体外观达标； 3.3 一般（1分）：色差明显，存在异味，毯面褶皱、凹凸严重，观感较差。 注：评审现场提供与投标文件一致的样品，递交时间同投标文件递交截止时间一致（样品密封递交，密封包装上务必注明项目名称、项目编号、投标单位名称、"样品"字样，逾期递交的不予接收）。未密封提供的样品评分项不得分。中标（成交）供应商样品作为验收依据转采购人接收，未中标（未成交）供应商样品采购结果公示后五个工作日内退还。</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投标人认为需要补充的其他内容.docx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方案必须包含： ①质保期限承诺（地毯本体、铺装质保划分）； ②故障报修渠道与响应时限； ③质保期内免费维修、局部更换服务； ④备品备货保障（同规格同色地毯备料方案）； ⑤地毯日常养护、清洁指导培训； ⑥定期上门巡检服务计划； ⑦超质保期优惠维修收费标准； ⑧售后回访、投诉处置机制。 计分规则 1. 上述8项内容全部列明，得10分； 2. 每缺失任意1项扣1.25分； 3. 未提供专项售后服务方案，本项计0分。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1、岗位权责（4分） 人员配置方案明确列明：项目负责人、安装技术人员各自独立岗位职责、工作内容、项目对接职责、到货履约职责，一人一岗、分工清晰。 内容完整、分工对应岗位得4分； 未细化岗位职责、岗位混用、无对应分工不得分。 2、售后及应急保障岗位配置（4分） 明确配备专项售后对接人员，负责到货问题处理、瑕疵调换、售后答疑、质保服务对接。 明确岗位及职责得4分，未设置售后专项岗位不得分。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投标人验收方案须完整包含以下 7项固定内容： ①验收依据（采购文件、合同、地毯国家检测标准）； ②到货进场验收（数量、规格、颜色、合格证、检测报告核验）； ③铺装基层验收内容； ④铺装过程分阶段验收（拼接、倒绒、收边、固定）； ⑤整体竣工外观与尺寸验收； ⑥产品环保、阻燃性能复检流程； ⑦质量问题整改、复验、移交流程。 计分规则： 1. 7项内容全部列明，本项得7分； 2. 每缺失任意1项内容扣1分值； 3. 未提供地毯专项验收方案，本项计0分。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验收方案.docx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投标人需提供自2023年08月01日以来(以合同签订时间为准)的类似业绩,每个业绩得1分，满分5分。 注:提供业绩合同扫描件，如上述材料无法体现签订时间、服务内容等关键评审因素的，须另附业主单位(合同甲方)加盖公章的证明材料扫描件加以证明。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详见附件：投标人拒绝政府采购领域商业贿赂承诺书.docx</w:t>
      </w:r>
    </w:p>
    <w:p>
      <w:pPr>
        <w:pStyle w:val="null3"/>
        <w:ind w:firstLine="960"/>
      </w:pPr>
      <w:r>
        <w:rPr>
          <w:rFonts w:ascii="仿宋_GB2312" w:hAnsi="仿宋_GB2312" w:cs="仿宋_GB2312" w:eastAsia="仿宋_GB2312"/>
        </w:rPr>
        <w:t>详见附件：商务响应与偏离表.docx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详见附件：验收方案.docx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详见附件：投标人认为需要补充的其他内容.docx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