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AAC6A">
      <w:pPr>
        <w:pStyle w:val="10"/>
        <w:rPr>
          <w:rFonts w:hint="eastAsia" w:ascii="仿宋" w:hAnsi="仿宋" w:eastAsia="仿宋" w:cs="仿宋"/>
          <w:color w:val="auto"/>
        </w:rPr>
      </w:pPr>
      <w:r>
        <w:rPr>
          <w:rFonts w:hint="eastAsia" w:ascii="仿宋" w:hAnsi="仿宋" w:eastAsia="仿宋" w:cs="仿宋"/>
          <w:color w:val="auto"/>
        </w:rPr>
        <w:t xml:space="preserve"> </w:t>
      </w:r>
    </w:p>
    <w:p w14:paraId="674F6802">
      <w:pPr>
        <w:pStyle w:val="10"/>
        <w:rPr>
          <w:rFonts w:hint="eastAsia" w:ascii="仿宋" w:hAnsi="仿宋" w:eastAsia="仿宋" w:cs="仿宋"/>
          <w:color w:val="auto"/>
          <w:sz w:val="24"/>
          <w:szCs w:val="24"/>
        </w:rPr>
      </w:pPr>
    </w:p>
    <w:p w14:paraId="504F5CE4">
      <w:pPr>
        <w:pStyle w:val="10"/>
        <w:rPr>
          <w:rFonts w:hint="eastAsia" w:ascii="仿宋" w:hAnsi="仿宋" w:eastAsia="仿宋" w:cs="仿宋"/>
          <w:color w:val="auto"/>
          <w:highlight w:val="none"/>
          <w:lang w:val="en-US" w:eastAsia="zh-CN"/>
        </w:rPr>
      </w:pPr>
      <w:r>
        <w:rPr>
          <w:rFonts w:hint="eastAsia" w:ascii="仿宋" w:hAnsi="仿宋" w:eastAsia="仿宋" w:cs="仿宋"/>
          <w:color w:val="auto"/>
        </w:rPr>
        <w:t xml:space="preserve"> </w:t>
      </w:r>
    </w:p>
    <w:p w14:paraId="1D577663">
      <w:pPr>
        <w:pStyle w:val="3"/>
        <w:spacing w:line="360" w:lineRule="auto"/>
        <w:rPr>
          <w:rFonts w:hint="eastAsia" w:ascii="仿宋" w:hAnsi="仿宋" w:eastAsia="仿宋" w:cs="仿宋"/>
          <w:color w:val="auto"/>
          <w:highlight w:val="none"/>
          <w:lang w:val="en-US" w:eastAsia="zh-CN"/>
        </w:rPr>
      </w:pPr>
    </w:p>
    <w:p w14:paraId="7BB3AF50">
      <w:pPr>
        <w:widowControl w:val="0"/>
        <w:spacing w:line="360" w:lineRule="auto"/>
        <w:ind w:left="0" w:leftChars="0" w:firstLine="0" w:firstLineChars="0"/>
        <w:jc w:val="both"/>
        <w:rPr>
          <w:rFonts w:hint="eastAsia" w:ascii="仿宋" w:hAnsi="仿宋" w:eastAsia="仿宋" w:cs="仿宋"/>
          <w:b/>
          <w:bCs/>
          <w:color w:val="auto"/>
          <w:sz w:val="28"/>
          <w:szCs w:val="28"/>
          <w:lang w:val="en-US" w:eastAsia="zh-CN" w:bidi="ar-SA"/>
        </w:rPr>
      </w:pPr>
      <w:r>
        <w:rPr>
          <w:rFonts w:hint="eastAsia" w:ascii="仿宋" w:hAnsi="仿宋" w:eastAsia="仿宋" w:cs="仿宋"/>
          <w:b/>
          <w:bCs/>
          <w:color w:val="auto"/>
          <w:sz w:val="28"/>
          <w:szCs w:val="28"/>
          <w:lang w:val="en-US" w:eastAsia="zh-CN" w:bidi="ar-SA"/>
        </w:rPr>
        <w:t>合同编号:</w:t>
      </w:r>
    </w:p>
    <w:p w14:paraId="2526346C">
      <w:pPr>
        <w:pStyle w:val="6"/>
        <w:rPr>
          <w:rFonts w:hint="eastAsia" w:ascii="仿宋" w:hAnsi="仿宋" w:eastAsia="仿宋" w:cs="仿宋"/>
          <w:color w:val="auto"/>
          <w:lang w:val="en-US" w:eastAsia="zh-CN"/>
        </w:rPr>
      </w:pPr>
    </w:p>
    <w:p w14:paraId="7D6BAE3A">
      <w:pPr>
        <w:widowControl w:val="0"/>
        <w:ind w:left="0" w:leftChars="0" w:firstLine="0" w:firstLineChars="0"/>
        <w:jc w:val="both"/>
        <w:rPr>
          <w:rFonts w:hint="eastAsia" w:ascii="仿宋" w:hAnsi="仿宋" w:eastAsia="仿宋" w:cs="仿宋"/>
          <w:color w:val="auto"/>
          <w:sz w:val="28"/>
          <w:szCs w:val="28"/>
          <w:lang w:val="en-US" w:eastAsia="zh-CN" w:bidi="ar-SA"/>
        </w:rPr>
      </w:pPr>
    </w:p>
    <w:p w14:paraId="19528A67">
      <w:pPr>
        <w:jc w:val="center"/>
        <w:rPr>
          <w:rFonts w:hint="eastAsia" w:ascii="仿宋" w:hAnsi="仿宋" w:eastAsia="仿宋" w:cs="仿宋"/>
          <w:b/>
          <w:bCs w:val="0"/>
          <w:color w:val="auto"/>
          <w:kern w:val="0"/>
          <w:sz w:val="44"/>
          <w:szCs w:val="44"/>
          <w:lang w:val="en-US" w:eastAsia="zh-CN" w:bidi="ar-SA"/>
        </w:rPr>
      </w:pPr>
      <w:r>
        <w:rPr>
          <w:rFonts w:hint="eastAsia" w:ascii="仿宋" w:hAnsi="仿宋" w:eastAsia="仿宋" w:cs="仿宋"/>
          <w:b/>
          <w:bCs w:val="0"/>
          <w:color w:val="auto"/>
          <w:kern w:val="0"/>
          <w:sz w:val="44"/>
          <w:szCs w:val="44"/>
          <w:lang w:val="en-US" w:eastAsia="zh-CN" w:bidi="ar-SA"/>
        </w:rPr>
        <w:t>西安市未央区西航三校西校区操场维修改造项目</w:t>
      </w:r>
    </w:p>
    <w:p w14:paraId="02182879">
      <w:pPr>
        <w:pStyle w:val="2"/>
        <w:jc w:val="center"/>
        <w:rPr>
          <w:rFonts w:hint="eastAsia" w:ascii="仿宋" w:hAnsi="仿宋" w:eastAsia="仿宋" w:cs="仿宋"/>
          <w:b/>
          <w:bCs w:val="0"/>
          <w:color w:val="auto"/>
          <w:kern w:val="0"/>
          <w:sz w:val="44"/>
          <w:szCs w:val="44"/>
          <w:lang w:val="en-US" w:eastAsia="zh-CN"/>
        </w:rPr>
      </w:pPr>
    </w:p>
    <w:p w14:paraId="337088FB">
      <w:pPr>
        <w:pStyle w:val="2"/>
        <w:jc w:val="center"/>
        <w:rPr>
          <w:rFonts w:hint="eastAsia" w:ascii="仿宋" w:hAnsi="仿宋" w:eastAsia="仿宋" w:cs="仿宋"/>
          <w:b/>
          <w:bCs w:val="0"/>
          <w:color w:val="auto"/>
          <w:kern w:val="0"/>
          <w:sz w:val="44"/>
          <w:szCs w:val="44"/>
          <w:lang w:val="en-US" w:eastAsia="zh-CN"/>
        </w:rPr>
      </w:pPr>
      <w:r>
        <w:rPr>
          <w:rFonts w:hint="eastAsia" w:ascii="仿宋" w:hAnsi="仿宋" w:eastAsia="仿宋" w:cs="仿宋"/>
          <w:b/>
          <w:bCs w:val="0"/>
          <w:color w:val="auto"/>
          <w:kern w:val="0"/>
          <w:sz w:val="44"/>
          <w:szCs w:val="44"/>
          <w:lang w:val="en-US" w:eastAsia="zh-CN"/>
        </w:rPr>
        <w:t>（示范文本）</w:t>
      </w:r>
    </w:p>
    <w:p w14:paraId="35779BB4">
      <w:pPr>
        <w:widowControl w:val="0"/>
        <w:ind w:left="0" w:leftChars="0" w:firstLine="0" w:firstLineChars="0"/>
        <w:jc w:val="both"/>
        <w:rPr>
          <w:rFonts w:hint="eastAsia" w:ascii="仿宋" w:hAnsi="仿宋" w:eastAsia="仿宋" w:cs="仿宋"/>
          <w:color w:val="auto"/>
          <w:sz w:val="28"/>
          <w:szCs w:val="28"/>
          <w:lang w:val="en-US" w:eastAsia="zh-CN" w:bidi="ar-SA"/>
        </w:rPr>
      </w:pPr>
    </w:p>
    <w:p w14:paraId="76565FD6">
      <w:pPr>
        <w:pStyle w:val="6"/>
        <w:rPr>
          <w:rFonts w:hint="eastAsia" w:ascii="仿宋" w:hAnsi="仿宋" w:eastAsia="仿宋" w:cs="仿宋"/>
          <w:color w:val="auto"/>
          <w:lang w:val="en-US" w:eastAsia="zh-CN"/>
        </w:rPr>
      </w:pPr>
    </w:p>
    <w:p w14:paraId="44B54605">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采购人(甲方) :                              </w:t>
      </w:r>
    </w:p>
    <w:p w14:paraId="0642F144">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供应商(乙方) :                              </w:t>
      </w:r>
    </w:p>
    <w:p w14:paraId="2805AC55">
      <w:pPr>
        <w:pStyle w:val="6"/>
        <w:ind w:left="0" w:leftChars="0" w:firstLine="0" w:firstLineChars="0"/>
        <w:rPr>
          <w:rFonts w:hint="eastAsia" w:ascii="仿宋" w:hAnsi="仿宋" w:eastAsia="仿宋" w:cs="仿宋"/>
          <w:color w:val="auto"/>
        </w:rPr>
      </w:pPr>
    </w:p>
    <w:p w14:paraId="0ADD2478">
      <w:pPr>
        <w:pStyle w:val="7"/>
        <w:ind w:left="294" w:leftChars="0" w:hanging="294" w:hangingChars="105"/>
        <w:rPr>
          <w:rFonts w:hint="eastAsia"/>
          <w:color w:val="auto"/>
        </w:rPr>
      </w:pPr>
    </w:p>
    <w:p w14:paraId="6D4535A0">
      <w:pPr>
        <w:pStyle w:val="7"/>
        <w:ind w:left="294" w:leftChars="0" w:hanging="294" w:hangingChars="105"/>
        <w:rPr>
          <w:rFonts w:hint="eastAsia"/>
          <w:color w:val="auto"/>
        </w:rPr>
      </w:pPr>
    </w:p>
    <w:p w14:paraId="315BFE3B">
      <w:pPr>
        <w:bidi w:val="0"/>
        <w:rPr>
          <w:rFonts w:hint="eastAsia" w:ascii="仿宋" w:hAnsi="仿宋" w:eastAsia="仿宋" w:cs="仿宋"/>
          <w:color w:val="auto"/>
          <w:sz w:val="24"/>
        </w:rPr>
      </w:pPr>
    </w:p>
    <w:p w14:paraId="0971926C">
      <w:pPr>
        <w:bidi w:val="0"/>
        <w:ind w:firstLine="480" w:firstLineChars="200"/>
        <w:rPr>
          <w:rFonts w:hint="eastAsia" w:ascii="仿宋" w:hAnsi="仿宋" w:eastAsia="仿宋" w:cs="仿宋"/>
          <w:color w:val="auto"/>
          <w:sz w:val="24"/>
        </w:rPr>
      </w:pPr>
      <w:r>
        <w:rPr>
          <w:rFonts w:hint="eastAsia" w:ascii="仿宋" w:hAnsi="仿宋" w:eastAsia="仿宋" w:cs="仿宋"/>
          <w:color w:val="auto"/>
          <w:sz w:val="24"/>
        </w:rPr>
        <w:t>合同编号：</w:t>
      </w:r>
      <w:r>
        <w:rPr>
          <w:rFonts w:hint="eastAsia" w:ascii="仿宋" w:hAnsi="仿宋" w:eastAsia="仿宋" w:cs="仿宋"/>
          <w:color w:val="auto"/>
          <w:sz w:val="24"/>
          <w:u w:val="single"/>
          <w:lang w:val="en-US" w:eastAsia="zh-CN"/>
        </w:rPr>
        <w:t xml:space="preserve">                                             </w:t>
      </w:r>
    </w:p>
    <w:p w14:paraId="1631FDB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签订地点：</w:t>
      </w:r>
      <w:r>
        <w:rPr>
          <w:rFonts w:hint="eastAsia" w:ascii="仿宋" w:hAnsi="仿宋" w:eastAsia="仿宋" w:cs="仿宋"/>
          <w:color w:val="auto"/>
          <w:sz w:val="24"/>
          <w:u w:val="single"/>
        </w:rPr>
        <w:t xml:space="preserve">                                             </w:t>
      </w:r>
    </w:p>
    <w:p w14:paraId="4DBBE551">
      <w:pPr>
        <w:numPr>
          <w:ilvl w:val="0"/>
          <w:numId w:val="0"/>
        </w:numPr>
        <w:ind w:firstLine="480" w:firstLineChars="200"/>
        <w:jc w:val="left"/>
        <w:rPr>
          <w:rFonts w:hint="eastAsia" w:ascii="仿宋" w:hAnsi="仿宋" w:eastAsia="仿宋" w:cs="仿宋"/>
          <w:color w:val="auto"/>
          <w:sz w:val="24"/>
          <w:u w:val="single"/>
        </w:rPr>
      </w:pPr>
      <w:r>
        <w:rPr>
          <w:rFonts w:hint="eastAsia" w:ascii="仿宋" w:hAnsi="仿宋" w:eastAsia="仿宋" w:cs="仿宋"/>
          <w:color w:val="auto"/>
          <w:sz w:val="24"/>
        </w:rPr>
        <w:t>签订时间：</w:t>
      </w:r>
      <w:r>
        <w:rPr>
          <w:rFonts w:hint="eastAsia" w:ascii="仿宋" w:hAnsi="仿宋" w:eastAsia="仿宋" w:cs="仿宋"/>
          <w:color w:val="auto"/>
          <w:sz w:val="24"/>
          <w:u w:val="single"/>
        </w:rPr>
        <w:t xml:space="preserve">                                             </w:t>
      </w:r>
    </w:p>
    <w:p w14:paraId="0E6B7A73">
      <w:pPr>
        <w:rPr>
          <w:rFonts w:hint="eastAsia" w:ascii="仿宋" w:hAnsi="仿宋" w:eastAsia="仿宋" w:cs="仿宋"/>
          <w:color w:val="auto"/>
          <w:sz w:val="24"/>
          <w:u w:val="single"/>
        </w:rPr>
      </w:pPr>
      <w:r>
        <w:rPr>
          <w:rFonts w:hint="eastAsia" w:ascii="仿宋" w:hAnsi="仿宋" w:eastAsia="仿宋" w:cs="仿宋"/>
          <w:color w:val="auto"/>
          <w:sz w:val="24"/>
          <w:u w:val="single"/>
        </w:rPr>
        <w:br w:type="page"/>
      </w:r>
    </w:p>
    <w:p w14:paraId="75FCADCF">
      <w:pPr>
        <w:numPr>
          <w:ilvl w:val="0"/>
          <w:numId w:val="0"/>
        </w:numPr>
        <w:jc w:val="center"/>
        <w:rPr>
          <w:rFonts w:hint="eastAsia" w:ascii="宋体" w:hAnsi="宋体" w:eastAsia="宋体" w:cs="宋体"/>
          <w:b/>
          <w:color w:val="auto"/>
          <w:sz w:val="36"/>
        </w:rPr>
      </w:pPr>
      <w:r>
        <w:rPr>
          <w:rFonts w:hint="eastAsia" w:ascii="宋体" w:hAnsi="宋体" w:eastAsia="宋体" w:cs="宋体"/>
          <w:b/>
          <w:color w:val="auto"/>
          <w:sz w:val="36"/>
        </w:rPr>
        <w:t>拟签订采购合同文本</w:t>
      </w:r>
    </w:p>
    <w:p w14:paraId="473B7682">
      <w:pPr>
        <w:numPr>
          <w:ilvl w:val="0"/>
          <w:numId w:val="0"/>
        </w:numPr>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本合同为中小企业预留合同</w:t>
      </w:r>
      <w:r>
        <w:rPr>
          <w:rFonts w:hint="eastAsia" w:ascii="仿宋" w:hAnsi="仿宋" w:eastAsia="仿宋" w:cs="仿宋"/>
          <w:color w:val="auto"/>
          <w:highlight w:val="none"/>
          <w:lang w:eastAsia="zh-CN"/>
        </w:rPr>
        <w:t>）</w:t>
      </w:r>
    </w:p>
    <w:p w14:paraId="7A08F906">
      <w:pPr>
        <w:autoSpaceDE w:val="0"/>
        <w:autoSpaceDN w:val="0"/>
        <w:adjustRightInd w:val="0"/>
        <w:spacing w:line="360" w:lineRule="auto"/>
        <w:ind w:firstLine="480" w:firstLineChars="200"/>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甲方（采购人）：</w:t>
      </w:r>
      <w:r>
        <w:rPr>
          <w:rFonts w:hint="eastAsia" w:ascii="仿宋" w:hAnsi="仿宋" w:eastAsia="仿宋" w:cs="仿宋"/>
          <w:bCs/>
          <w:color w:val="auto"/>
          <w:sz w:val="24"/>
          <w:szCs w:val="24"/>
          <w:highlight w:val="none"/>
          <w:u w:val="single"/>
          <w:lang w:eastAsia="zh-CN"/>
        </w:rPr>
        <w:t>西安市未央区西航三校</w:t>
      </w:r>
      <w:r>
        <w:rPr>
          <w:rFonts w:hint="eastAsia" w:ascii="仿宋" w:hAnsi="仿宋" w:eastAsia="仿宋" w:cs="仿宋"/>
          <w:bCs/>
          <w:color w:val="auto"/>
          <w:sz w:val="24"/>
          <w:szCs w:val="24"/>
          <w:highlight w:val="none"/>
          <w:u w:val="single"/>
          <w:lang w:val="en-US" w:eastAsia="zh-CN"/>
        </w:rPr>
        <w:t xml:space="preserve">    </w:t>
      </w:r>
    </w:p>
    <w:p w14:paraId="703B22DF">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 xml:space="preserve"> </w:t>
      </w:r>
    </w:p>
    <w:p w14:paraId="32174277">
      <w:pPr>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lang w:val="en-US" w:eastAsia="zh-CN"/>
        </w:rPr>
        <w:t>西安市未央区西航三校西校区操场维修改造项目</w:t>
      </w:r>
      <w:r>
        <w:rPr>
          <w:rFonts w:hint="eastAsia" w:ascii="仿宋" w:hAnsi="仿宋" w:eastAsia="仿宋" w:cs="仿宋"/>
          <w:bCs/>
          <w:color w:val="auto"/>
          <w:sz w:val="24"/>
          <w:szCs w:val="24"/>
          <w:highlight w:val="none"/>
        </w:rPr>
        <w:t>在</w:t>
      </w:r>
      <w:r>
        <w:rPr>
          <w:rFonts w:hint="eastAsia" w:ascii="仿宋" w:hAnsi="仿宋" w:eastAsia="仿宋" w:cs="仿宋"/>
          <w:bCs/>
          <w:color w:val="auto"/>
          <w:sz w:val="24"/>
          <w:szCs w:val="24"/>
          <w:highlight w:val="none"/>
          <w:u w:val="single"/>
          <w:lang w:eastAsia="zh-CN"/>
        </w:rPr>
        <w:t>陕西泽航项目管理有限公司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eastAsia="zh-CN"/>
        </w:rPr>
        <w:t>西安市未央区西航三校</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lang w:val="en-US" w:eastAsia="zh-CN"/>
        </w:rPr>
        <w:t xml:space="preserve">       供应商名称       </w:t>
      </w:r>
      <w:r>
        <w:rPr>
          <w:rFonts w:hint="eastAsia" w:ascii="仿宋" w:hAnsi="仿宋" w:eastAsia="仿宋" w:cs="仿宋"/>
          <w:bCs/>
          <w:color w:val="auto"/>
          <w:sz w:val="24"/>
          <w:szCs w:val="24"/>
          <w:highlight w:val="none"/>
        </w:rPr>
        <w:t>（以下简称“乙方”）为的</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p>
    <w:p w14:paraId="42CB3E3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》和《中华人民共和国政府采购法》，经双方协商按下述条款和条件签署本合同。</w:t>
      </w:r>
    </w:p>
    <w:p w14:paraId="4579A524">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238302EE">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元）</w:t>
      </w:r>
      <w:r>
        <w:rPr>
          <w:rFonts w:hint="eastAsia" w:ascii="仿宋" w:hAnsi="仿宋" w:eastAsia="仿宋" w:cs="仿宋"/>
          <w:bCs/>
          <w:color w:val="auto"/>
          <w:sz w:val="24"/>
          <w:szCs w:val="24"/>
          <w:highlight w:val="none"/>
        </w:rPr>
        <w:t>。</w:t>
      </w:r>
    </w:p>
    <w:p w14:paraId="5CECF5E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eastAsia="zh-CN"/>
        </w:rPr>
        <w:t>工程量清单的全部内容</w:t>
      </w:r>
      <w:r>
        <w:rPr>
          <w:rFonts w:hint="eastAsia" w:ascii="仿宋" w:hAnsi="仿宋" w:eastAsia="仿宋" w:cs="仿宋"/>
          <w:bCs/>
          <w:color w:val="auto"/>
          <w:sz w:val="24"/>
          <w:szCs w:val="24"/>
          <w:highlight w:val="none"/>
        </w:rPr>
        <w:t>，不受市场价变化的影响。合同价格为含税价。</w:t>
      </w:r>
    </w:p>
    <w:p w14:paraId="45AB3B7E">
      <w:pPr>
        <w:autoSpaceDE w:val="0"/>
        <w:autoSpaceDN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en-US" w:eastAsia="zh-CN"/>
        </w:rPr>
        <w:t>付款</w:t>
      </w:r>
      <w:r>
        <w:rPr>
          <w:rFonts w:hint="eastAsia" w:ascii="仿宋" w:hAnsi="仿宋" w:eastAsia="仿宋" w:cs="仿宋"/>
          <w:b/>
          <w:color w:val="auto"/>
          <w:sz w:val="24"/>
          <w:szCs w:val="24"/>
          <w:highlight w:val="none"/>
        </w:rPr>
        <w:t>方式</w:t>
      </w:r>
    </w:p>
    <w:p w14:paraId="38BCBCF1">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1、合同签订后，达到付款条件起30个工作日内，支付合同总金额的40.00%。</w:t>
      </w:r>
    </w:p>
    <w:p w14:paraId="1C869CC5">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2、完工验收合格后，达到付款条件起30个工作日内，支付合同总金额的20.00%.</w:t>
      </w:r>
    </w:p>
    <w:p w14:paraId="25A039BD">
      <w:pPr>
        <w:autoSpaceDE w:val="0"/>
        <w:autoSpaceDN w:val="0"/>
        <w:adjustRightInd w:val="0"/>
        <w:spacing w:line="360" w:lineRule="auto"/>
        <w:ind w:firstLine="480" w:firstLineChars="200"/>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3、提交财政部门结算评审后，达到付款条件起30个工作日内，按照评审金额支付剩余工程款。</w:t>
      </w:r>
    </w:p>
    <w:p w14:paraId="65966176">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44B1232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（一）实施地点：</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32FC1A9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default"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（二）工期：</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78F14ED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（三）缺陷责任期：自本项目竣工验收合格之日起一年。</w:t>
      </w:r>
    </w:p>
    <w:p w14:paraId="78C2BD8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（四）工程内容：详见工程量清单。</w:t>
      </w:r>
    </w:p>
    <w:p w14:paraId="37A7CD1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（五）工程承包范围：工程量清单、答疑以及本磋商文件规定的全部内容。文字与清单不符时，以清单为准。</w:t>
      </w:r>
    </w:p>
    <w:p w14:paraId="435B8BE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（六）质量标准：符合国家现行有关施工质量验收规范“合格”要求。</w:t>
      </w:r>
    </w:p>
    <w:p w14:paraId="1D7DBF6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color w:val="auto"/>
          <w:highlight w:val="none"/>
          <w:lang w:val="en-US" w:eastAsia="zh-CN"/>
        </w:rPr>
      </w:pPr>
      <w:r>
        <w:rPr>
          <w:rFonts w:hint="eastAsia" w:ascii="仿宋" w:hAnsi="仿宋" w:eastAsia="仿宋" w:cs="仿宋"/>
          <w:bCs/>
          <w:color w:val="auto"/>
          <w:sz w:val="24"/>
          <w:szCs w:val="24"/>
          <w:highlight w:val="none"/>
          <w:lang w:val="en-US" w:eastAsia="zh-CN"/>
        </w:rPr>
        <w:t>（七）本工程质量保修期为两年，质保期内所发生的的修复费用，均由乙方承担。</w:t>
      </w:r>
    </w:p>
    <w:p w14:paraId="3F1B676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（八）项目经理姓名：</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；注册证号：</w:t>
      </w:r>
      <w:r>
        <w:rPr>
          <w:rFonts w:hint="eastAsia" w:ascii="仿宋" w:hAnsi="仿宋" w:eastAsia="仿宋" w:cs="仿宋"/>
          <w:bCs/>
          <w:color w:val="auto"/>
          <w:sz w:val="24"/>
          <w:szCs w:val="24"/>
          <w:highlight w:val="none"/>
          <w:u w:val="single"/>
          <w:lang w:val="en-US" w:eastAsia="zh-CN"/>
        </w:rPr>
        <w:t xml:space="preserve">       </w:t>
      </w:r>
      <w:r>
        <w:rPr>
          <w:rFonts w:hint="eastAsia" w:ascii="仿宋" w:hAnsi="仿宋" w:eastAsia="仿宋" w:cs="仿宋"/>
          <w:bCs/>
          <w:color w:val="auto"/>
          <w:sz w:val="24"/>
          <w:szCs w:val="24"/>
          <w:highlight w:val="none"/>
          <w:lang w:val="en-US" w:eastAsia="zh-CN"/>
        </w:rPr>
        <w:t>。</w:t>
      </w:r>
    </w:p>
    <w:p w14:paraId="708C7F4B">
      <w:pPr>
        <w:pStyle w:val="7"/>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5D19F24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470D693E">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1AF7B944">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p w14:paraId="613C6800">
      <w:pPr>
        <w:spacing w:line="360" w:lineRule="auto"/>
        <w:ind w:firstLine="600" w:firstLineChars="24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5E0DD384">
      <w:pPr>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3BF50B1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51A5C8E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2、组织设计、设计变更，工程结算等工作。</w:t>
      </w:r>
    </w:p>
    <w:p w14:paraId="049DFB8E">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5254146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78EB7B34">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5C1663BC">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 乙方责任：</w:t>
      </w:r>
    </w:p>
    <w:p w14:paraId="5BDB06F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0FE4A7F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33329C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21619B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C0B836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7EEE0501">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 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1408242B">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1330EE0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u w:val="single"/>
        </w:rPr>
        <w:t>肆</w:t>
      </w:r>
      <w:r>
        <w:rPr>
          <w:rFonts w:hint="eastAsia" w:ascii="仿宋" w:hAnsi="仿宋" w:eastAsia="仿宋" w:cs="仿宋"/>
          <w:color w:val="auto"/>
          <w:sz w:val="24"/>
          <w:szCs w:val="24"/>
          <w:highlight w:val="none"/>
        </w:rPr>
        <w:t>套，办理工程竣工结算手续，参加工程竣工验收。</w:t>
      </w:r>
    </w:p>
    <w:p w14:paraId="1F7FD2E0">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47A1257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2768DB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1609B63E">
      <w:pPr>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p w14:paraId="5CD11427">
      <w:pPr>
        <w:spacing w:line="360" w:lineRule="auto"/>
        <w:ind w:firstLine="634" w:firstLineChars="263"/>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7CC7C2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661A760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10A61BE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7A0DADE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6D3A7E8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p>
    <w:p w14:paraId="77F4991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技术标准和要求</w:t>
      </w:r>
    </w:p>
    <w:p w14:paraId="509737B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已标价工程量清单或预算书</w:t>
      </w:r>
    </w:p>
    <w:p w14:paraId="407EF5D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其他合同文件。</w:t>
      </w:r>
    </w:p>
    <w:p w14:paraId="5F6BC8A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52D8AAEE">
      <w:pPr>
        <w:autoSpaceDE w:val="0"/>
        <w:autoSpaceDN w:val="0"/>
        <w:adjustRightInd w:val="0"/>
        <w:spacing w:line="36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4FCA3C12">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574ECC3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7E3F828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1FD9BBF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465AC1B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39570F5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1FBE6CF1">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八、争议的解决方式</w:t>
      </w:r>
    </w:p>
    <w:p w14:paraId="63BF54C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p w14:paraId="7CC8964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04D13C2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3B7B32B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十、附则</w:t>
      </w:r>
    </w:p>
    <w:p w14:paraId="2266E14F">
      <w:pPr>
        <w:tabs>
          <w:tab w:val="left" w:pos="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w:t>
      </w:r>
      <w:r>
        <w:rPr>
          <w:rFonts w:hint="eastAsia" w:ascii="仿宋" w:hAnsi="仿宋" w:eastAsia="仿宋" w:cs="仿宋"/>
          <w:color w:val="auto"/>
          <w:sz w:val="24"/>
          <w:szCs w:val="24"/>
          <w:highlight w:val="none"/>
          <w:u w:val="single"/>
          <w:lang w:val="en-US" w:eastAsia="zh-CN"/>
        </w:rPr>
        <w:t>肆</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u w:val="single"/>
          <w:lang w:val="en-US" w:eastAsia="zh-CN"/>
        </w:rPr>
        <w:t>贰</w:t>
      </w:r>
      <w:r>
        <w:rPr>
          <w:rFonts w:hint="eastAsia" w:ascii="仿宋" w:hAnsi="仿宋" w:eastAsia="仿宋" w:cs="仿宋"/>
          <w:color w:val="auto"/>
          <w:sz w:val="24"/>
          <w:szCs w:val="24"/>
          <w:highlight w:val="none"/>
        </w:rPr>
        <w:t>份。</w:t>
      </w:r>
    </w:p>
    <w:p w14:paraId="602BB07B">
      <w:pPr>
        <w:spacing w:line="360" w:lineRule="auto"/>
        <w:ind w:firstLine="480" w:firstLineChars="2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8"/>
        <w:tblW w:w="8403" w:type="dxa"/>
        <w:jc w:val="center"/>
        <w:tblLayout w:type="fixed"/>
        <w:tblCellMar>
          <w:top w:w="0" w:type="dxa"/>
          <w:left w:w="108" w:type="dxa"/>
          <w:bottom w:w="0" w:type="dxa"/>
          <w:right w:w="108" w:type="dxa"/>
        </w:tblCellMar>
      </w:tblPr>
      <w:tblGrid>
        <w:gridCol w:w="4201"/>
        <w:gridCol w:w="4202"/>
      </w:tblGrid>
      <w:tr w14:paraId="476FF227">
        <w:tblPrEx>
          <w:tblCellMar>
            <w:top w:w="0" w:type="dxa"/>
            <w:left w:w="108" w:type="dxa"/>
            <w:bottom w:w="0" w:type="dxa"/>
            <w:right w:w="108" w:type="dxa"/>
          </w:tblCellMar>
        </w:tblPrEx>
        <w:trPr>
          <w:trHeight w:val="567" w:hRule="exact"/>
          <w:jc w:val="center"/>
        </w:trPr>
        <w:tc>
          <w:tcPr>
            <w:tcW w:w="4201" w:type="dxa"/>
            <w:noWrap/>
            <w:vAlign w:val="center"/>
          </w:tcPr>
          <w:p w14:paraId="6EA19CA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  方</w:t>
            </w:r>
          </w:p>
        </w:tc>
        <w:tc>
          <w:tcPr>
            <w:tcW w:w="4202" w:type="dxa"/>
            <w:noWrap/>
            <w:vAlign w:val="center"/>
          </w:tcPr>
          <w:p w14:paraId="29CC40F0">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  方</w:t>
            </w:r>
          </w:p>
        </w:tc>
      </w:tr>
      <w:tr w14:paraId="2CCBDA6A">
        <w:tblPrEx>
          <w:tblCellMar>
            <w:top w:w="0" w:type="dxa"/>
            <w:left w:w="108" w:type="dxa"/>
            <w:bottom w:w="0" w:type="dxa"/>
            <w:right w:w="108" w:type="dxa"/>
          </w:tblCellMar>
        </w:tblPrEx>
        <w:trPr>
          <w:trHeight w:val="567" w:hRule="exact"/>
          <w:jc w:val="center"/>
        </w:trPr>
        <w:tc>
          <w:tcPr>
            <w:tcW w:w="4201" w:type="dxa"/>
            <w:noWrap/>
            <w:vAlign w:val="center"/>
          </w:tcPr>
          <w:p w14:paraId="209C88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202" w:type="dxa"/>
            <w:noWrap/>
            <w:vAlign w:val="center"/>
          </w:tcPr>
          <w:p w14:paraId="492DFABB">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127279CD">
        <w:tblPrEx>
          <w:tblCellMar>
            <w:top w:w="0" w:type="dxa"/>
            <w:left w:w="108" w:type="dxa"/>
            <w:bottom w:w="0" w:type="dxa"/>
            <w:right w:w="108" w:type="dxa"/>
          </w:tblCellMar>
        </w:tblPrEx>
        <w:trPr>
          <w:trHeight w:val="567" w:hRule="exact"/>
          <w:jc w:val="center"/>
        </w:trPr>
        <w:tc>
          <w:tcPr>
            <w:tcW w:w="4201" w:type="dxa"/>
            <w:noWrap/>
            <w:vAlign w:val="center"/>
          </w:tcPr>
          <w:p w14:paraId="65C7B48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地址： </w:t>
            </w:r>
          </w:p>
        </w:tc>
        <w:tc>
          <w:tcPr>
            <w:tcW w:w="4202" w:type="dxa"/>
            <w:noWrap/>
            <w:vAlign w:val="center"/>
          </w:tcPr>
          <w:p w14:paraId="789FFEB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6F517C5F">
        <w:tblPrEx>
          <w:tblCellMar>
            <w:top w:w="0" w:type="dxa"/>
            <w:left w:w="108" w:type="dxa"/>
            <w:bottom w:w="0" w:type="dxa"/>
            <w:right w:w="108" w:type="dxa"/>
          </w:tblCellMar>
        </w:tblPrEx>
        <w:trPr>
          <w:trHeight w:val="567" w:hRule="exact"/>
          <w:jc w:val="center"/>
        </w:trPr>
        <w:tc>
          <w:tcPr>
            <w:tcW w:w="4201" w:type="dxa"/>
            <w:noWrap/>
            <w:vAlign w:val="center"/>
          </w:tcPr>
          <w:p w14:paraId="1D696CBD">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202" w:type="dxa"/>
            <w:noWrap/>
            <w:vAlign w:val="center"/>
          </w:tcPr>
          <w:p w14:paraId="1659783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38B22C2B">
        <w:tblPrEx>
          <w:tblCellMar>
            <w:top w:w="0" w:type="dxa"/>
            <w:left w:w="108" w:type="dxa"/>
            <w:bottom w:w="0" w:type="dxa"/>
            <w:right w:w="108" w:type="dxa"/>
          </w:tblCellMar>
        </w:tblPrEx>
        <w:trPr>
          <w:trHeight w:val="567" w:hRule="exact"/>
          <w:jc w:val="center"/>
        </w:trPr>
        <w:tc>
          <w:tcPr>
            <w:tcW w:w="4201" w:type="dxa"/>
            <w:noWrap/>
            <w:vAlign w:val="center"/>
          </w:tcPr>
          <w:p w14:paraId="0E3191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 xml:space="preserve">被授权代表： </w:t>
            </w:r>
          </w:p>
        </w:tc>
        <w:tc>
          <w:tcPr>
            <w:tcW w:w="4202" w:type="dxa"/>
            <w:noWrap/>
            <w:vAlign w:val="center"/>
          </w:tcPr>
          <w:p w14:paraId="586A4FB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被授权代表：</w:t>
            </w:r>
          </w:p>
        </w:tc>
      </w:tr>
      <w:tr w14:paraId="24DE0148">
        <w:tblPrEx>
          <w:tblCellMar>
            <w:top w:w="0" w:type="dxa"/>
            <w:left w:w="108" w:type="dxa"/>
            <w:bottom w:w="0" w:type="dxa"/>
            <w:right w:w="108" w:type="dxa"/>
          </w:tblCellMar>
        </w:tblPrEx>
        <w:trPr>
          <w:trHeight w:val="567" w:hRule="exact"/>
          <w:jc w:val="center"/>
        </w:trPr>
        <w:tc>
          <w:tcPr>
            <w:tcW w:w="4201" w:type="dxa"/>
            <w:noWrap/>
            <w:vAlign w:val="center"/>
          </w:tcPr>
          <w:p w14:paraId="1D737D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202" w:type="dxa"/>
            <w:noWrap/>
            <w:vAlign w:val="center"/>
          </w:tcPr>
          <w:p w14:paraId="75C3D45D">
            <w:pPr>
              <w:autoSpaceDE w:val="0"/>
              <w:autoSpaceDN w:val="0"/>
              <w:adjustRightInd w:val="0"/>
              <w:spacing w:line="480" w:lineRule="auto"/>
              <w:ind w:left="600" w:hanging="600" w:hangingChars="3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0B04A0D0">
        <w:tblPrEx>
          <w:tblCellMar>
            <w:top w:w="0" w:type="dxa"/>
            <w:left w:w="108" w:type="dxa"/>
            <w:bottom w:w="0" w:type="dxa"/>
            <w:right w:w="108" w:type="dxa"/>
          </w:tblCellMar>
        </w:tblPrEx>
        <w:trPr>
          <w:trHeight w:val="567" w:hRule="exact"/>
          <w:jc w:val="center"/>
        </w:trPr>
        <w:tc>
          <w:tcPr>
            <w:tcW w:w="4201" w:type="dxa"/>
            <w:noWrap/>
            <w:vAlign w:val="center"/>
          </w:tcPr>
          <w:p w14:paraId="275486E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c>
          <w:tcPr>
            <w:tcW w:w="4202" w:type="dxa"/>
            <w:noWrap/>
            <w:vAlign w:val="center"/>
          </w:tcPr>
          <w:p w14:paraId="57775C5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r>
      <w:tr w14:paraId="28B1DD23">
        <w:tblPrEx>
          <w:tblCellMar>
            <w:top w:w="0" w:type="dxa"/>
            <w:left w:w="108" w:type="dxa"/>
            <w:bottom w:w="0" w:type="dxa"/>
            <w:right w:w="108" w:type="dxa"/>
          </w:tblCellMar>
        </w:tblPrEx>
        <w:trPr>
          <w:trHeight w:val="567" w:hRule="exact"/>
          <w:jc w:val="center"/>
        </w:trPr>
        <w:tc>
          <w:tcPr>
            <w:tcW w:w="4201" w:type="dxa"/>
            <w:noWrap/>
            <w:vAlign w:val="center"/>
          </w:tcPr>
          <w:p w14:paraId="1AA5D7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202" w:type="dxa"/>
            <w:noWrap/>
            <w:vAlign w:val="center"/>
          </w:tcPr>
          <w:p w14:paraId="1D03134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65BCAC9E">
        <w:tblPrEx>
          <w:tblCellMar>
            <w:top w:w="0" w:type="dxa"/>
            <w:left w:w="108" w:type="dxa"/>
            <w:bottom w:w="0" w:type="dxa"/>
            <w:right w:w="108" w:type="dxa"/>
          </w:tblCellMar>
        </w:tblPrEx>
        <w:trPr>
          <w:trHeight w:val="567" w:hRule="exact"/>
          <w:jc w:val="center"/>
        </w:trPr>
        <w:tc>
          <w:tcPr>
            <w:tcW w:w="4201" w:type="dxa"/>
            <w:noWrap/>
            <w:vAlign w:val="center"/>
          </w:tcPr>
          <w:p w14:paraId="76C4979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c>
          <w:tcPr>
            <w:tcW w:w="4202" w:type="dxa"/>
            <w:noWrap/>
            <w:vAlign w:val="center"/>
          </w:tcPr>
          <w:p w14:paraId="474D746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r>
    </w:tbl>
    <w:p w14:paraId="3E0DB32E">
      <w:pPr>
        <w:pStyle w:val="5"/>
        <w:rPr>
          <w:rFonts w:hint="eastAsia"/>
          <w:color w:val="auto"/>
          <w:highlight w:val="none"/>
        </w:rPr>
      </w:pPr>
    </w:p>
    <w:p w14:paraId="2C85DDEA">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06F2D00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bookmarkStart w:id="0" w:name="_Toc296891266"/>
      <w:bookmarkStart w:id="1" w:name="_Toc296503226"/>
      <w:bookmarkStart w:id="2" w:name="_Toc267261693"/>
      <w:bookmarkStart w:id="3" w:name="_Toc296347225"/>
      <w:bookmarkStart w:id="4" w:name="_Toc296346727"/>
      <w:bookmarkStart w:id="5" w:name="_Toc296891054"/>
      <w:bookmarkStart w:id="6" w:name="_Toc296944565"/>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bookmarkEnd w:id="0"/>
      <w:bookmarkEnd w:id="1"/>
      <w:bookmarkEnd w:id="2"/>
      <w:bookmarkEnd w:id="3"/>
      <w:bookmarkEnd w:id="4"/>
      <w:bookmarkEnd w:id="5"/>
      <w:bookmarkEnd w:id="6"/>
      <w:r>
        <w:rPr>
          <w:rFonts w:hint="eastAsia" w:ascii="仿宋" w:hAnsi="仿宋" w:eastAsia="仿宋" w:cs="仿宋"/>
          <w:color w:val="auto"/>
          <w:sz w:val="24"/>
          <w:szCs w:val="24"/>
          <w:highlight w:val="none"/>
        </w:rPr>
        <w:t xml:space="preserve">    </w:t>
      </w:r>
    </w:p>
    <w:p w14:paraId="0DD9A668">
      <w:pPr>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工程质量保修书</w:t>
      </w:r>
    </w:p>
    <w:p w14:paraId="5EAC2D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w:t>
      </w:r>
      <w:r>
        <w:rPr>
          <w:rFonts w:hint="eastAsia" w:ascii="仿宋" w:hAnsi="仿宋" w:eastAsia="仿宋" w:cs="仿宋"/>
          <w:bCs/>
          <w:color w:val="auto"/>
          <w:sz w:val="24"/>
          <w:szCs w:val="24"/>
          <w:highlight w:val="none"/>
        </w:rPr>
        <w:t>采购人</w:t>
      </w:r>
      <w:r>
        <w:rPr>
          <w:rFonts w:hint="eastAsia" w:ascii="仿宋" w:hAnsi="仿宋" w:eastAsia="仿宋" w:cs="仿宋"/>
          <w:color w:val="auto"/>
          <w:sz w:val="24"/>
          <w:szCs w:val="24"/>
          <w:highlight w:val="none"/>
        </w:rPr>
        <w:t xml:space="preserve">）： </w:t>
      </w:r>
      <w:r>
        <w:rPr>
          <w:rFonts w:hint="eastAsia" w:ascii="仿宋" w:hAnsi="仿宋" w:eastAsia="仿宋" w:cs="仿宋"/>
          <w:bCs/>
          <w:color w:val="auto"/>
          <w:sz w:val="24"/>
          <w:szCs w:val="24"/>
          <w:highlight w:val="none"/>
          <w:u w:val="single"/>
          <w:lang w:eastAsia="zh-CN"/>
        </w:rPr>
        <w:t>西安市未央区西航三校</w:t>
      </w:r>
    </w:p>
    <w:p w14:paraId="16D62DBF">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33ECB6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p>
    <w:p w14:paraId="39863EF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发包人和承包人根据《中华人民共和国建筑法》和《建设工程质量管理条例》，经协商一致就</w:t>
      </w:r>
      <w:r>
        <w:rPr>
          <w:rFonts w:hint="eastAsia" w:ascii="仿宋" w:hAnsi="仿宋" w:eastAsia="仿宋" w:cs="仿宋"/>
          <w:color w:val="auto"/>
          <w:sz w:val="24"/>
          <w:szCs w:val="24"/>
          <w:highlight w:val="none"/>
          <w:u w:val="single"/>
          <w:lang w:val="en-US" w:eastAsia="zh-CN"/>
        </w:rPr>
        <w:t>（西安市未央区西航三校</w:t>
      </w:r>
      <w:r>
        <w:rPr>
          <w:rFonts w:hint="eastAsia" w:ascii="仿宋" w:hAnsi="仿宋" w:eastAsia="仿宋" w:cs="仿宋"/>
          <w:bCs/>
          <w:color w:val="auto"/>
          <w:sz w:val="24"/>
          <w:szCs w:val="24"/>
          <w:highlight w:val="none"/>
          <w:u w:val="single"/>
          <w:lang w:val="en-US" w:eastAsia="zh-CN"/>
        </w:rPr>
        <w:t xml:space="preserve"> 西校区操场维修改造项目</w:t>
      </w:r>
      <w:r>
        <w:rPr>
          <w:rFonts w:hint="eastAsia" w:ascii="仿宋" w:hAnsi="仿宋" w:eastAsia="仿宋" w:cs="仿宋"/>
          <w:color w:val="auto"/>
          <w:sz w:val="24"/>
          <w:szCs w:val="24"/>
          <w:highlight w:val="none"/>
        </w:rPr>
        <w:t>）签订工程质量保修书。</w:t>
      </w:r>
    </w:p>
    <w:p w14:paraId="6DFFCA0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一、工程质量保修范围和内容</w:t>
      </w:r>
    </w:p>
    <w:p w14:paraId="31B8FB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承包人在质量保修期内，按照有关法律规定和合同约定，承担工程质量保修责任。</w:t>
      </w:r>
    </w:p>
    <w:p w14:paraId="3CDAB9A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3AA1C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5793E0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w:t>
      </w:r>
      <w:r>
        <w:rPr>
          <w:rFonts w:hint="eastAsia" w:ascii="仿宋" w:hAnsi="仿宋" w:eastAsia="仿宋" w:cs="仿宋"/>
          <w:color w:val="auto"/>
          <w:sz w:val="24"/>
          <w:szCs w:val="24"/>
          <w:highlight w:val="none"/>
        </w:rPr>
        <w:t>二、质量保修期</w:t>
      </w:r>
    </w:p>
    <w:p w14:paraId="26AD1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根据《建设工程质量管理条例》及有关规定，工程的质量保修期如下：</w:t>
      </w:r>
    </w:p>
    <w:p w14:paraId="56A34E5D">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1．地基基础工程和主体结构工程为设计文件规定的工程合理使用年限；</w:t>
      </w:r>
    </w:p>
    <w:p w14:paraId="163662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58751D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7F0DA7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069855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个采暖期、供冷期；</w:t>
      </w:r>
    </w:p>
    <w:p w14:paraId="4BC7A3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17C854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u w:val="single"/>
          <w:lang w:val="en-US" w:eastAsia="zh-CN"/>
        </w:rPr>
        <w:t>操场改造工程5年</w:t>
      </w:r>
      <w:r>
        <w:rPr>
          <w:rFonts w:hint="eastAsia" w:ascii="仿宋" w:hAnsi="仿宋" w:eastAsia="仿宋" w:cs="仿宋"/>
          <w:color w:val="auto"/>
          <w:sz w:val="24"/>
          <w:szCs w:val="24"/>
          <w:highlight w:val="none"/>
        </w:rPr>
        <w:t>。</w:t>
      </w:r>
    </w:p>
    <w:p w14:paraId="776E81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质量保修期自工程竣工验收合格之日起计算。</w:t>
      </w:r>
    </w:p>
    <w:p w14:paraId="7316DB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三、缺陷责任期</w:t>
      </w:r>
      <w:bookmarkStart w:id="7" w:name="_GoBack"/>
      <w:bookmarkEnd w:id="7"/>
    </w:p>
    <w:p w14:paraId="6A8D0D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工程缺陷责任期为</w:t>
      </w:r>
      <w:r>
        <w:rPr>
          <w:rFonts w:hint="eastAsia" w:ascii="仿宋" w:hAnsi="仿宋" w:eastAsia="仿宋" w:cs="仿宋"/>
          <w:color w:val="auto"/>
          <w:sz w:val="24"/>
          <w:szCs w:val="24"/>
          <w:highlight w:val="none"/>
          <w:u w:val="single"/>
          <w:lang w:val="en-US" w:eastAsia="zh-CN"/>
        </w:rPr>
        <w:t>12</w:t>
      </w:r>
      <w:r>
        <w:rPr>
          <w:rFonts w:hint="eastAsia" w:ascii="仿宋" w:hAnsi="仿宋" w:eastAsia="仿宋" w:cs="仿宋"/>
          <w:color w:val="auto"/>
          <w:sz w:val="24"/>
          <w:szCs w:val="24"/>
          <w:highlight w:val="none"/>
        </w:rPr>
        <w:t>个月，缺陷责任期自工程通过竣工验收之日起计算。单位工程先于全部工程进行验收，单位工程缺陷责任期自单位工程验收合格之日起算。</w:t>
      </w:r>
    </w:p>
    <w:p w14:paraId="15781BD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四、质量保修责任</w:t>
      </w:r>
    </w:p>
    <w:p w14:paraId="6F4FBFE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1．属于保修范围、内容的项目，承包人应当在接到保修通知之日起7天内派人保修。承包人不在约定期限内派人保修的，发包人可以委托他人修理。</w:t>
      </w:r>
    </w:p>
    <w:p w14:paraId="4E5D442A">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2．发生紧急事故需抢修的，承包人在接到事故通知后，应当立即到达事故现场抢修。</w:t>
      </w:r>
    </w:p>
    <w:p w14:paraId="554F49D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851302D">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4．质量保修完成后，由发包人组织验收。</w:t>
      </w:r>
    </w:p>
    <w:p w14:paraId="5FE8B6C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五、保修费用</w:t>
      </w:r>
    </w:p>
    <w:p w14:paraId="72F0C65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保修费用由造成质量缺陷的责任方承担。</w:t>
      </w:r>
    </w:p>
    <w:p w14:paraId="76D6A2D0">
      <w:pPr>
        <w:keepNext w:val="0"/>
        <w:keepLines w:val="0"/>
        <w:pageBreakBefore w:val="0"/>
        <w:widowControl w:val="0"/>
        <w:kinsoku/>
        <w:wordWrap/>
        <w:overflowPunct/>
        <w:topLinePunct w:val="0"/>
        <w:autoSpaceDE/>
        <w:autoSpaceDN/>
        <w:bidi w:val="0"/>
        <w:adjustRightInd/>
        <w:snapToGrid/>
        <w:spacing w:line="360" w:lineRule="auto"/>
        <w:ind w:firstLine="600"/>
        <w:jc w:val="left"/>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b/>
          <w:color w:val="auto"/>
          <w:sz w:val="24"/>
          <w:szCs w:val="24"/>
          <w:highlight w:val="none"/>
        </w:rPr>
        <w:t>六</w:t>
      </w:r>
      <w:r>
        <w:rPr>
          <w:rFonts w:hint="eastAsia" w:ascii="仿宋" w:hAnsi="仿宋" w:eastAsia="仿宋" w:cs="仿宋"/>
          <w:color w:val="auto"/>
          <w:sz w:val="24"/>
          <w:szCs w:val="24"/>
          <w:highlight w:val="none"/>
        </w:rPr>
        <w:t>、双方约定的其他工程质量保修事项：</w:t>
      </w:r>
      <w:r>
        <w:rPr>
          <w:rFonts w:hint="eastAsia" w:ascii="仿宋" w:hAnsi="仿宋" w:eastAsia="仿宋" w:cs="仿宋"/>
          <w:color w:val="auto"/>
          <w:sz w:val="24"/>
          <w:szCs w:val="24"/>
          <w:highlight w:val="none"/>
          <w:u w:val="single"/>
        </w:rPr>
        <w:t xml:space="preserve">                  </w:t>
      </w:r>
    </w:p>
    <w:p w14:paraId="4A9232B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E2196CD">
      <w:pPr>
        <w:keepNext w:val="0"/>
        <w:keepLines w:val="0"/>
        <w:pageBreakBefore w:val="0"/>
        <w:widowControl w:val="0"/>
        <w:kinsoku/>
        <w:wordWrap/>
        <w:overflowPunct/>
        <w:topLinePunct w:val="0"/>
        <w:autoSpaceDE/>
        <w:autoSpaceDN/>
        <w:bidi w:val="0"/>
        <w:adjustRightInd/>
        <w:snapToGrid/>
        <w:spacing w:line="360" w:lineRule="auto"/>
        <w:ind w:firstLine="456" w:firstLineChars="19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798E6B53">
      <w:pPr>
        <w:keepNext w:val="0"/>
        <w:keepLines w:val="0"/>
        <w:pageBreakBefore w:val="0"/>
        <w:widowControl w:val="0"/>
        <w:kinsoku/>
        <w:wordWrap/>
        <w:overflowPunct/>
        <w:topLinePunct w:val="0"/>
        <w:autoSpaceDE/>
        <w:autoSpaceDN/>
        <w:bidi w:val="0"/>
        <w:adjustRightInd/>
        <w:snapToGrid/>
        <w:spacing w:line="360" w:lineRule="auto"/>
        <w:ind w:firstLine="420"/>
        <w:textAlignment w:val="auto"/>
        <w:outlineLvl w:val="9"/>
        <w:rPr>
          <w:rFonts w:hint="eastAsia" w:ascii="仿宋" w:hAnsi="仿宋" w:eastAsia="仿宋" w:cs="仿宋"/>
          <w:color w:val="auto"/>
          <w:sz w:val="24"/>
          <w:szCs w:val="24"/>
          <w:highlight w:val="none"/>
        </w:rPr>
      </w:pPr>
    </w:p>
    <w:p w14:paraId="38A1679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 xml:space="preserve"> 承包人(公章)：</w:t>
      </w:r>
      <w:r>
        <w:rPr>
          <w:rFonts w:hint="eastAsia" w:ascii="仿宋" w:hAnsi="仿宋" w:eastAsia="仿宋" w:cs="仿宋"/>
          <w:color w:val="auto"/>
          <w:sz w:val="24"/>
          <w:szCs w:val="24"/>
          <w:highlight w:val="none"/>
          <w:u w:val="single"/>
        </w:rPr>
        <w:t xml:space="preserve">           </w:t>
      </w:r>
    </w:p>
    <w:p w14:paraId="77B3C56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7657809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法定代表人(签字)：</w:t>
      </w:r>
      <w:r>
        <w:rPr>
          <w:rFonts w:hint="eastAsia" w:ascii="仿宋" w:hAnsi="仿宋" w:eastAsia="仿宋" w:cs="仿宋"/>
          <w:color w:val="auto"/>
          <w:sz w:val="24"/>
          <w:szCs w:val="24"/>
          <w:highlight w:val="none"/>
          <w:u w:val="single"/>
        </w:rPr>
        <w:t xml:space="preserve">       </w:t>
      </w:r>
    </w:p>
    <w:p w14:paraId="067CF0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委托代理人(签字)：</w:t>
      </w:r>
      <w:r>
        <w:rPr>
          <w:rFonts w:hint="eastAsia" w:ascii="仿宋" w:hAnsi="仿宋" w:eastAsia="仿宋" w:cs="仿宋"/>
          <w:color w:val="auto"/>
          <w:sz w:val="24"/>
          <w:szCs w:val="24"/>
          <w:highlight w:val="none"/>
          <w:u w:val="single"/>
        </w:rPr>
        <w:t xml:space="preserve">       </w:t>
      </w:r>
    </w:p>
    <w:p w14:paraId="72E244D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14:paraId="5FF8DB2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2AF74F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14:paraId="0DD2241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14:paraId="045FD2A9">
      <w:pPr>
        <w:rPr>
          <w:rFonts w:hint="eastAsia" w:ascii="仿宋" w:hAnsi="仿宋" w:eastAsia="仿宋" w:cs="仿宋"/>
          <w:color w:val="auto"/>
          <w:lang w:val="en-US" w:eastAsia="zh-Hans"/>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p>
    <w:p w14:paraId="3D174B2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195EDD"/>
    <w:rsid w:val="5F171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unhideWhenUsed/>
    <w:qFormat/>
    <w:uiPriority w:val="0"/>
    <w:pPr>
      <w:spacing w:after="120"/>
    </w:pPr>
  </w:style>
  <w:style w:type="paragraph" w:styleId="4">
    <w:name w:val="Body Text Indent"/>
    <w:basedOn w:val="1"/>
    <w:qFormat/>
    <w:uiPriority w:val="0"/>
    <w:pPr>
      <w:widowControl/>
      <w:ind w:firstLine="652" w:firstLineChars="233"/>
    </w:pPr>
    <w:rPr>
      <w:rFonts w:ascii="Times New Roman"/>
      <w:sz w:val="28"/>
    </w:rPr>
  </w:style>
  <w:style w:type="paragraph" w:styleId="5">
    <w:name w:val="Plain Text"/>
    <w:basedOn w:val="1"/>
    <w:qFormat/>
    <w:uiPriority w:val="99"/>
    <w:rPr>
      <w:rFonts w:ascii="宋体" w:hAnsi="Courier New" w:cs="宋体"/>
    </w:rPr>
  </w:style>
  <w:style w:type="paragraph" w:styleId="6">
    <w:name w:val="Body Text First Indent"/>
    <w:basedOn w:val="3"/>
    <w:next w:val="7"/>
    <w:qFormat/>
    <w:uiPriority w:val="99"/>
    <w:pPr>
      <w:ind w:firstLine="420" w:firstLineChars="100"/>
    </w:pPr>
    <w:rPr>
      <w:rFonts w:ascii="宋体"/>
    </w:rPr>
  </w:style>
  <w:style w:type="paragraph" w:styleId="7">
    <w:name w:val="Body Text First Indent 2"/>
    <w:basedOn w:val="4"/>
    <w:qFormat/>
    <w:uiPriority w:val="0"/>
    <w:pPr>
      <w:widowControl w:val="0"/>
      <w:spacing w:after="120" w:line="240" w:lineRule="auto"/>
      <w:ind w:left="420" w:leftChars="200" w:firstLine="420" w:firstLineChars="200"/>
      <w:jc w:val="both"/>
    </w:pPr>
    <w:rPr>
      <w:rFonts w:ascii="Times New Roman" w:hAnsi="Times New Roman" w:eastAsia="宋体"/>
    </w:r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3388</Words>
  <Characters>3425</Characters>
  <Lines>0</Lines>
  <Paragraphs>0</Paragraphs>
  <TotalTime>0</TotalTime>
  <ScaleCrop>false</ScaleCrop>
  <LinksUpToDate>false</LinksUpToDate>
  <CharactersWithSpaces>4109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2026-07-31T10:41:00Z</dcterms:created>
  <dc:creator>PC</dc:creator>
  <cp:lastModifiedBy>doit</cp:lastModifiedBy>
  <dcterms:modified xsi:type="dcterms:W3CDTF">2026-07-31T10:53:53Z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9651D80157704E2F9ECD31388D27B68B_12</vt:lpwstr>
  </property>
</Properties>
</file>