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版本号：YXZB-2026-061020260626002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柞水城区第一初级中学体育场改造项目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YXZB-2026-0610</w:t>
      </w:r>
      <w:r>
        <w:br/>
      </w:r>
      <w:r>
        <w:br/>
      </w:r>
      <w:r>
        <w:br/>
      </w:r>
    </w:p>
    <w:p>
      <w:pPr>
        <w:pStyle w:val="null3"/>
        <w:jc w:val="center"/>
        <w:outlineLvl w:val="2"/>
      </w:pPr>
      <w:r>
        <w:rPr>
          <w:rFonts w:ascii="仿宋_GB2312" w:hAnsi="仿宋_GB2312" w:cs="仿宋_GB2312" w:eastAsia="仿宋_GB2312"/>
          <w:sz w:val="28"/>
          <w:b/>
        </w:rPr>
        <w:t>柞水县城区第一初级中学</w:t>
      </w:r>
    </w:p>
    <w:p>
      <w:pPr>
        <w:pStyle w:val="null3"/>
        <w:jc w:val="center"/>
        <w:outlineLvl w:val="2"/>
      </w:pPr>
      <w:r>
        <w:rPr>
          <w:rFonts w:ascii="仿宋_GB2312" w:hAnsi="仿宋_GB2312" w:cs="仿宋_GB2312" w:eastAsia="仿宋_GB2312"/>
          <w:sz w:val="28"/>
          <w:b/>
        </w:rPr>
        <w:t>陕西玥鑫项目管理有限公司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陕西玥鑫项目管理有限公司</w:t>
      </w:r>
      <w:r>
        <w:rPr>
          <w:rFonts w:ascii="仿宋_GB2312" w:hAnsi="仿宋_GB2312" w:cs="仿宋_GB2312" w:eastAsia="仿宋_GB2312"/>
        </w:rPr>
        <w:t>（以下简称“代理机构”）受</w:t>
      </w:r>
      <w:r>
        <w:rPr>
          <w:rFonts w:ascii="仿宋_GB2312" w:hAnsi="仿宋_GB2312" w:cs="仿宋_GB2312" w:eastAsia="仿宋_GB2312"/>
        </w:rPr>
        <w:t>柞水县城区第一初级中学</w:t>
      </w:r>
      <w:r>
        <w:rPr>
          <w:rFonts w:ascii="仿宋_GB2312" w:hAnsi="仿宋_GB2312" w:cs="仿宋_GB2312" w:eastAsia="仿宋_GB2312"/>
        </w:rPr>
        <w:t>委托，拟对</w:t>
      </w:r>
      <w:r>
        <w:rPr>
          <w:rFonts w:ascii="仿宋_GB2312" w:hAnsi="仿宋_GB2312" w:cs="仿宋_GB2312" w:eastAsia="仿宋_GB2312"/>
        </w:rPr>
        <w:t>柞水城区第一初级中学体育场改造项目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YXZB-2026-0610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柞水城区第一初级中学体育场改造项目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2255平方米操场的草皮、1381平方米塑胶面层、510平方米硅PU面层拆除，重新铺装2255平方米人造草皮、1381平方米塑胶面层、510平方米硅PU面层，对围网立柱、钢丝网拆除，新修围网立柱，新修大约4平方米的器材室(活动板房)，拆除原有的路灯，新修路灯、监控、音响，新修排球墙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采购包1（柞水城区第一初级中学体育场改造项目）：属于专门面向中小企业采购。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1、具有独立承担民事责任的能力：提供注册登记凭证(在中华人民共和国境内注册，并有效存续的营业执照/事业单位法人证书/非企业专业服务机构执业许可证/民办非企业单位登记证书、税务 登证、组织机构代码证，或“三证合一"后的注册登记证);</w:t>
      </w:r>
    </w:p>
    <w:p>
      <w:pPr>
        <w:pStyle w:val="null3"/>
      </w:pPr>
      <w:r>
        <w:rPr>
          <w:rFonts w:ascii="仿宋_GB2312" w:hAnsi="仿宋_GB2312" w:cs="仿宋_GB2312" w:eastAsia="仿宋_GB2312"/>
        </w:rPr>
        <w:t>2、拟派项目负责人（项目经理）资质和专业要求：证书等级:二级(含)及以上注册建造师资格和有效的安全生产考核合格证书 专业:建筑工程 补充说明:未担任其他在建工程项目的项目经理，项目经理须在“陕西省建筑市场监管与诚信信息平台"可查询;</w:t>
      </w:r>
    </w:p>
    <w:p>
      <w:pPr>
        <w:pStyle w:val="null3"/>
      </w:pPr>
      <w:r>
        <w:rPr>
          <w:rFonts w:ascii="仿宋_GB2312" w:hAnsi="仿宋_GB2312" w:cs="仿宋_GB2312" w:eastAsia="仿宋_GB2312"/>
        </w:rPr>
        <w:t>3、法定代表人委托授权书：法定代表人资格证明书(原件)或法定代表人委托授权书(原件，法人委派授权人参加的需提供);</w:t>
      </w:r>
    </w:p>
    <w:p>
      <w:pPr>
        <w:pStyle w:val="null3"/>
      </w:pPr>
      <w:r>
        <w:rPr>
          <w:rFonts w:ascii="仿宋_GB2312" w:hAnsi="仿宋_GB2312" w:cs="仿宋_GB2312" w:eastAsia="仿宋_GB2312"/>
        </w:rPr>
        <w:t>4、《基本资格条件承诺函》：按要求提供《基本资格条件承诺函》;</w:t>
      </w:r>
    </w:p>
    <w:p>
      <w:pPr>
        <w:pStyle w:val="null3"/>
      </w:pPr>
      <w:r>
        <w:rPr>
          <w:rFonts w:ascii="仿宋_GB2312" w:hAnsi="仿宋_GB2312" w:cs="仿宋_GB2312" w:eastAsia="仿宋_GB2312"/>
        </w:rPr>
        <w:t>5、资质要求：供应商需具备建筑工程施工总承包三级（含）或市政公用工程施工总承包三级（含）及以上资质，并具有有效的《安全生产许可证》，供应商须在“陕西省建筑市场监管与诚信信息平台"可查询;</w:t>
      </w:r>
    </w:p>
    <w:p>
      <w:pPr>
        <w:pStyle w:val="null3"/>
      </w:pPr>
      <w:r>
        <w:rPr>
          <w:rFonts w:ascii="仿宋_GB2312" w:hAnsi="仿宋_GB2312" w:cs="仿宋_GB2312" w:eastAsia="仿宋_GB2312"/>
        </w:rPr>
        <w:t>6、中小企业声明函：本项目为专门面向中小企业采购项目须根据《政府采购促进中小企业发展管理办法》(财库2020〕46 号)的规定提供《中小企业声明函》；</w:t>
      </w:r>
    </w:p>
    <w:p>
      <w:pPr>
        <w:pStyle w:val="null3"/>
      </w:pPr>
      <w:r>
        <w:rPr>
          <w:rFonts w:ascii="仿宋_GB2312" w:hAnsi="仿宋_GB2312" w:cs="仿宋_GB2312" w:eastAsia="仿宋_GB2312"/>
        </w:rPr>
        <w:t>7、本项目不接受联合体投标：提供非联合体投标书面声明函。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柞水县城区第一初级中学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柞水县县城仁和社区党家湾</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柞水县城区第一初级中学经办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0914-4323942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陕西玥鑫项目管理有限公司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陕西省西安市浐灞生态区长乐东路长乐壹号第一幢4层1-11号商铺10室22号【集群】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夏娜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18691435323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柞水县政府采购管理股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但正刚</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0914-4323221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采购包1：1,433,536.25元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1.招标代理服务费收取参考国家计委颁布的《招标代理服务收费管理暂行办法》(计价格[2002]1980号)和(发改办价格[2003]857号)文收费标准计取，不足5000.00元，按5000.00元收取。此服务费应计入磋商报价中，但不需要单独开列。</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柞水县城区第一初级中学</w:t>
      </w:r>
      <w:r>
        <w:rPr>
          <w:rFonts w:ascii="仿宋_GB2312" w:hAnsi="仿宋_GB2312" w:cs="仿宋_GB2312" w:eastAsia="仿宋_GB2312"/>
        </w:rPr>
        <w:t>和</w:t>
      </w:r>
      <w:r>
        <w:rPr>
          <w:rFonts w:ascii="仿宋_GB2312" w:hAnsi="仿宋_GB2312" w:cs="仿宋_GB2312" w:eastAsia="仿宋_GB2312"/>
        </w:rPr>
        <w:t>陕西玥鑫项目管理有限公司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柞水县城区第一初级中学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陕西玥鑫项目管理有限公司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柞水县城区第一初级中学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陕西玥鑫项目管理有限公司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按合同规范要求。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陕西玥鑫项目管理有限公司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陕西玥鑫项目管理有限公司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陕西玥鑫项目管理有限公司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联系人：夏娜</w:t>
      </w:r>
    </w:p>
    <w:p>
      <w:pPr>
        <w:pStyle w:val="null3"/>
      </w:pPr>
      <w:r>
        <w:rPr>
          <w:rFonts w:ascii="仿宋_GB2312" w:hAnsi="仿宋_GB2312" w:cs="仿宋_GB2312" w:eastAsia="仿宋_GB2312"/>
        </w:rPr>
        <w:t>联系电话：18691435323</w:t>
      </w:r>
    </w:p>
    <w:p>
      <w:pPr>
        <w:pStyle w:val="null3"/>
      </w:pPr>
      <w:r>
        <w:rPr>
          <w:rFonts w:ascii="仿宋_GB2312" w:hAnsi="仿宋_GB2312" w:cs="仿宋_GB2312" w:eastAsia="仿宋_GB2312"/>
        </w:rPr>
        <w:t>地址：陕西省西安市浐灞生态区长乐东路长乐壹号第一幢4层1-11号商铺10室22号【集群】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1,433,536.25</w:t>
      </w:r>
    </w:p>
    <w:p>
      <w:pPr>
        <w:pStyle w:val="null3"/>
      </w:pPr>
      <w:r>
        <w:rPr>
          <w:rFonts w:ascii="仿宋_GB2312" w:hAnsi="仿宋_GB2312" w:cs="仿宋_GB2312" w:eastAsia="仿宋_GB2312"/>
        </w:rPr>
        <w:t>采购包最高限价（元）: 1,433,536.25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对2255平方米操场的草皮、1381平方米塑胶面层、510平方米硅PU面层拆除，重新铺装2255平方米人造草皮、1381平方米塑胶面层、510平方米硅PU面层，对围网立柱、钢丝网拆除，新修围网立柱，新修大约4平方米的器材室(活动板房)，拆除原有的路灯，新修路灯、监控、音响，新修排球墙等。</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1,433,536.25</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对2255平方米操场的草皮、1381平方米塑胶面层、510平方米硅PU面层拆除，重新铺装2255平方米人造草皮、1381平方米塑胶面层、510平方米硅PU面层，对围网立柱、钢丝网拆除，新修围网立柱，新修大约4平方米的器材室(活动板房)，拆除原有的路灯，新修路灯、监控、音响，新修排球墙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材料环保质量指标到国家标准;施工规范安全，工程质量符合国家标准;在合同约定施工期限内，完成体育场改造。</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按国家有关验收规范和验评标准，工程质量达到合格标准。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详见本项目工程量清单。</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1、工期：自合同签订之日起50个日历日 2、本项目为据实结算。</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2024或2025年度经审计的财务报告（包含审计报告和审计报告中所涉及的财务报表和报表附注），②可提供2024或2025年度供应商完整的全套财务报表（应当包括资产负债表、利润表、现金流量表、所有者权益变动表、附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提供注册登记凭证(在中华人民共和国境内注册，并有效存续的营业执照/事业单位法人证书/非企业专业服务机构执业许可证/民办非企业单位登记证书、税务 登证、组织机构代码证，或“三证合一"后的注册登记证);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拟派项目负责人（项目经理）资质和专业要求</w:t>
            </w:r>
          </w:p>
        </w:tc>
        <w:tc>
          <w:tcPr>
            <w:tcW w:type="dxa" w:w="3322"/>
          </w:tcPr>
          <w:p>
            <w:pPr>
              <w:pStyle w:val="null3"/>
            </w:pPr>
            <w:r>
              <w:rPr>
                <w:rFonts w:ascii="仿宋_GB2312" w:hAnsi="仿宋_GB2312" w:cs="仿宋_GB2312" w:eastAsia="仿宋_GB2312"/>
              </w:rPr>
              <w:t>证书等级:二级(含)及以上注册建造师资格和有效的安全生产考核合格证书 专业:建筑工程 补充说明:未担任其他在建工程项目的项目经理，项目经理须在“陕西省建筑市场监管与诚信信息平台"可查询;</w:t>
            </w:r>
          </w:p>
        </w:tc>
        <w:tc>
          <w:tcPr>
            <w:tcW w:type="dxa" w:w="1661"/>
          </w:tcPr>
          <w:p>
            <w:pPr>
              <w:pStyle w:val="null3"/>
            </w:pPr>
            <w:r>
              <w:rPr>
                <w:rFonts w:ascii="仿宋_GB2312" w:hAnsi="仿宋_GB2312" w:cs="仿宋_GB2312" w:eastAsia="仿宋_GB2312"/>
              </w:rPr>
              <w:t>项目管理机构组成表 供应商资格证明文件.docx 主要人员简历表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法定代表人委托授权书</w:t>
            </w:r>
          </w:p>
        </w:tc>
        <w:tc>
          <w:tcPr>
            <w:tcW w:type="dxa" w:w="3322"/>
          </w:tcPr>
          <w:p>
            <w:pPr>
              <w:pStyle w:val="null3"/>
            </w:pPr>
            <w:r>
              <w:rPr>
                <w:rFonts w:ascii="仿宋_GB2312" w:hAnsi="仿宋_GB2312" w:cs="仿宋_GB2312" w:eastAsia="仿宋_GB2312"/>
              </w:rPr>
              <w:t>法定代表人资格证明书(原件)或法定代表人委托授权书(原件，法人委派授权人参加的需提供);</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《基本资格条件承诺函》</w:t>
            </w:r>
          </w:p>
        </w:tc>
        <w:tc>
          <w:tcPr>
            <w:tcW w:type="dxa" w:w="3322"/>
          </w:tcPr>
          <w:p>
            <w:pPr>
              <w:pStyle w:val="null3"/>
            </w:pPr>
            <w:r>
              <w:rPr>
                <w:rFonts w:ascii="仿宋_GB2312" w:hAnsi="仿宋_GB2312" w:cs="仿宋_GB2312" w:eastAsia="仿宋_GB2312"/>
              </w:rPr>
              <w:t>按要求提供《基本资格条件承诺函》;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供应商需具备建筑工程施工总承包三级（含）或市政公用工程施工总承包三级（含）及以上资质，并具有有效的《安全生产许可证》，供应商须在“陕西省建筑市场监管与诚信信息平台"可查询;</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本项目为专门面向中小企业采购项目须根据《政府采购促进中小企业发展管理办法》(财库2020〕46 号)的规定提供《中小企业声明函》；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提供非联合体投标书面声明函。</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磋商响应文件中项目名称、项目编号与本项目一致，按照竞争性磋商文件要求签字盖章，无遗漏</w:t>
            </w:r>
          </w:p>
        </w:tc>
        <w:tc>
          <w:tcPr>
            <w:tcW w:type="dxa" w:w="3322"/>
          </w:tcPr>
          <w:p>
            <w:pPr>
              <w:pStyle w:val="null3"/>
            </w:pPr>
            <w:r>
              <w:rPr>
                <w:rFonts w:ascii="仿宋_GB2312" w:hAnsi="仿宋_GB2312" w:cs="仿宋_GB2312" w:eastAsia="仿宋_GB2312"/>
              </w:rPr>
              <w:t>磋商响应文件中项目名称、项目编号与本项目一致，按照竞争性磋商文件要求签字盖章，无遗漏。“竞争性磋商响应文件格式”中凡注明"签字和盖章"处，供应商必须既手写签字又盖章;“竞争性磋商响应文件格式“中凡注明“签字或盖章"处，供应商实施一项内容即可;竞争性磋商响应文件中所附的相关材料的复印件，也须加盖供应商单位公章。</w:t>
            </w:r>
          </w:p>
        </w:tc>
        <w:tc>
          <w:tcPr>
            <w:tcW w:type="dxa" w:w="1661"/>
          </w:tcPr>
          <w:p>
            <w:pPr>
              <w:pStyle w:val="null3"/>
            </w:pPr>
            <w:r>
              <w:rPr>
                <w:rFonts w:ascii="仿宋_GB2312" w:hAnsi="仿宋_GB2312" w:cs="仿宋_GB2312" w:eastAsia="仿宋_GB2312"/>
              </w:rPr>
              <w:t>技术服务方案.docx 已标价工程量清单 中小企业声明函 技术服务合同条款及其他商务要求应答表 强制优先采购产品承诺函 响应文件封面 项目管理机构组成表 残疾人福利性单位声明函 报价函 标的清单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符合磋商文件要求，未超出采购预算或磋商文件规定的最高限价，报价符合唯一性要求无选 择性报价;</w:t>
            </w:r>
          </w:p>
        </w:tc>
        <w:tc>
          <w:tcPr>
            <w:tcW w:type="dxa" w:w="1661"/>
          </w:tcPr>
          <w:p>
            <w:pPr>
              <w:pStyle w:val="null3"/>
            </w:pPr>
            <w:r>
              <w:rPr>
                <w:rFonts w:ascii="仿宋_GB2312" w:hAnsi="仿宋_GB2312" w:cs="仿宋_GB2312" w:eastAsia="仿宋_GB2312"/>
              </w:rPr>
              <w:t>响应文件封面 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响应审查</w:t>
            </w:r>
          </w:p>
        </w:tc>
        <w:tc>
          <w:tcPr>
            <w:tcW w:type="dxa" w:w="3322"/>
          </w:tcPr>
          <w:p>
            <w:pPr>
              <w:pStyle w:val="null3"/>
            </w:pPr>
            <w:r>
              <w:rPr>
                <w:rFonts w:ascii="仿宋_GB2312" w:hAnsi="仿宋_GB2312" w:cs="仿宋_GB2312" w:eastAsia="仿宋_GB2312"/>
              </w:rPr>
              <w:t>完整响应磋商文件服务内容及服务要求、商务条款;</w:t>
            </w:r>
          </w:p>
        </w:tc>
        <w:tc>
          <w:tcPr>
            <w:tcW w:type="dxa" w:w="1661"/>
          </w:tcPr>
          <w:p>
            <w:pPr>
              <w:pStyle w:val="null3"/>
            </w:pPr>
            <w:r>
              <w:rPr>
                <w:rFonts w:ascii="仿宋_GB2312" w:hAnsi="仿宋_GB2312" w:cs="仿宋_GB2312" w:eastAsia="仿宋_GB2312"/>
              </w:rPr>
              <w:t>响应文件封面 技术服务合同条款及其他商务要求应答表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完全理解并接受法律法规和磋商文件对供应商合法经营的各类规约和责任义务要求，没有出现法律法规或磋商文件规定的其他无效情形。</w:t>
            </w:r>
          </w:p>
        </w:tc>
        <w:tc>
          <w:tcPr>
            <w:tcW w:type="dxa" w:w="1661"/>
          </w:tcPr>
          <w:p>
            <w:pPr>
              <w:pStyle w:val="null3"/>
            </w:pPr>
            <w:r>
              <w:rPr>
                <w:rFonts w:ascii="仿宋_GB2312" w:hAnsi="仿宋_GB2312" w:cs="仿宋_GB2312" w:eastAsia="仿宋_GB2312"/>
              </w:rPr>
              <w:t>技术服务方案.docx 已标价工程量清单 中小企业声明函 技术服务合同条款及其他商务要求应答表 强制优先采购产品承诺函 响应文件封面 项目管理机构组成表 残疾人福利性单位声明函 报价函 标的清单 供应商类似项目业绩一览表 供应商资格证明文件.docx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供应商应提供2023年6月1日以后的类似业绩，业绩以合同及签订日期为评审依据每提供1份计2分，最高共计10分。说明:响应文件中附合同的复印件或扫描件并加盖申请人公章。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项目经理和项目部组成</w:t>
            </w:r>
          </w:p>
        </w:tc>
        <w:tc>
          <w:tcPr>
            <w:tcW w:type="dxa" w:w="2492"/>
          </w:tcPr>
          <w:p>
            <w:pPr>
              <w:pStyle w:val="null3"/>
            </w:pPr>
            <w:r>
              <w:rPr>
                <w:rFonts w:ascii="仿宋_GB2312" w:hAnsi="仿宋_GB2312" w:cs="仿宋_GB2312" w:eastAsia="仿宋_GB2312"/>
              </w:rPr>
              <w:t>1.项目经理:具有相关专业中级及以上职称，得3.0分。须提供职称证书扫描件未提供不得分。2.(1)项目部组成科学合理、人员表配置充足，有详细的人员配置清单，证明材料齐全，针对性强，能够很好的满足项目需求，得7.0分;(2)项目部组成科学合理、人员表配置较齐全，有人员配置清单，证明材料较齐全，基本满足项目需求，得5.0分;(3)项目部组成人员缺乏科学合理性，无人员配置清单，证明材料简单，无法满足项目需求，得3.0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确保质量的技术组织措施</w:t>
            </w:r>
          </w:p>
        </w:tc>
        <w:tc>
          <w:tcPr>
            <w:tcW w:type="dxa" w:w="2492"/>
          </w:tcPr>
          <w:p>
            <w:pPr>
              <w:pStyle w:val="null3"/>
            </w:pPr>
            <w:r>
              <w:rPr>
                <w:rFonts w:ascii="仿宋_GB2312" w:hAnsi="仿宋_GB2312" w:cs="仿宋_GB2312" w:eastAsia="仿宋_GB2312"/>
              </w:rPr>
              <w:t>确保质量的技术组织措施。内容合理、方案具体可行、完全符合要求得7.0分;内容较合理、方案可行性一般，基本符合要求得5.0分: 内容不完备、方案可行性、差不能全面符合要求得3.0分;未提供不计分。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确保安全生产的技术组织措施。内容合理、方案具体可行、完全符合要求得7.0分；内容较合理、方案可行性一般，基本符合要求得5.0分;内容不完备、方案可行性差、不能全面符合要求得3.0分;未提供不计分。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确保工期的技术组织措施。内容合理、方案具体可行、完全符合要求得7.0分;内容较合理、方案可行性一般，基本符合要求得5.0分;内容不完备、方案可行性差不能全面符合要求得3.0分;未提供不计分。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确保文明施工的技术组织措施及环境保护措施。内容合理、方案具体可行、完全符合要求得7.0分;内容较合理、方案可行性一般，基本符合要求得5.0分;内容不完备、方案可行性差、不能全面符合要求得3.0分;未提供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施工机械配备和材料投入计划。计划完备，详细、可行性强计7.0分;计划较合理较详细、基本可行得5.0分;计划欠缺或内容不完备得3.0分;未提供不计分。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项目总体施工方案</w:t>
            </w:r>
          </w:p>
        </w:tc>
        <w:tc>
          <w:tcPr>
            <w:tcW w:type="dxa" w:w="2492"/>
          </w:tcPr>
          <w:p>
            <w:pPr>
              <w:pStyle w:val="null3"/>
            </w:pPr>
            <w:r>
              <w:rPr>
                <w:rFonts w:ascii="仿宋_GB2312" w:hAnsi="仿宋_GB2312" w:cs="仿宋_GB2312" w:eastAsia="仿宋_GB2312"/>
              </w:rPr>
              <w:t>项目总体施工方案。内容合理、方案具体可行、完全符合要求得7.0分; 内容较合理、方案可行性一般，基本符合要求得5.0分; 内容不完备、方案可行性差、不能全面符合要求得3.0分;未提供不计分。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施工进度表或施工网络图</w:t>
            </w:r>
          </w:p>
        </w:tc>
        <w:tc>
          <w:tcPr>
            <w:tcW w:type="dxa" w:w="2492"/>
          </w:tcPr>
          <w:p>
            <w:pPr>
              <w:pStyle w:val="null3"/>
            </w:pPr>
            <w:r>
              <w:rPr>
                <w:rFonts w:ascii="仿宋_GB2312" w:hAnsi="仿宋_GB2312" w:cs="仿宋_GB2312" w:eastAsia="仿宋_GB2312"/>
              </w:rPr>
              <w:t>施工进度表或施工网络图。整体进度安排(施工进度表或施工网络图)及各阶段进度保证措施内容合理、方案具体可行、完全符合要求得7.0分;内容较合理、方案可行性一般，基本符合要求得5.0分;内容不完备、方案可行性差、不能全面符合要求得3.0分;未提供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劳动力安排计划及劳务分包 情况表</w:t>
            </w:r>
          </w:p>
        </w:tc>
        <w:tc>
          <w:tcPr>
            <w:tcW w:type="dxa" w:w="2492"/>
          </w:tcPr>
          <w:p>
            <w:pPr>
              <w:pStyle w:val="null3"/>
            </w:pPr>
            <w:r>
              <w:rPr>
                <w:rFonts w:ascii="仿宋_GB2312" w:hAnsi="仿宋_GB2312" w:cs="仿宋_GB2312" w:eastAsia="仿宋_GB2312"/>
              </w:rPr>
              <w:t>劳动力安排计划及劳务分包情况表。措施完备，详细、可操作性强计7.0分;措施基本合理、较详细、可操作性一般得5.0分;措施欠缺或内容不完备得3.0分;未提供不计分。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施工总平面布置图</w:t>
            </w:r>
          </w:p>
        </w:tc>
        <w:tc>
          <w:tcPr>
            <w:tcW w:type="dxa" w:w="2492"/>
          </w:tcPr>
          <w:p>
            <w:pPr>
              <w:pStyle w:val="null3"/>
            </w:pPr>
            <w:r>
              <w:rPr>
                <w:rFonts w:ascii="仿宋_GB2312" w:hAnsi="仿宋_GB2312" w:cs="仿宋_GB2312" w:eastAsia="仿宋_GB2312"/>
              </w:rPr>
              <w:t>施工总平面布置图。内容合理、方案具体可行、完全符合要求得7.0分;内容较合理、方案可行性一般，基本符合要求得5.0分;内容不完备、方案可行性差、不能全面符合要求得3.0分;未提供不计分。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新技术、新产品、新工艺、新材料应用、施工现场扬尘预防措施</w:t>
            </w:r>
          </w:p>
        </w:tc>
        <w:tc>
          <w:tcPr>
            <w:tcW w:type="dxa" w:w="2492"/>
          </w:tcPr>
          <w:p>
            <w:pPr>
              <w:pStyle w:val="null3"/>
            </w:pPr>
            <w:r>
              <w:rPr>
                <w:rFonts w:ascii="仿宋_GB2312" w:hAnsi="仿宋_GB2312" w:cs="仿宋_GB2312" w:eastAsia="仿宋_GB2312"/>
              </w:rPr>
              <w:t>新技术、新产品、新工艺、新材料应用、施工现场扬尘预防措施。内容合理、方案具体可行、完全符合要求得7.0分;内容较合理、方案可行性一般，基本符合要求得5.0分; 内容不完备、方案可行性差、不能全面符合要求得3.0分;未提供不计。</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磋商报价采用低价优先法计算，即满足竞争性磋商文件要求且最后磋商报价最低的报价为评审基准价，其价格分为满分。其他供应商的价格分统一按照下列公式计算磋商报价得分=(评审基准价/最后磋商报价)x10 说明:本项目专门面对中小企业采购，故不再对各供应商价格进行优惠评审。</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详见附件：柞水县城区第一初级中学体育场改造项目--施工合同docx.docx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