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B3B7D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50" w:lineRule="atLeast"/>
        <w:ind w:left="0" w:right="0" w:firstLine="0"/>
        <w:jc w:val="center"/>
        <w:rPr>
          <w:rFonts w:hint="eastAsia" w:ascii="宋体" w:hAnsi="宋体" w:eastAsia="宋体" w:cs="宋体"/>
          <w:b/>
          <w:bCs/>
          <w:i w:val="0"/>
          <w:iCs w:val="0"/>
          <w:caps w:val="0"/>
          <w:color w:val="333333"/>
          <w:spacing w:val="0"/>
          <w:sz w:val="39"/>
          <w:szCs w:val="39"/>
        </w:rPr>
      </w:pPr>
      <w:r>
        <w:rPr>
          <w:rFonts w:hint="eastAsia" w:ascii="宋体" w:hAnsi="宋体" w:eastAsia="宋体" w:cs="宋体"/>
          <w:b/>
          <w:bCs/>
          <w:i w:val="0"/>
          <w:iCs w:val="0"/>
          <w:caps w:val="0"/>
          <w:color w:val="333333"/>
          <w:spacing w:val="0"/>
          <w:sz w:val="39"/>
          <w:szCs w:val="39"/>
          <w:bdr w:val="none" w:color="auto" w:sz="0" w:space="0"/>
          <w:shd w:val="clear" w:fill="FFFFFF"/>
        </w:rPr>
        <w:t xml:space="preserve">第三章 </w:t>
      </w:r>
      <w:bookmarkStart w:id="0" w:name="_GoBack"/>
      <w:r>
        <w:rPr>
          <w:rFonts w:hint="eastAsia" w:ascii="宋体" w:hAnsi="宋体" w:eastAsia="宋体" w:cs="宋体"/>
          <w:b/>
          <w:bCs/>
          <w:i w:val="0"/>
          <w:iCs w:val="0"/>
          <w:caps w:val="0"/>
          <w:color w:val="333333"/>
          <w:spacing w:val="0"/>
          <w:sz w:val="39"/>
          <w:szCs w:val="39"/>
          <w:bdr w:val="none" w:color="auto" w:sz="0" w:space="0"/>
          <w:shd w:val="clear" w:fill="FFFFFF"/>
        </w:rPr>
        <w:t>磋商项目技术、服务、商务及其他要求</w:t>
      </w:r>
    </w:p>
    <w:bookmarkEnd w:id="0"/>
    <w:p w14:paraId="1A8E31F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rPr>
          <w:rFonts w:hint="eastAsia" w:ascii="宋体" w:hAnsi="宋体" w:eastAsia="宋体" w:cs="宋体"/>
          <w:i w:val="0"/>
          <w:iCs w:val="0"/>
          <w:caps w:val="0"/>
          <w:color w:val="333333"/>
          <w:spacing w:val="0"/>
          <w:sz w:val="18"/>
          <w:szCs w:val="18"/>
        </w:rPr>
      </w:pPr>
      <w:r>
        <w:rPr>
          <w:rFonts w:hint="eastAsia" w:ascii="宋体" w:hAnsi="宋体" w:eastAsia="宋体" w:cs="宋体"/>
          <w:i w:val="0"/>
          <w:iCs w:val="0"/>
          <w:caps w:val="0"/>
          <w:color w:val="333333"/>
          <w:spacing w:val="0"/>
          <w:sz w:val="18"/>
          <w:szCs w:val="18"/>
          <w:bdr w:val="none" w:color="auto" w:sz="0" w:space="0"/>
          <w:shd w:val="clear" w:fill="FFFFFF"/>
        </w:rPr>
        <w:t>（注：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046C7D06">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3.1采购项目概况</w:t>
      </w:r>
    </w:p>
    <w:p w14:paraId="03FFBC8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本项目为涉铁项目，建设内容主要包括道路工程、雨水工程、桥梁工程、交通工程、铁路电力工程、铁路通信工程、铁路电气化工程等，本次采购为草滩四路城市断头路打通工程高铁节点段提供施工图设计，配合并促进采购人完成道路建设目标；各项服务符合国家、省、市（行业）强制性标准及采购人要求的合格标准。</w:t>
      </w:r>
    </w:p>
    <w:p w14:paraId="5423021B">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3.2服务内容及服务要求</w:t>
      </w:r>
    </w:p>
    <w:p w14:paraId="20A7FCE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3.2.1服务内容</w:t>
      </w:r>
    </w:p>
    <w:p w14:paraId="3DE1D34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16AF867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采购包预算金额（元）: 419,600.00</w:t>
      </w:r>
    </w:p>
    <w:p w14:paraId="39BF2E8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采购包最高限价（元）: 419,600.00</w:t>
      </w:r>
    </w:p>
    <w:p w14:paraId="5CD676A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供应商报价不允许超过标的金额</w:t>
      </w:r>
    </w:p>
    <w:p w14:paraId="754DEFE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（招单价的）供应商报价不允许超过标的单价</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09"/>
        <w:gridCol w:w="3126"/>
        <w:gridCol w:w="481"/>
        <w:gridCol w:w="963"/>
        <w:gridCol w:w="481"/>
        <w:gridCol w:w="481"/>
        <w:gridCol w:w="481"/>
        <w:gridCol w:w="481"/>
        <w:gridCol w:w="481"/>
        <w:gridCol w:w="481"/>
        <w:gridCol w:w="481"/>
      </w:tblGrid>
      <w:tr w14:paraId="7EC1E39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75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119B32D">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序号</w:t>
            </w:r>
          </w:p>
        </w:tc>
        <w:tc>
          <w:tcPr>
            <w:tcW w:w="150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E73152D">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标的名称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2AAC2FD">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数量</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79CACB4">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标的金额 （元）</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D09495B">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计量单位</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5C5F6B0">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所属行业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8D38F21">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是否核心产品</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E20F300">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是否允许进口产品</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7FCBCFA">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是否属于节能产品</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51A9105">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是否属于环境标志产品</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34C61AE">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是否实施本国产品政策</w:t>
            </w:r>
          </w:p>
        </w:tc>
      </w:tr>
      <w:tr w14:paraId="5F21F23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C273EB3">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B9E08AC">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草滩四路城市断头路打通工程（涉铁段）施工图设计</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369102D">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1.00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7D599E0">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419,600.00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BA3CD47">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项</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998F03D">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其他未列明行业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0DECC21">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1BE5128">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E6A7BDE">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1EE17C6">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7F8E1B6">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r>
    </w:tbl>
    <w:p w14:paraId="57372C6D">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3.2.2服务要求</w:t>
      </w:r>
    </w:p>
    <w:p w14:paraId="27724A2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51121E4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标的名称：草滩四路城市断头路打通工程（涉铁段）施工图设计</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220"/>
        <w:gridCol w:w="1221"/>
        <w:gridCol w:w="6105"/>
      </w:tblGrid>
      <w:tr w14:paraId="5E6DD04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ACCD61F">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序号</w:t>
            </w:r>
          </w:p>
        </w:tc>
        <w:tc>
          <w:tcPr>
            <w:tcW w:w="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3D4398A">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参数性质</w:t>
            </w:r>
          </w:p>
        </w:tc>
        <w:tc>
          <w:tcPr>
            <w:tcW w:w="2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BC2C74F">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技术参数与性能指标</w:t>
            </w:r>
          </w:p>
        </w:tc>
      </w:tr>
      <w:tr w14:paraId="7C78930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187C245">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507EBF5">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279181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sz w:val="18"/>
                <w:szCs w:val="18"/>
              </w:rPr>
            </w:pPr>
            <w:r>
              <w:rPr>
                <w:rFonts w:ascii="仿宋" w:hAnsi="仿宋" w:eastAsia="仿宋" w:cs="仿宋"/>
                <w:color w:val="000000"/>
                <w:sz w:val="24"/>
                <w:szCs w:val="24"/>
                <w:bdr w:val="none" w:color="auto" w:sz="0" w:space="0"/>
              </w:rPr>
              <w:t>1.工程主要概况：（1）道路工程：新建机动车道面积约2049平方米，新建人行道面积394平方米；挖方4456立方米、地基注浆加固593立方米、新建箱涵南北侧顺接挡墙160米。</w:t>
            </w:r>
          </w:p>
          <w:p w14:paraId="5C129A9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sz w:val="18"/>
                <w:szCs w:val="18"/>
              </w:rPr>
            </w:pPr>
            <w:r>
              <w:rPr>
                <w:rFonts w:hint="eastAsia" w:ascii="仿宋" w:hAnsi="仿宋" w:eastAsia="仿宋" w:cs="仿宋"/>
                <w:color w:val="000000"/>
                <w:sz w:val="24"/>
                <w:szCs w:val="24"/>
                <w:bdr w:val="none" w:color="auto" w:sz="0" w:space="0"/>
              </w:rPr>
              <w:t>（2）雨水工程：D1000既有雨水管道迁改，新建工作井和接收井各1座。</w:t>
            </w:r>
          </w:p>
          <w:p w14:paraId="39BBB10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sz w:val="18"/>
                <w:szCs w:val="18"/>
              </w:rPr>
            </w:pPr>
            <w:r>
              <w:rPr>
                <w:rFonts w:hint="eastAsia" w:ascii="仿宋" w:hAnsi="仿宋" w:eastAsia="仿宋" w:cs="仿宋"/>
                <w:color w:val="000000"/>
                <w:sz w:val="24"/>
                <w:szCs w:val="24"/>
                <w:bdr w:val="none" w:color="auto" w:sz="0" w:space="0"/>
              </w:rPr>
              <w:t>（3）桥梁工程：桥梁排水、栏杆改造163米；新建电力防护涵81.5 平方米。</w:t>
            </w:r>
          </w:p>
          <w:p w14:paraId="77422E8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sz w:val="18"/>
                <w:szCs w:val="18"/>
              </w:rPr>
            </w:pPr>
            <w:r>
              <w:rPr>
                <w:rFonts w:hint="eastAsia" w:ascii="仿宋" w:hAnsi="仿宋" w:eastAsia="仿宋" w:cs="仿宋"/>
                <w:color w:val="000000"/>
                <w:sz w:val="24"/>
                <w:szCs w:val="24"/>
                <w:bdr w:val="none" w:color="auto" w:sz="0" w:space="0"/>
              </w:rPr>
              <w:t>（4）交通工程：限高架2套。</w:t>
            </w:r>
          </w:p>
          <w:p w14:paraId="1A0E029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sz w:val="18"/>
                <w:szCs w:val="18"/>
              </w:rPr>
            </w:pPr>
            <w:r>
              <w:rPr>
                <w:rFonts w:hint="eastAsia" w:ascii="仿宋" w:hAnsi="仿宋" w:eastAsia="仿宋" w:cs="仿宋"/>
                <w:color w:val="000000"/>
                <w:sz w:val="24"/>
                <w:szCs w:val="24"/>
                <w:bdr w:val="none" w:color="auto" w:sz="0" w:space="0"/>
              </w:rPr>
              <w:t>（5）铁路电力工程：箱式变电站拆除还建1座，其他配套电缆迁移防护。</w:t>
            </w:r>
          </w:p>
          <w:p w14:paraId="50FDFE6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sz w:val="18"/>
                <w:szCs w:val="18"/>
              </w:rPr>
            </w:pPr>
            <w:r>
              <w:rPr>
                <w:rFonts w:hint="eastAsia" w:ascii="仿宋" w:hAnsi="仿宋" w:eastAsia="仿宋" w:cs="仿宋"/>
                <w:color w:val="000000"/>
                <w:sz w:val="24"/>
                <w:szCs w:val="24"/>
                <w:bdr w:val="none" w:color="auto" w:sz="0" w:space="0"/>
              </w:rPr>
              <w:t>（6）铁路通信工程：通信光缆迁移防护15000米。</w:t>
            </w:r>
          </w:p>
          <w:p w14:paraId="2EC16CA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sz w:val="18"/>
                <w:szCs w:val="18"/>
              </w:rPr>
            </w:pPr>
            <w:r>
              <w:rPr>
                <w:rFonts w:hint="eastAsia" w:ascii="仿宋" w:hAnsi="仿宋" w:eastAsia="仿宋" w:cs="仿宋"/>
                <w:color w:val="000000"/>
                <w:sz w:val="24"/>
                <w:szCs w:val="24"/>
                <w:bdr w:val="none" w:color="auto" w:sz="0" w:space="0"/>
              </w:rPr>
              <w:t>（7）铁路信号工程：既有4根信号道岔融雪电缆防护。</w:t>
            </w:r>
          </w:p>
          <w:p w14:paraId="36C8673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sz w:val="18"/>
                <w:szCs w:val="18"/>
              </w:rPr>
            </w:pPr>
            <w:r>
              <w:rPr>
                <w:rFonts w:hint="eastAsia" w:ascii="仿宋" w:hAnsi="仿宋" w:eastAsia="仿宋" w:cs="仿宋"/>
                <w:color w:val="000000"/>
                <w:sz w:val="24"/>
                <w:szCs w:val="24"/>
                <w:bdr w:val="none" w:color="auto" w:sz="0" w:space="0"/>
              </w:rPr>
              <w:t>（8）铁路电气化工程：西宝高铁【211#、212#、213#、214#】中间地段采用电缆改架空线迁改8874米；两端进牵引变电所和上桥在路基地段采用高压电缆钢筋混凝土电缆管涵内敷设2880米。</w:t>
            </w:r>
          </w:p>
          <w:p w14:paraId="185E4FC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仿宋" w:hAnsi="仿宋" w:eastAsia="仿宋" w:cs="仿宋"/>
                <w:color w:val="000000"/>
                <w:sz w:val="24"/>
                <w:szCs w:val="24"/>
                <w:bdr w:val="none" w:color="auto" w:sz="0" w:space="0"/>
              </w:rPr>
              <w:t>2.服务内容(包含但不限于)：（1）编制施工图设计方案及文本说明。</w:t>
            </w:r>
          </w:p>
          <w:p w14:paraId="13841CD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sz w:val="18"/>
                <w:szCs w:val="18"/>
              </w:rPr>
            </w:pPr>
            <w:r>
              <w:rPr>
                <w:rFonts w:hint="eastAsia" w:ascii="仿宋" w:hAnsi="仿宋" w:eastAsia="仿宋" w:cs="仿宋"/>
                <w:color w:val="000000"/>
                <w:sz w:val="24"/>
                <w:szCs w:val="24"/>
                <w:bdr w:val="none" w:color="auto" w:sz="0" w:space="0"/>
              </w:rPr>
              <w:t>（2）编制施工图设计图纸。</w:t>
            </w:r>
          </w:p>
          <w:p w14:paraId="5D31250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sz w:val="18"/>
                <w:szCs w:val="18"/>
              </w:rPr>
            </w:pPr>
            <w:r>
              <w:rPr>
                <w:rFonts w:hint="eastAsia" w:ascii="仿宋" w:hAnsi="仿宋" w:eastAsia="仿宋" w:cs="仿宋"/>
                <w:color w:val="000000"/>
                <w:sz w:val="24"/>
                <w:szCs w:val="24"/>
                <w:bdr w:val="none" w:color="auto" w:sz="0" w:space="0"/>
              </w:rPr>
              <w:t>（3）审查项目过程资料(说明、图纸、材料表、数据等)及成果资料的汇编整理。</w:t>
            </w:r>
          </w:p>
          <w:p w14:paraId="170B258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sz w:val="18"/>
                <w:szCs w:val="18"/>
              </w:rPr>
            </w:pPr>
            <w:r>
              <w:rPr>
                <w:rFonts w:hint="eastAsia" w:ascii="仿宋" w:hAnsi="仿宋" w:eastAsia="仿宋" w:cs="仿宋"/>
                <w:color w:val="000000"/>
                <w:sz w:val="24"/>
                <w:szCs w:val="24"/>
                <w:bdr w:val="none" w:color="auto" w:sz="0" w:space="0"/>
              </w:rPr>
              <w:t>（4）根据项目实际情况提出合理化建议。</w:t>
            </w:r>
          </w:p>
          <w:p w14:paraId="6B62A84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sz w:val="18"/>
                <w:szCs w:val="18"/>
              </w:rPr>
            </w:pPr>
            <w:r>
              <w:rPr>
                <w:rFonts w:hint="eastAsia" w:ascii="仿宋" w:hAnsi="仿宋" w:eastAsia="仿宋" w:cs="仿宋"/>
                <w:color w:val="000000"/>
                <w:sz w:val="24"/>
                <w:szCs w:val="24"/>
                <w:bdr w:val="none" w:color="auto" w:sz="0" w:space="0"/>
              </w:rPr>
              <w:t>（5）项目实施期间有关其他配合的服务。</w:t>
            </w:r>
          </w:p>
          <w:p w14:paraId="411DBD4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仿宋" w:hAnsi="仿宋" w:eastAsia="仿宋" w:cs="仿宋"/>
                <w:color w:val="000000"/>
                <w:sz w:val="24"/>
                <w:szCs w:val="24"/>
                <w:bdr w:val="none" w:color="auto" w:sz="0" w:space="0"/>
              </w:rPr>
              <w:t>3.技术规范包括但不限于：</w:t>
            </w:r>
          </w:p>
          <w:p w14:paraId="3E7CE54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sz w:val="18"/>
                <w:szCs w:val="18"/>
              </w:rPr>
            </w:pPr>
            <w:r>
              <w:rPr>
                <w:rFonts w:hint="eastAsia" w:ascii="仿宋" w:hAnsi="仿宋" w:eastAsia="仿宋" w:cs="仿宋"/>
                <w:color w:val="000000"/>
                <w:sz w:val="24"/>
                <w:szCs w:val="24"/>
                <w:bdr w:val="none" w:color="auto" w:sz="0" w:space="0"/>
              </w:rPr>
              <w:t>（1）《公路与市政工程下穿高速铁路技术规程》TB10182-2017；</w:t>
            </w:r>
          </w:p>
          <w:p w14:paraId="4EDDBBB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sz w:val="18"/>
                <w:szCs w:val="18"/>
              </w:rPr>
            </w:pPr>
            <w:r>
              <w:rPr>
                <w:rFonts w:hint="eastAsia" w:ascii="仿宋" w:hAnsi="仿宋" w:eastAsia="仿宋" w:cs="仿宋"/>
                <w:color w:val="000000"/>
                <w:sz w:val="24"/>
                <w:szCs w:val="24"/>
                <w:bdr w:val="none" w:color="auto" w:sz="0" w:space="0"/>
              </w:rPr>
              <w:t>（2）《公路铁路交叉路段技术要求》JT/T1311-2020；</w:t>
            </w:r>
          </w:p>
          <w:p w14:paraId="32ADC74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sz w:val="18"/>
                <w:szCs w:val="18"/>
              </w:rPr>
            </w:pPr>
            <w:r>
              <w:rPr>
                <w:rFonts w:hint="eastAsia" w:ascii="仿宋" w:hAnsi="仿宋" w:eastAsia="仿宋" w:cs="仿宋"/>
                <w:color w:val="000000"/>
                <w:sz w:val="24"/>
                <w:szCs w:val="24"/>
                <w:bdr w:val="none" w:color="auto" w:sz="0" w:space="0"/>
              </w:rPr>
              <w:t>（3）《中华人民共和国铁路法》2015年修正；</w:t>
            </w:r>
          </w:p>
          <w:p w14:paraId="5896616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sz w:val="18"/>
                <w:szCs w:val="18"/>
              </w:rPr>
            </w:pPr>
            <w:r>
              <w:rPr>
                <w:rFonts w:hint="eastAsia" w:ascii="仿宋" w:hAnsi="仿宋" w:eastAsia="仿宋" w:cs="仿宋"/>
                <w:color w:val="000000"/>
                <w:sz w:val="24"/>
                <w:szCs w:val="24"/>
                <w:bdr w:val="none" w:color="auto" w:sz="0" w:space="0"/>
              </w:rPr>
              <w:t>（4）《铁路安全管理条例》中华人民共和国国务院639号令；</w:t>
            </w:r>
          </w:p>
          <w:p w14:paraId="5E75808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sz w:val="18"/>
                <w:szCs w:val="18"/>
              </w:rPr>
            </w:pPr>
            <w:r>
              <w:rPr>
                <w:rFonts w:hint="eastAsia" w:ascii="仿宋" w:hAnsi="仿宋" w:eastAsia="仿宋" w:cs="仿宋"/>
                <w:color w:val="000000"/>
                <w:sz w:val="24"/>
                <w:szCs w:val="24"/>
                <w:bdr w:val="none" w:color="auto" w:sz="0" w:space="0"/>
              </w:rPr>
              <w:t>（5）《铁路技术管理规程》TG/01-2014；</w:t>
            </w:r>
          </w:p>
          <w:p w14:paraId="7339703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sz w:val="18"/>
                <w:szCs w:val="18"/>
              </w:rPr>
            </w:pPr>
            <w:r>
              <w:rPr>
                <w:rFonts w:hint="eastAsia" w:ascii="仿宋" w:hAnsi="仿宋" w:eastAsia="仿宋" w:cs="仿宋"/>
                <w:color w:val="000000"/>
                <w:sz w:val="24"/>
                <w:szCs w:val="24"/>
                <w:bdr w:val="none" w:color="auto" w:sz="0" w:space="0"/>
              </w:rPr>
              <w:t>（6）《铁路工程建设标准局部修订条文汇编》（第二版）；</w:t>
            </w:r>
          </w:p>
          <w:p w14:paraId="1F6C4AB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sz w:val="18"/>
                <w:szCs w:val="18"/>
              </w:rPr>
            </w:pPr>
            <w:r>
              <w:rPr>
                <w:rFonts w:hint="eastAsia" w:ascii="仿宋" w:hAnsi="仿宋" w:eastAsia="仿宋" w:cs="仿宋"/>
                <w:color w:val="000000"/>
                <w:sz w:val="24"/>
                <w:szCs w:val="24"/>
                <w:bdr w:val="none" w:color="auto" w:sz="0" w:space="0"/>
              </w:rPr>
              <w:t>（7）《工程建设强制性条文》（铁路工程部分）；</w:t>
            </w:r>
          </w:p>
          <w:p w14:paraId="5E55D54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sz w:val="18"/>
                <w:szCs w:val="18"/>
              </w:rPr>
            </w:pPr>
            <w:r>
              <w:rPr>
                <w:rFonts w:hint="eastAsia" w:ascii="仿宋" w:hAnsi="仿宋" w:eastAsia="仿宋" w:cs="仿宋"/>
                <w:color w:val="000000"/>
                <w:sz w:val="24"/>
                <w:szCs w:val="24"/>
                <w:bdr w:val="none" w:color="auto" w:sz="0" w:space="0"/>
              </w:rPr>
              <w:t>（8）《铁路建设工程风险管理技术规范》Q/CR9006-2014；</w:t>
            </w:r>
          </w:p>
          <w:p w14:paraId="7E91586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sz w:val="18"/>
                <w:szCs w:val="18"/>
              </w:rPr>
            </w:pPr>
            <w:r>
              <w:rPr>
                <w:rFonts w:hint="eastAsia" w:ascii="仿宋" w:hAnsi="仿宋" w:eastAsia="仿宋" w:cs="仿宋"/>
                <w:color w:val="000000"/>
                <w:sz w:val="24"/>
                <w:szCs w:val="24"/>
                <w:bdr w:val="none" w:color="auto" w:sz="0" w:space="0"/>
              </w:rPr>
              <w:t>（9）《标准轨距铁路建筑限界》GB146.2-2020；</w:t>
            </w:r>
          </w:p>
          <w:p w14:paraId="4378BD7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sz w:val="18"/>
                <w:szCs w:val="18"/>
              </w:rPr>
            </w:pPr>
            <w:r>
              <w:rPr>
                <w:rFonts w:hint="eastAsia" w:ascii="仿宋" w:hAnsi="仿宋" w:eastAsia="仿宋" w:cs="仿宋"/>
                <w:color w:val="000000"/>
                <w:sz w:val="24"/>
                <w:szCs w:val="24"/>
                <w:bdr w:val="none" w:color="auto" w:sz="0" w:space="0"/>
              </w:rPr>
              <w:t>（10）《铁路工程环境保护设计规范》TB10501-2016；</w:t>
            </w:r>
          </w:p>
          <w:p w14:paraId="22FB4E1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sz w:val="18"/>
                <w:szCs w:val="18"/>
              </w:rPr>
            </w:pPr>
            <w:r>
              <w:rPr>
                <w:rFonts w:hint="eastAsia" w:ascii="仿宋" w:hAnsi="仿宋" w:eastAsia="仿宋" w:cs="仿宋"/>
                <w:color w:val="000000"/>
                <w:sz w:val="24"/>
                <w:szCs w:val="24"/>
                <w:bdr w:val="none" w:color="auto" w:sz="0" w:space="0"/>
              </w:rPr>
              <w:t>（11）《铁路桥涵工程施工安全技术规程》TB10303-2020；</w:t>
            </w:r>
          </w:p>
          <w:p w14:paraId="402C459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sz w:val="18"/>
                <w:szCs w:val="18"/>
              </w:rPr>
            </w:pPr>
            <w:r>
              <w:rPr>
                <w:rFonts w:hint="eastAsia" w:ascii="仿宋" w:hAnsi="仿宋" w:eastAsia="仿宋" w:cs="仿宋"/>
                <w:color w:val="000000"/>
                <w:sz w:val="24"/>
                <w:szCs w:val="24"/>
                <w:bdr w:val="none" w:color="auto" w:sz="0" w:space="0"/>
              </w:rPr>
              <w:t>（12）《铁路桥涵地基和基础设计规范》TB10093-2017；</w:t>
            </w:r>
          </w:p>
          <w:p w14:paraId="28B48BA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sz w:val="18"/>
                <w:szCs w:val="18"/>
              </w:rPr>
            </w:pPr>
            <w:r>
              <w:rPr>
                <w:rFonts w:hint="eastAsia" w:ascii="仿宋" w:hAnsi="仿宋" w:eastAsia="仿宋" w:cs="仿宋"/>
                <w:color w:val="000000"/>
                <w:sz w:val="24"/>
                <w:szCs w:val="24"/>
                <w:bdr w:val="none" w:color="auto" w:sz="0" w:space="0"/>
              </w:rPr>
              <w:t>（13）《铁路桥涵设计规范》TB10002-2017；</w:t>
            </w:r>
          </w:p>
          <w:p w14:paraId="6AB0316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sz w:val="18"/>
                <w:szCs w:val="18"/>
              </w:rPr>
            </w:pPr>
            <w:r>
              <w:rPr>
                <w:rFonts w:hint="eastAsia" w:ascii="仿宋" w:hAnsi="仿宋" w:eastAsia="仿宋" w:cs="仿宋"/>
                <w:color w:val="000000"/>
                <w:sz w:val="24"/>
                <w:szCs w:val="24"/>
                <w:bdr w:val="none" w:color="auto" w:sz="0" w:space="0"/>
              </w:rPr>
              <w:t>（14）《铁路桥涵混凝土结构设计规范》TB10092-2017；</w:t>
            </w:r>
          </w:p>
          <w:p w14:paraId="49FCCCF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sz w:val="18"/>
                <w:szCs w:val="18"/>
              </w:rPr>
            </w:pPr>
            <w:r>
              <w:rPr>
                <w:rFonts w:hint="eastAsia" w:ascii="仿宋" w:hAnsi="仿宋" w:eastAsia="仿宋" w:cs="仿宋"/>
                <w:color w:val="000000"/>
                <w:sz w:val="24"/>
                <w:szCs w:val="24"/>
                <w:bdr w:val="none" w:color="auto" w:sz="0" w:space="0"/>
              </w:rPr>
              <w:t>（15）《铁路混凝土结构耐久性设计规范》（TB10005-2010）；</w:t>
            </w:r>
          </w:p>
          <w:p w14:paraId="731544A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sz w:val="18"/>
                <w:szCs w:val="18"/>
              </w:rPr>
            </w:pPr>
            <w:r>
              <w:rPr>
                <w:rFonts w:hint="eastAsia" w:ascii="仿宋" w:hAnsi="仿宋" w:eastAsia="仿宋" w:cs="仿宋"/>
                <w:color w:val="000000"/>
                <w:sz w:val="24"/>
                <w:szCs w:val="24"/>
                <w:bdr w:val="none" w:color="auto" w:sz="0" w:space="0"/>
              </w:rPr>
              <w:t>（16）《铁路工程设计防火规范》（TB10063-2016)（2026年局部修订）；</w:t>
            </w:r>
          </w:p>
          <w:p w14:paraId="6CB0F33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sz w:val="18"/>
                <w:szCs w:val="18"/>
              </w:rPr>
            </w:pPr>
            <w:r>
              <w:rPr>
                <w:rFonts w:hint="eastAsia" w:ascii="仿宋" w:hAnsi="仿宋" w:eastAsia="仿宋" w:cs="仿宋"/>
                <w:color w:val="000000"/>
                <w:sz w:val="24"/>
                <w:szCs w:val="24"/>
                <w:bdr w:val="none" w:color="auto" w:sz="0" w:space="0"/>
              </w:rPr>
              <w:t>（17）《高速铁路设计规范》（TB10621-2014）；</w:t>
            </w:r>
          </w:p>
          <w:p w14:paraId="2612D1F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sz w:val="18"/>
                <w:szCs w:val="18"/>
              </w:rPr>
            </w:pPr>
            <w:r>
              <w:rPr>
                <w:rFonts w:hint="eastAsia" w:ascii="仿宋" w:hAnsi="仿宋" w:eastAsia="仿宋" w:cs="仿宋"/>
                <w:color w:val="000000"/>
                <w:sz w:val="24"/>
                <w:szCs w:val="24"/>
                <w:bdr w:val="none" w:color="auto" w:sz="0" w:space="0"/>
              </w:rPr>
              <w:t>（18）《国铁集团工电部关于加强穿（跨）越铁路营业线和邻近营业线工程</w:t>
            </w:r>
          </w:p>
          <w:p w14:paraId="522570B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sz w:val="18"/>
                <w:szCs w:val="18"/>
              </w:rPr>
            </w:pPr>
            <w:r>
              <w:rPr>
                <w:rFonts w:hint="eastAsia" w:ascii="仿宋" w:hAnsi="仿宋" w:eastAsia="仿宋" w:cs="仿宋"/>
                <w:color w:val="000000"/>
                <w:sz w:val="24"/>
                <w:szCs w:val="24"/>
                <w:bdr w:val="none" w:color="auto" w:sz="0" w:space="0"/>
              </w:rPr>
              <w:t>方案等审查和施工安全管理的通知》（工电桥房函〔2020〕48号）；</w:t>
            </w:r>
          </w:p>
          <w:p w14:paraId="32D267F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sz w:val="18"/>
                <w:szCs w:val="18"/>
              </w:rPr>
            </w:pPr>
            <w:r>
              <w:rPr>
                <w:rFonts w:hint="eastAsia" w:ascii="仿宋" w:hAnsi="仿宋" w:eastAsia="仿宋" w:cs="仿宋"/>
                <w:color w:val="000000"/>
                <w:sz w:val="24"/>
                <w:szCs w:val="24"/>
                <w:bdr w:val="none" w:color="auto" w:sz="0" w:space="0"/>
              </w:rPr>
              <w:t>（19）《关于公铁立交和公铁并行路段护栏建设与维护管理相关问题的通</w:t>
            </w:r>
          </w:p>
          <w:p w14:paraId="0B02D02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sz w:val="18"/>
                <w:szCs w:val="18"/>
              </w:rPr>
            </w:pPr>
            <w:r>
              <w:rPr>
                <w:rFonts w:hint="eastAsia" w:ascii="仿宋" w:hAnsi="仿宋" w:eastAsia="仿宋" w:cs="仿宋"/>
                <w:color w:val="000000"/>
                <w:sz w:val="24"/>
                <w:szCs w:val="24"/>
                <w:bdr w:val="none" w:color="auto" w:sz="0" w:space="0"/>
              </w:rPr>
              <w:t>知》铁运〔2012〕139号；</w:t>
            </w:r>
          </w:p>
          <w:p w14:paraId="573DBBD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sz w:val="18"/>
                <w:szCs w:val="18"/>
              </w:rPr>
            </w:pPr>
            <w:r>
              <w:rPr>
                <w:rFonts w:hint="eastAsia" w:ascii="仿宋" w:hAnsi="仿宋" w:eastAsia="仿宋" w:cs="仿宋"/>
                <w:color w:val="000000"/>
                <w:sz w:val="24"/>
                <w:szCs w:val="24"/>
                <w:bdr w:val="none" w:color="auto" w:sz="0" w:space="0"/>
              </w:rPr>
              <w:t>（20）《西安局集团公司涉铁工程建设管理办法》（西铁科信〔2024〕178号）</w:t>
            </w:r>
          </w:p>
          <w:p w14:paraId="4589240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sz w:val="18"/>
                <w:szCs w:val="18"/>
              </w:rPr>
            </w:pPr>
            <w:r>
              <w:rPr>
                <w:rFonts w:hint="eastAsia" w:ascii="仿宋" w:hAnsi="仿宋" w:eastAsia="仿宋" w:cs="仿宋"/>
                <w:color w:val="000000"/>
                <w:sz w:val="24"/>
                <w:szCs w:val="24"/>
                <w:bdr w:val="none" w:color="auto" w:sz="0" w:space="0"/>
              </w:rPr>
              <w:t>《陕西省铁路安全管理办法》（陕西省人民政府令第227号）；</w:t>
            </w:r>
          </w:p>
          <w:p w14:paraId="35D47B7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sz w:val="18"/>
                <w:szCs w:val="18"/>
              </w:rPr>
            </w:pPr>
            <w:r>
              <w:rPr>
                <w:rFonts w:hint="eastAsia" w:ascii="仿宋" w:hAnsi="仿宋" w:eastAsia="仿宋" w:cs="仿宋"/>
                <w:color w:val="000000"/>
                <w:sz w:val="24"/>
                <w:szCs w:val="24"/>
                <w:bdr w:val="none" w:color="auto" w:sz="0" w:space="0"/>
              </w:rPr>
              <w:t>（21）《国铁集团工电部关于开展跨越铁路的道路立交桥设置路灯杆等情况</w:t>
            </w:r>
          </w:p>
          <w:p w14:paraId="58FBD2A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sz w:val="18"/>
                <w:szCs w:val="18"/>
              </w:rPr>
            </w:pPr>
            <w:r>
              <w:rPr>
                <w:rFonts w:hint="eastAsia" w:ascii="仿宋" w:hAnsi="仿宋" w:eastAsia="仿宋" w:cs="仿宋"/>
                <w:color w:val="000000"/>
                <w:sz w:val="24"/>
                <w:szCs w:val="24"/>
                <w:bdr w:val="none" w:color="auto" w:sz="0" w:space="0"/>
              </w:rPr>
              <w:t>排查及加快道路立交桥移交工作的通知》（工电桥房电〔2020〕12号）；</w:t>
            </w:r>
          </w:p>
          <w:p w14:paraId="5474A94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sz w:val="18"/>
                <w:szCs w:val="18"/>
              </w:rPr>
            </w:pPr>
            <w:r>
              <w:rPr>
                <w:rFonts w:hint="eastAsia" w:ascii="仿宋" w:hAnsi="仿宋" w:eastAsia="仿宋" w:cs="仿宋"/>
                <w:color w:val="000000"/>
                <w:sz w:val="24"/>
                <w:szCs w:val="24"/>
                <w:bdr w:val="none" w:color="auto" w:sz="0" w:space="0"/>
              </w:rPr>
              <w:t>（22）《城市道路交通工程项目规范》（GB55011-2021）；</w:t>
            </w:r>
          </w:p>
          <w:p w14:paraId="635B925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sz w:val="18"/>
                <w:szCs w:val="18"/>
              </w:rPr>
            </w:pPr>
            <w:r>
              <w:rPr>
                <w:rFonts w:hint="eastAsia" w:ascii="仿宋" w:hAnsi="仿宋" w:eastAsia="仿宋" w:cs="仿宋"/>
                <w:color w:val="000000"/>
                <w:sz w:val="24"/>
                <w:szCs w:val="24"/>
                <w:bdr w:val="none" w:color="auto" w:sz="0" w:space="0"/>
              </w:rPr>
              <w:t>（23）《城市道路工程设计规范》（CJJ37-2012）（2016年版）；</w:t>
            </w:r>
          </w:p>
          <w:p w14:paraId="26F2FA9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sz w:val="18"/>
                <w:szCs w:val="18"/>
              </w:rPr>
            </w:pPr>
            <w:r>
              <w:rPr>
                <w:rFonts w:hint="eastAsia" w:ascii="仿宋" w:hAnsi="仿宋" w:eastAsia="仿宋" w:cs="仿宋"/>
                <w:color w:val="000000"/>
                <w:sz w:val="24"/>
                <w:szCs w:val="24"/>
                <w:bdr w:val="none" w:color="auto" w:sz="0" w:space="0"/>
              </w:rPr>
              <w:t>（24）《城镇道路路面设计规范》（CJJ169-2012）；</w:t>
            </w:r>
          </w:p>
          <w:p w14:paraId="6044065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sz w:val="18"/>
                <w:szCs w:val="18"/>
              </w:rPr>
            </w:pPr>
            <w:r>
              <w:rPr>
                <w:rFonts w:hint="eastAsia" w:ascii="仿宋" w:hAnsi="仿宋" w:eastAsia="仿宋" w:cs="仿宋"/>
                <w:color w:val="000000"/>
                <w:sz w:val="24"/>
                <w:szCs w:val="24"/>
                <w:bdr w:val="none" w:color="auto" w:sz="0" w:space="0"/>
              </w:rPr>
              <w:t>（25）《城市道路交叉口设计规程》（CJJ152-2010）</w:t>
            </w:r>
          </w:p>
          <w:p w14:paraId="0772363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sz w:val="18"/>
                <w:szCs w:val="18"/>
              </w:rPr>
            </w:pPr>
            <w:r>
              <w:rPr>
                <w:rFonts w:hint="eastAsia" w:ascii="仿宋" w:hAnsi="仿宋" w:eastAsia="仿宋" w:cs="仿宋"/>
                <w:color w:val="000000"/>
                <w:sz w:val="24"/>
                <w:szCs w:val="24"/>
                <w:bdr w:val="none" w:color="auto" w:sz="0" w:space="0"/>
              </w:rPr>
              <w:t>（26）《城乡排水工程项目规范》（GB55027-2022）；</w:t>
            </w:r>
          </w:p>
          <w:p w14:paraId="116F796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sz w:val="18"/>
                <w:szCs w:val="18"/>
              </w:rPr>
            </w:pPr>
            <w:r>
              <w:rPr>
                <w:rFonts w:hint="eastAsia" w:ascii="仿宋" w:hAnsi="仿宋" w:eastAsia="仿宋" w:cs="仿宋"/>
                <w:color w:val="000000"/>
                <w:sz w:val="24"/>
                <w:szCs w:val="24"/>
                <w:bdr w:val="none" w:color="auto" w:sz="0" w:space="0"/>
              </w:rPr>
              <w:t>（27）其他相关规标准。</w:t>
            </w:r>
          </w:p>
          <w:p w14:paraId="45E1F61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仿宋" w:hAnsi="仿宋" w:eastAsia="仿宋" w:cs="仿宋"/>
                <w:color w:val="000000"/>
                <w:sz w:val="24"/>
                <w:szCs w:val="24"/>
                <w:bdr w:val="none" w:color="auto" w:sz="0" w:space="0"/>
              </w:rPr>
              <w:t>4.设计原则：采取技术合理、经济合算、实施可靠、针对性强的方案措施，科学严谨地设计出不低于我市基础设施平均水平的施工图设计方案(文本说明、图纸、材料、数据等)，保证道路建设流程和步骤符合标准、正常实施。</w:t>
            </w:r>
          </w:p>
          <w:p w14:paraId="5808C7A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仿宋" w:hAnsi="仿宋" w:eastAsia="仿宋" w:cs="仿宋"/>
                <w:color w:val="000000"/>
                <w:sz w:val="24"/>
                <w:szCs w:val="24"/>
                <w:bdr w:val="none" w:color="auto" w:sz="0" w:space="0"/>
              </w:rPr>
              <w:t>5.进度要求：采取科学有效的针对措施将项目实施进度控制在采购人所要求的合理时间节点内。。</w:t>
            </w:r>
          </w:p>
          <w:p w14:paraId="526E619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18"/>
                <w:szCs w:val="18"/>
              </w:rPr>
            </w:pPr>
            <w:r>
              <w:rPr>
                <w:rFonts w:hint="eastAsia" w:ascii="仿宋" w:hAnsi="仿宋" w:eastAsia="仿宋" w:cs="仿宋"/>
                <w:color w:val="000000"/>
                <w:sz w:val="24"/>
                <w:szCs w:val="24"/>
                <w:bdr w:val="none" w:color="auto" w:sz="0" w:space="0"/>
              </w:rPr>
              <w:t>6.成果要求：（1）成果内容应完整真实、科学严谨、思路清晰、具有代表性，综合考虑道路建设的功能和潜力，提出建设实施详细规划和可行性优化方案，符合新形势、新变化、新发展下道路建设。</w:t>
            </w:r>
          </w:p>
          <w:p w14:paraId="25941E0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sz w:val="18"/>
                <w:szCs w:val="18"/>
              </w:rPr>
            </w:pPr>
            <w:r>
              <w:rPr>
                <w:rFonts w:hint="eastAsia" w:ascii="仿宋" w:hAnsi="仿宋" w:eastAsia="仿宋" w:cs="仿宋"/>
                <w:color w:val="000000"/>
                <w:sz w:val="24"/>
                <w:szCs w:val="24"/>
                <w:bdr w:val="none" w:color="auto" w:sz="0" w:space="0"/>
              </w:rPr>
              <w:t>（2）成果文件包括：图纸和其他技术资料，并提供装有全部设计资料等，所有成果初稿完成后应按采购人提出的审查意见和修改意见进行修改，直至获得有关主管部门审批通过，本项目所完成的编制成果的所有权、知识产权归采购人。</w:t>
            </w:r>
          </w:p>
          <w:p w14:paraId="54AD87A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sz w:val="18"/>
                <w:szCs w:val="18"/>
              </w:rPr>
            </w:pPr>
            <w:r>
              <w:rPr>
                <w:rFonts w:hint="eastAsia" w:ascii="仿宋" w:hAnsi="仿宋" w:eastAsia="仿宋" w:cs="仿宋"/>
                <w:color w:val="000000"/>
                <w:sz w:val="24"/>
                <w:szCs w:val="24"/>
                <w:bdr w:val="none" w:color="auto" w:sz="0" w:space="0"/>
              </w:rPr>
              <w:t>（3）所有提供资料包括：①纸质成果印刷一份；②电子成果为与纸质成果相对应的电子文档（pdf格式）。</w:t>
            </w:r>
          </w:p>
          <w:p w14:paraId="1F7731D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left"/>
              <w:rPr>
                <w:rFonts w:hint="eastAsia" w:ascii="宋体" w:hAnsi="宋体" w:eastAsia="宋体" w:cs="宋体"/>
                <w:sz w:val="18"/>
                <w:szCs w:val="18"/>
              </w:rPr>
            </w:pPr>
            <w:r>
              <w:rPr>
                <w:rFonts w:hint="eastAsia" w:ascii="仿宋" w:hAnsi="仿宋" w:eastAsia="仿宋" w:cs="仿宋"/>
                <w:color w:val="000000"/>
                <w:sz w:val="24"/>
                <w:szCs w:val="24"/>
                <w:bdr w:val="none" w:color="auto" w:sz="0" w:space="0"/>
              </w:rPr>
              <w:t>7.服务要求：（1）供应商须指派专属人员与采购人联系服务事宜，服务响应时间应根据采购人实际安排随时调整。</w:t>
            </w:r>
          </w:p>
          <w:p w14:paraId="1E902A0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left"/>
              <w:rPr>
                <w:rFonts w:hint="eastAsia" w:ascii="宋体" w:hAnsi="宋体" w:eastAsia="宋体" w:cs="宋体"/>
                <w:sz w:val="18"/>
                <w:szCs w:val="18"/>
              </w:rPr>
            </w:pPr>
            <w:r>
              <w:rPr>
                <w:rFonts w:hint="eastAsia" w:ascii="仿宋" w:hAnsi="仿宋" w:eastAsia="仿宋" w:cs="仿宋"/>
                <w:color w:val="000000"/>
                <w:sz w:val="24"/>
                <w:szCs w:val="24"/>
                <w:bdr w:val="none" w:color="auto" w:sz="0" w:space="0"/>
              </w:rPr>
              <w:t>（2）供应商需根据项目要求及特性自行编制服务思路(不限于对服务范围、依据、技术规范、重点难点等的理解与分析)、管理方案(不限于制度、职责及分工、规范等方案的制定与安排)、实施方案(不限于思路、方法、节点控制、目标等的执行与实施)、质量控制（不限于检查、修改、审核、验收等标准和方法制定和实施）、造价控制、后续服务(考核或检查)及有利于采购人的合理化建议等全面立体化的方案措施。</w:t>
            </w:r>
          </w:p>
          <w:p w14:paraId="0B96E8E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left"/>
              <w:rPr>
                <w:rFonts w:hint="eastAsia" w:ascii="宋体" w:hAnsi="宋体" w:eastAsia="宋体" w:cs="宋体"/>
                <w:sz w:val="18"/>
                <w:szCs w:val="18"/>
              </w:rPr>
            </w:pPr>
            <w:r>
              <w:rPr>
                <w:rFonts w:hint="eastAsia" w:ascii="仿宋" w:hAnsi="仿宋" w:eastAsia="仿宋" w:cs="仿宋"/>
                <w:color w:val="000000"/>
                <w:sz w:val="24"/>
                <w:szCs w:val="24"/>
                <w:bdr w:val="none" w:color="auto" w:sz="0" w:space="0"/>
              </w:rPr>
              <w:t>（3）服务过程中，严格遵守各种管理规定及规章制度，做到奉公守法、诚实守信、廉洁自律、安全文明；服务过程中如发生工伤及意外事故由服务单位负责。</w:t>
            </w:r>
          </w:p>
          <w:p w14:paraId="72F48CD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left"/>
              <w:rPr>
                <w:rFonts w:hint="eastAsia" w:ascii="宋体" w:hAnsi="宋体" w:eastAsia="宋体" w:cs="宋体"/>
                <w:sz w:val="18"/>
                <w:szCs w:val="18"/>
              </w:rPr>
            </w:pPr>
            <w:r>
              <w:rPr>
                <w:rFonts w:hint="eastAsia" w:ascii="仿宋" w:hAnsi="仿宋" w:eastAsia="仿宋" w:cs="仿宋"/>
                <w:color w:val="000000"/>
                <w:sz w:val="24"/>
                <w:szCs w:val="24"/>
                <w:bdr w:val="none" w:color="auto" w:sz="0" w:space="0"/>
              </w:rPr>
              <w:t>（4）供应商拟投入的服务人员对于在工作中获悉的一切政府工作的信息应严格保守秘密，不得泄露；对于违反者，给采购人单位造成不良社会影响的，或给采购人单位造成损失的，由供应商承担赔偿责任。</w:t>
            </w:r>
          </w:p>
          <w:p w14:paraId="641503C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left"/>
              <w:rPr>
                <w:rFonts w:hint="eastAsia" w:ascii="宋体" w:hAnsi="宋体" w:eastAsia="宋体" w:cs="宋体"/>
                <w:sz w:val="18"/>
                <w:szCs w:val="18"/>
              </w:rPr>
            </w:pPr>
            <w:r>
              <w:rPr>
                <w:rFonts w:hint="eastAsia" w:ascii="仿宋" w:hAnsi="仿宋" w:eastAsia="仿宋" w:cs="仿宋"/>
                <w:color w:val="000000"/>
                <w:sz w:val="24"/>
                <w:szCs w:val="24"/>
                <w:bdr w:val="none" w:color="auto" w:sz="0" w:space="0"/>
              </w:rPr>
              <w:t>（5）严格按照国家、陕西省、西安市有关规定及采购人要求进行服务，不得随意更改或者变换服务内容，每项服务内容实施前应事先取得采购人的落实后方可实施。</w:t>
            </w:r>
          </w:p>
          <w:p w14:paraId="3E9838F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left"/>
              <w:rPr>
                <w:rFonts w:hint="eastAsia" w:ascii="宋体" w:hAnsi="宋体" w:eastAsia="宋体" w:cs="宋体"/>
                <w:sz w:val="18"/>
                <w:szCs w:val="18"/>
              </w:rPr>
            </w:pPr>
            <w:r>
              <w:rPr>
                <w:rFonts w:hint="eastAsia" w:ascii="仿宋" w:hAnsi="仿宋" w:eastAsia="仿宋" w:cs="仿宋"/>
                <w:color w:val="000000"/>
                <w:sz w:val="24"/>
                <w:szCs w:val="24"/>
                <w:bdr w:val="none" w:color="auto" w:sz="0" w:space="0"/>
              </w:rPr>
              <w:t>（6）配合促进采购人安排的其他相关工作。</w:t>
            </w:r>
          </w:p>
          <w:p w14:paraId="485AF05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18"/>
                <w:szCs w:val="18"/>
              </w:rPr>
            </w:pPr>
            <w:r>
              <w:rPr>
                <w:rFonts w:hint="eastAsia" w:ascii="仿宋" w:hAnsi="仿宋" w:eastAsia="仿宋" w:cs="仿宋"/>
                <w:color w:val="000000"/>
                <w:sz w:val="24"/>
                <w:szCs w:val="24"/>
                <w:bdr w:val="none" w:color="auto" w:sz="0" w:space="0"/>
              </w:rPr>
              <w:t>8.服务标准：（1）各项服务符合国家、省、市（行业）强制性标准及采购人要求的合格标准。</w:t>
            </w:r>
          </w:p>
          <w:p w14:paraId="02B2249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18"/>
                <w:szCs w:val="18"/>
              </w:rPr>
            </w:pPr>
            <w:r>
              <w:rPr>
                <w:rFonts w:hint="eastAsia" w:ascii="仿宋" w:hAnsi="仿宋" w:eastAsia="仿宋" w:cs="仿宋"/>
                <w:color w:val="000000"/>
                <w:sz w:val="24"/>
                <w:szCs w:val="24"/>
                <w:bdr w:val="none" w:color="auto" w:sz="0" w:space="0"/>
              </w:rPr>
              <w:t>（2）服务、产品（如有）执行的标准、规范：必须执行国家、行业强制性标准；没有国家、行业强制性标准的按①国家标准、规范→②行业标准、规范→③地方标准、规范→④团体标准、规范→⑤企业标准、规范类推顺序执行；凡涉及的相关规范，国家有最新标准的以最新标准为准，所有标准哪个标准高执行哪个标准。</w:t>
            </w:r>
          </w:p>
        </w:tc>
      </w:tr>
    </w:tbl>
    <w:p w14:paraId="4783BA53">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3.2.3人员配置要求</w:t>
      </w:r>
    </w:p>
    <w:p w14:paraId="6059753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60FDE7C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供应商根据服务要求及特性，自行配置履行合同所必需的专业服务团队(不限于项目负责人、管理人员、技术人员、设计人员、编制人员、辅助人员等)，自行组织实施与管理，相关人员经过严格培训，具有相关工作经验，技术水平高、能够胜任项目工作。服务队伍稳定，保证整个项目顺利完成，中标(成交)供应商未经采购人同意，不得擅自更换本项目在响应文件中指定的服务队伍。</w:t>
      </w:r>
    </w:p>
    <w:p w14:paraId="2E0460C2">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3.2.4设施设备要求</w:t>
      </w:r>
    </w:p>
    <w:p w14:paraId="604EFCF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0409EFF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供应商根据项目特性及要求，自行配置投入履行合同所必需的各类设施设备(不限于专业设备、辅助设备、工具、软件等)，保证项目顺利实施。</w:t>
      </w:r>
    </w:p>
    <w:p w14:paraId="6F43BD51">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3.2.5其他要求</w:t>
      </w:r>
    </w:p>
    <w:p w14:paraId="43C82F7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547ABB5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一）本项目按总价进行报价。供应商的响应报价是供应商响应磋商项目要求的全部工作内容的价格体现，包括供应商完成本项目所需的直接费用、间接费、利润、税金及其它相关的一切费用，包括但不限于：设计费、人工费、设备使用费、资料费、管理费、评审费、利润、税金及不可预见费等全部费用；在提供服务的过程中的任何遗漏，均由中标(成交)供应商免费提供，采购人将不再支付任何费用。 （二）本项目标的所属行业为： 其他未列明行业 （从业人员300人以下的为中小微型企业。其中，从业人员100人及以上的为中型企业；从业人员10人及以上的为小型企业；从业人员10人以下的为微型企业）。</w:t>
      </w:r>
    </w:p>
    <w:p w14:paraId="1F721916">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3.3商务要求</w:t>
      </w:r>
    </w:p>
    <w:p w14:paraId="1E92594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3.3.1服务期限</w:t>
      </w:r>
    </w:p>
    <w:p w14:paraId="2BB6CCB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57A39D2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自合同签订生效之日起30日历天</w:t>
      </w:r>
    </w:p>
    <w:p w14:paraId="07B5538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3.3.2服务地点</w:t>
      </w:r>
    </w:p>
    <w:p w14:paraId="67B4649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57F17DA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西安市未央区住房和城市建设局(具体按采购人指定地点)</w:t>
      </w:r>
    </w:p>
    <w:p w14:paraId="5497334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3.3.3考核（验收）标准和方法</w:t>
      </w:r>
    </w:p>
    <w:p w14:paraId="7ED533A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527E893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现行的国家标准或国家行政部门颁布的法律法规、规章制度等，是项目验收的另一个重要依据。没有国家标准的，可以参考行业标准。采购人根据磋商文件、响应文件、合同等相关文件，进行验收，确认服务内容、服务标准和服务方式等是否达到采购要求。中标(成交)供应商须接受采购人对相关服务的各类考核或检查；若服务结果验收不通过或质量不符合采购要求，中标(成交)供应商应在一定期限内以采购人要求的标准进行整改或完善，并再次进行考核或检查，若中标(成交)供应商在接受检查整改后最终仍未按要求提供符合要求的服务，采购人有权按违约予以撤项，由此产生的一切责任和费用均由中标(成交)供应商承担，具体按拟签订采购合同相关条款执行</w:t>
      </w:r>
    </w:p>
    <w:p w14:paraId="6EDCA30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3.3.4支付方式</w:t>
      </w:r>
    </w:p>
    <w:p w14:paraId="17E65E0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22A74DC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分期付款</w:t>
      </w:r>
    </w:p>
    <w:p w14:paraId="114B037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3.3.5支付约定</w:t>
      </w:r>
    </w:p>
    <w:p w14:paraId="1993F84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7DDB9D0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120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1、 其他，合同签订后，中标(成交)供应商提供经图审合格后的施工图设计成果(付款前中标(成交)供应商应出具等值发票交至采购人，采购人以银行转账方式支付)后，达到付款条件起10个工作日内，支付合同总金额的80.0%</w:t>
      </w:r>
    </w:p>
    <w:p w14:paraId="66F2198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120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2、 其他，工程竣工验收完成(付款前中标(成交)供应商应出具等值发票交至采购人，采购人以银行转账方式支付，其他具体按拟定合同相关条款执行)后，达到付款条件起10个工作日内，支付合同总金额的20.0%</w:t>
      </w:r>
    </w:p>
    <w:p w14:paraId="11D4BA7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3.3.6违约责任及解决争议的方法</w:t>
      </w:r>
    </w:p>
    <w:p w14:paraId="77059E2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09BA014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具体按拟签订采购合同相关条款执行</w:t>
      </w:r>
    </w:p>
    <w:p w14:paraId="537EF53A">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3.4其他要求</w:t>
      </w:r>
    </w:p>
    <w:p w14:paraId="1365400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(一)磋商有效期： 1.出现特殊情况需要延长磋商有效期的，采购代理机构或采购人可于磋商有效期满之前，以书面形式通知所有供应商延长磋商有效期。 2.在磋商有效期内，供应商撤销响应文件的，应承担磋商文件和法律规定的责任。 3.成交供应商的磋商有效期自动延长至合同终止为止。 (二)合格供应商少于3家的处理： 1.评审过程中，若出现合格供应商只有2家时，符合《政府采购竞争性磋商采购方式管理暂行办法》第3条第4项情形的，或者本项目为政府购买服务指导性目录中的，可以继续进行；只有1家时，采购人应依法重新组织采购活动。 2.评审过程中，除符合第1条条款规定情形外，若出现合格供应商少于3家时，采购人应依法重新组织采购活动。 (三)分公司独立参与磋商时，不能使用总公司的资质或业绩；总公司授权分公司或分支机构参与磋商，可以使用总公司的资质或业绩。总公司单独参与磋商时，在相关管理要求和适用范围内可以使用分公司资质、业绩、设备、人员等。 (四)供应商的电子响应文件中的所有文字资料、图纸、数据、方案、证书、检测报告等响应内容应清晰可辨，表达意思统一，便于查找，供应商自行承担资料模糊不清、无法辨认的不利后果。 (五)文件中签名是指：手写签名或加盖签名章（含电子章、印章、签名章），盖章是指加盖单位公章（含电子章）。 (六)恶意质疑、投诉的法律后果：1.对捏造事实、提供虚假材料进行质疑、投诉的行为将予以严肃处理：《政府采购质疑和投诉办法》（财政部令第94号）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2.对捏造事实诬告陷害他人、诽谤他人的法律适用：（1）《中华人民共和国刑法》第243条【诬告陷害罪】捏造事实诬告陷害他人，意图使他人受到刑事追究，情节严重的，处三年以下有期徒刑、拘役或者管制；造成严重后果的，处三年以上十年以下有期徒刑。（2）《中华人民共和国刑法》第246条【侮辱罪、诽谤罪】以暴力或者其他方法公然侮辱他人或者捏造事实诽谤他人，情节严重的，处三年以下有期徒刑、拘役、管制或者剥夺政治权利。 (七)参与本项目的供应商应通过陕西省政府采购综合管理平台的项目电子化交易系统在线实施报名、获取采购文件、响应、报价等操作，供应商无需现场提供纸质响应文件。但在中标(成交)后，中标(成交)供应商在领取中标(成交)通知书时应提供纸质响应文件两套(自定单双面、黑白/彩色、并胶装)用于备案，纸质响应文件须与项目电子化交易系统中的最终版电子响应文件内容保持一致，不允许修改和补充。中标(成交)通知书领取地址：西安市雁塔区雁翔路111号赛格·中京坊公寓A1(6幢1)单元2层招标一部。</w:t>
      </w:r>
    </w:p>
    <w:p w14:paraId="6988FFAF">
      <w:pPr>
        <w:rPr>
          <w:rFonts w:hint="eastAsia"/>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B8E59DF"/>
    <w:rsid w:val="5B8E59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1</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2026-08-28T01:03:00Z</dcterms:created>
  <dc:creator>杜航</dc:creator>
  <cp:lastModifiedBy>杜航</cp:lastModifiedBy>
  <dcterms:modified xsi:type="dcterms:W3CDTF">2026-08-28T01:12:20Z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4657EAF94BAB4EC5A2513747905B16DF_11</vt:lpwstr>
  </property>
  <property fmtid="{D5CDD505-2E9C-101B-9397-08002B2CF9AE}" pid="4" name="KSOTemplateDocerSaveRecord">
    <vt:lpwstr>eyJoZGlkIjoiNGVjNGI1ZWQxMDUyODY5ZDAxOTAyNjljNjE1NWUwNGQiLCJ1c2VySWQiOiIzMDgwODY2MDYifQ==</vt:lpwstr>
  </property>
</Properties>
</file>