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版本号：SXZCZB2026-ZCGK-081620260730001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镇安县森林草原湿地荒漠化普查工作技术服务项目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SXZCZB2026-ZCGK-0816</w:t>
      </w:r>
      <w:r>
        <w:br/>
      </w:r>
      <w:r>
        <w:br/>
      </w:r>
      <w:r>
        <w:br/>
      </w:r>
    </w:p>
    <w:p>
      <w:pPr>
        <w:pStyle w:val="null3"/>
        <w:jc w:val="center"/>
        <w:outlineLvl w:val="2"/>
      </w:pPr>
      <w:r>
        <w:rPr>
          <w:rFonts w:ascii="仿宋_GB2312" w:hAnsi="仿宋_GB2312" w:cs="仿宋_GB2312" w:eastAsia="仿宋_GB2312"/>
          <w:sz w:val="28"/>
          <w:b/>
        </w:rPr>
        <w:t>镇安县林业局（本级）</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镇安县林业局（本级）</w:t>
      </w:r>
      <w:r>
        <w:rPr>
          <w:rFonts w:ascii="仿宋_GB2312" w:hAnsi="仿宋_GB2312" w:cs="仿宋_GB2312" w:eastAsia="仿宋_GB2312"/>
        </w:rPr>
        <w:t>委托，拟对</w:t>
      </w:r>
      <w:r>
        <w:rPr>
          <w:rFonts w:ascii="仿宋_GB2312" w:hAnsi="仿宋_GB2312" w:cs="仿宋_GB2312" w:eastAsia="仿宋_GB2312"/>
        </w:rPr>
        <w:t>镇安县森林草原湿地荒漠化普查工作技术服务项目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SXZCZB2026-ZCGK-0816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镇安县森林草原湿地荒漠化普查工作技术服务项目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镇安县森林草原湿地荒漠化普查工作技术服务项目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1、营业执照等主体资格证明⽂件：提供合格有效的法人或者其他组织的营业执照等证明文件，自然人的身份证明；</w:t>
      </w:r>
    </w:p>
    <w:p>
      <w:pPr>
        <w:pStyle w:val="null3"/>
      </w:pPr>
      <w:r>
        <w:rPr>
          <w:rFonts w:ascii="仿宋_GB2312" w:hAnsi="仿宋_GB2312" w:cs="仿宋_GB2312" w:eastAsia="仿宋_GB2312"/>
        </w:rPr>
        <w:t>2、法定代表人身份证明或授权委托书：提供法定代表人授权书（附法定代表人、被授权人身份证复印件），法定代表人直接参加的，须提供法定代表人身份证明及身份证复印件；</w:t>
      </w:r>
    </w:p>
    <w:p>
      <w:pPr>
        <w:pStyle w:val="null3"/>
      </w:pPr>
      <w:r>
        <w:rPr>
          <w:rFonts w:ascii="仿宋_GB2312" w:hAnsi="仿宋_GB2312" w:cs="仿宋_GB2312" w:eastAsia="仿宋_GB2312"/>
        </w:rPr>
        <w:t>3、财务状况：提供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4、税收缴纳证明：提供递交投标文件截止日前一年内已缴纳的至少一个月的纳税证明或完税证明（任意税种），依法免税的单位应提供相关证明材料；</w:t>
      </w:r>
    </w:p>
    <w:p>
      <w:pPr>
        <w:pStyle w:val="null3"/>
      </w:pPr>
      <w:r>
        <w:rPr>
          <w:rFonts w:ascii="仿宋_GB2312" w:hAnsi="仿宋_GB2312" w:cs="仿宋_GB2312" w:eastAsia="仿宋_GB2312"/>
        </w:rPr>
        <w:t>5、社会保障资金缴纳证明：提供递交投标文件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企业信用：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7、⽆重⼤违法声明：参加政府采购活动前3年内，在经营活动中没有重大违法记录的书面声明；</w:t>
      </w:r>
    </w:p>
    <w:p>
      <w:pPr>
        <w:pStyle w:val="null3"/>
      </w:pPr>
      <w:r>
        <w:rPr>
          <w:rFonts w:ascii="仿宋_GB2312" w:hAnsi="仿宋_GB2312" w:cs="仿宋_GB2312" w:eastAsia="仿宋_GB2312"/>
        </w:rPr>
        <w:t>8、专业技术能⼒承诺：提供具有履行合同所必需的设备和专业技术能力的书面承诺；</w:t>
      </w:r>
    </w:p>
    <w:p>
      <w:pPr>
        <w:pStyle w:val="null3"/>
      </w:pPr>
      <w:r>
        <w:rPr>
          <w:rFonts w:ascii="仿宋_GB2312" w:hAnsi="仿宋_GB2312" w:cs="仿宋_GB2312" w:eastAsia="仿宋_GB2312"/>
        </w:rPr>
        <w:t>9、控股管理关系：提供直接控股和管理关系清单。若与其他供应商存在单位负责人为同一人或者存在直接控股、管理关系的，则投标无效；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10、企业资质：供应商须具备林业调查规划设计乙级以上（含乙级）及以上资质；</w:t>
      </w:r>
    </w:p>
    <w:p>
      <w:pPr>
        <w:pStyle w:val="null3"/>
      </w:pPr>
      <w:r>
        <w:rPr>
          <w:rFonts w:ascii="仿宋_GB2312" w:hAnsi="仿宋_GB2312" w:cs="仿宋_GB2312" w:eastAsia="仿宋_GB2312"/>
        </w:rPr>
        <w:t>11、⾮联合体投标：本项目不接受联合体投标（提供承诺书）。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镇安县林业局（本级）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陕西省商洛市镇安县后街64号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711599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张炼</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0914-5326172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康乐、孙洋、常瑛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刘根子</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13154072255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采购包1：3,155,350.00元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依据国家计委颁发的《招标代理服务收费管理暂行办法》（计价格[2002]1980号）和国家发展和改革委员会办公厅颁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镇安县林业局（本级）</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镇安县林业局（本级）</w:t>
      </w:r>
      <w:r>
        <w:rPr>
          <w:rFonts w:ascii="仿宋_GB2312" w:hAnsi="仿宋_GB2312" w:cs="仿宋_GB2312" w:eastAsia="仿宋_GB2312"/>
        </w:rPr>
        <w:t>负责解释。除上述招标文件内容，其他内容由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镇安县林业局（本级）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详见采购合同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联系人：康乐</w:t>
      </w:r>
    </w:p>
    <w:p>
      <w:pPr>
        <w:pStyle w:val="null3"/>
      </w:pPr>
      <w:r>
        <w:rPr>
          <w:rFonts w:ascii="仿宋_GB2312" w:hAnsi="仿宋_GB2312" w:cs="仿宋_GB2312" w:eastAsia="仿宋_GB2312"/>
        </w:rPr>
        <w:t>联系电话：15691660815</w:t>
      </w:r>
    </w:p>
    <w:p>
      <w:pPr>
        <w:pStyle w:val="null3"/>
      </w:pPr>
      <w:r>
        <w:rPr>
          <w:rFonts w:ascii="仿宋_GB2312" w:hAnsi="仿宋_GB2312" w:cs="仿宋_GB2312" w:eastAsia="仿宋_GB2312"/>
        </w:rPr>
        <w:t>地址：陕西省西安市经济技术开发区未央路171-1号银池道拉斯财富中心21楼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镇安县森林草原湿地荒漠化普查工作技术服务项目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3,155,350.00</w:t>
      </w:r>
    </w:p>
    <w:p>
      <w:pPr>
        <w:pStyle w:val="null3"/>
      </w:pPr>
      <w:r>
        <w:rPr>
          <w:rFonts w:ascii="仿宋_GB2312" w:hAnsi="仿宋_GB2312" w:cs="仿宋_GB2312" w:eastAsia="仿宋_GB2312"/>
        </w:rPr>
        <w:t>采购包最高限价（元）: 3,155,350.00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森林草原湿地荒漠化普查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3,155,350.00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标的名称：森林草原湿地荒漠化普查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一、目标任务</w:t>
            </w:r>
          </w:p>
          <w:p>
            <w:pPr>
              <w:pStyle w:val="null3"/>
              <w:ind w:firstLine="480"/>
              <w:jc w:val="both"/>
            </w:pPr>
            <w:r>
              <w:rPr>
                <w:rFonts w:ascii="仿宋_GB2312" w:hAnsi="仿宋_GB2312" w:cs="仿宋_GB2312" w:eastAsia="仿宋_GB2312"/>
                <w:sz w:val="24"/>
              </w:rPr>
              <w:t>按照</w:t>
            </w:r>
            <w:r>
              <w:rPr>
                <w:rFonts w:ascii="仿宋_GB2312" w:hAnsi="仿宋_GB2312" w:cs="仿宋_GB2312" w:eastAsia="仿宋_GB2312"/>
                <w:sz w:val="24"/>
              </w:rPr>
              <w:t>“统一标准、统一时点、统一平台”要求，整合2023-2024年度国土变更调查成果和森林草原湿地荒漠化普查成果，形成自然资源调查监测统一现状底图，开展遥感监测提取疑似地类变化图斑，县级开展变更调查以及林草湿荒调查监测，查清国土利用现状及植被覆盖类型等资源属性变化情况，经国家、省、市逐级质量控制，汇总形成以标准时点的年度现状数据，为自然资源管理和国土空间规划“一张图”建设、山水林田湖草沙一体化保护和系统治理、生态文明建设等提供基础数据。</w:t>
            </w:r>
          </w:p>
          <w:p>
            <w:pPr>
              <w:pStyle w:val="null3"/>
              <w:ind w:firstLine="482"/>
              <w:jc w:val="both"/>
            </w:pPr>
            <w:r>
              <w:rPr>
                <w:rFonts w:ascii="仿宋_GB2312" w:hAnsi="仿宋_GB2312" w:cs="仿宋_GB2312" w:eastAsia="仿宋_GB2312"/>
                <w:sz w:val="24"/>
                <w:b/>
              </w:rPr>
              <w:t>主要任务包括：</w:t>
            </w:r>
          </w:p>
          <w:p>
            <w:pPr>
              <w:pStyle w:val="null3"/>
              <w:ind w:firstLine="480"/>
              <w:jc w:val="both"/>
            </w:pPr>
            <w:r>
              <w:rPr>
                <w:rFonts w:ascii="仿宋_GB2312" w:hAnsi="仿宋_GB2312" w:cs="仿宋_GB2312" w:eastAsia="仿宋_GB2312"/>
                <w:sz w:val="24"/>
              </w:rPr>
              <w:t>（一）遥感监测成果制作。以自然资源部下发的正射影像为基础，叠加</w:t>
            </w:r>
            <w:r>
              <w:rPr>
                <w:rFonts w:ascii="仿宋_GB2312" w:hAnsi="仿宋_GB2312" w:cs="仿宋_GB2312" w:eastAsia="仿宋_GB2312"/>
                <w:sz w:val="24"/>
              </w:rPr>
              <w:t>2023、2024年度国土变更调查成果、2025年常态化及季度全地类遥感监测成果、自然资源管理信息等，分类提取林草湿地类范围内变化图斑，制作遥感监测成果。</w:t>
            </w:r>
          </w:p>
          <w:p>
            <w:pPr>
              <w:pStyle w:val="null3"/>
              <w:ind w:firstLine="480"/>
              <w:jc w:val="both"/>
            </w:pPr>
            <w:r>
              <w:rPr>
                <w:rFonts w:ascii="仿宋_GB2312" w:hAnsi="仿宋_GB2312" w:cs="仿宋_GB2312" w:eastAsia="仿宋_GB2312"/>
                <w:sz w:val="24"/>
              </w:rPr>
              <w:t>（二）地类核实对接。</w:t>
            </w:r>
            <w:r>
              <w:rPr>
                <w:rFonts w:ascii="仿宋_GB2312" w:hAnsi="仿宋_GB2312" w:cs="仿宋_GB2312" w:eastAsia="仿宋_GB2312"/>
                <w:sz w:val="24"/>
              </w:rPr>
              <w:t>2024年度对全县57092个不一致图斑进行地类认定、补充图斑区划和不一致小班现地举证。</w:t>
            </w:r>
          </w:p>
          <w:p>
            <w:pPr>
              <w:pStyle w:val="null3"/>
              <w:ind w:firstLine="480"/>
              <w:jc w:val="both"/>
            </w:pPr>
            <w:r>
              <w:rPr>
                <w:rFonts w:ascii="仿宋_GB2312" w:hAnsi="仿宋_GB2312" w:cs="仿宋_GB2312" w:eastAsia="仿宋_GB2312"/>
                <w:sz w:val="24"/>
              </w:rPr>
              <w:t>（三）图斑区划。基于最新林草生态综合监测成果，根据图斑区划条件，在工作底图上参考森林资源专项调查、草原基况监测、湿地专项调查监测等已有成果，进行判读区划。</w:t>
            </w:r>
          </w:p>
          <w:p>
            <w:pPr>
              <w:pStyle w:val="null3"/>
              <w:ind w:firstLine="480"/>
              <w:jc w:val="both"/>
            </w:pPr>
            <w:r>
              <w:rPr>
                <w:rFonts w:ascii="仿宋_GB2312" w:hAnsi="仿宋_GB2312" w:cs="仿宋_GB2312" w:eastAsia="仿宋_GB2312"/>
                <w:sz w:val="24"/>
              </w:rPr>
              <w:t>（四）变化图斑审核。按照陕西省</w:t>
            </w:r>
            <w:r>
              <w:rPr>
                <w:rFonts w:ascii="仿宋_GB2312" w:hAnsi="仿宋_GB2312" w:cs="仿宋_GB2312" w:eastAsia="仿宋_GB2312"/>
                <w:sz w:val="24"/>
              </w:rPr>
              <w:t>2025年度国土变更调查及森林草原湿地荒漠化调查监测实施方案及相关技术要求，对2025年度13000个变化图斑进行合法性审核。</w:t>
            </w:r>
          </w:p>
          <w:p>
            <w:pPr>
              <w:pStyle w:val="null3"/>
              <w:ind w:firstLine="480"/>
              <w:jc w:val="both"/>
            </w:pPr>
            <w:r>
              <w:rPr>
                <w:rFonts w:ascii="仿宋_GB2312" w:hAnsi="仿宋_GB2312" w:cs="仿宋_GB2312" w:eastAsia="仿宋_GB2312"/>
                <w:sz w:val="24"/>
              </w:rPr>
              <w:t>（五）属性因子补充完善。以森林草原湿地资源变化图斑为调查监测对象，开展林草湿荒调查监测工作，对变化情况进行补充调查，查清每一个变化地块的地类、植被覆盖类型、面积、属性等实际情况，形成林草湿荒调查监测成果。</w:t>
            </w:r>
          </w:p>
          <w:p>
            <w:pPr>
              <w:pStyle w:val="null3"/>
              <w:ind w:firstLine="480"/>
              <w:jc w:val="both"/>
            </w:pPr>
            <w:r>
              <w:rPr>
                <w:rFonts w:ascii="仿宋_GB2312" w:hAnsi="仿宋_GB2312" w:cs="仿宋_GB2312" w:eastAsia="仿宋_GB2312"/>
                <w:sz w:val="24"/>
              </w:rPr>
              <w:t>（六）调查成果质量控制。严格按照</w:t>
            </w:r>
            <w:r>
              <w:rPr>
                <w:rFonts w:ascii="仿宋_GB2312" w:hAnsi="仿宋_GB2312" w:cs="仿宋_GB2312" w:eastAsia="仿宋_GB2312"/>
                <w:sz w:val="24"/>
              </w:rPr>
              <w:t>“实事求是”实地现状认定地类”原则开展调查监测工作，并对调查监测成果进行全面自检，确保调查监测成果完整、规范、真实、准确。</w:t>
            </w:r>
          </w:p>
          <w:p>
            <w:pPr>
              <w:pStyle w:val="null3"/>
              <w:ind w:firstLine="480"/>
              <w:jc w:val="both"/>
            </w:pPr>
            <w:r>
              <w:rPr>
                <w:rFonts w:ascii="仿宋_GB2312" w:hAnsi="仿宋_GB2312" w:cs="仿宋_GB2312" w:eastAsia="仿宋_GB2312"/>
                <w:sz w:val="24"/>
              </w:rPr>
              <w:t>（七）调查数据更新汇总。按程序上报林草湿荒普查（监测）成果数据。</w:t>
            </w:r>
          </w:p>
          <w:p>
            <w:pPr>
              <w:pStyle w:val="null3"/>
              <w:ind w:firstLine="480"/>
              <w:jc w:val="both"/>
            </w:pPr>
            <w:r>
              <w:rPr>
                <w:rFonts w:ascii="仿宋_GB2312" w:hAnsi="仿宋_GB2312" w:cs="仿宋_GB2312" w:eastAsia="仿宋_GB2312"/>
                <w:sz w:val="24"/>
              </w:rPr>
              <w:t>（八）成果报告。镇安县</w:t>
            </w:r>
            <w:r>
              <w:rPr>
                <w:rFonts w:ascii="仿宋_GB2312" w:hAnsi="仿宋_GB2312" w:cs="仿宋_GB2312" w:eastAsia="仿宋_GB2312"/>
                <w:sz w:val="24"/>
              </w:rPr>
              <w:t>2024年度森林草原湿地荒漠化普查成果报告；镇安县2025度森林草原湿地荒漠化调查监测成果报告。</w:t>
            </w:r>
          </w:p>
          <w:p>
            <w:pPr>
              <w:pStyle w:val="null3"/>
              <w:jc w:val="both"/>
            </w:pPr>
            <w:r>
              <w:rPr>
                <w:rFonts w:ascii="仿宋_GB2312" w:hAnsi="仿宋_GB2312" w:cs="仿宋_GB2312" w:eastAsia="仿宋_GB2312"/>
                <w:sz w:val="24"/>
                <w:b/>
              </w:rPr>
              <w:t>二、主要成果</w:t>
            </w:r>
          </w:p>
          <w:p>
            <w:pPr>
              <w:pStyle w:val="null3"/>
              <w:ind w:firstLine="480"/>
              <w:jc w:val="both"/>
            </w:pPr>
            <w:r>
              <w:rPr>
                <w:rFonts w:ascii="仿宋_GB2312" w:hAnsi="仿宋_GB2312" w:cs="仿宋_GB2312" w:eastAsia="仿宋_GB2312"/>
                <w:sz w:val="24"/>
              </w:rPr>
              <w:t>主要成果包括调查数据、统计汇总表格和数据库等数据类成果，林草湿荒调查监测工作报告等成果，以及资料收集、内业处理、质量控制等工作过程中形成各类过程性成果和资料。</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根据项目情况配备</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合同签订之日起至2026年12月31日前提交经相关部门审核通过的成果；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镇安县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预付款，合同签订后，达到付款条件起10个工作日内，支付合同总金额的35.0%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其他，项目实施完成并提交成果验收单后，经相关部门审核成果通过后，由供应商提供票据并申请，经采购人签字同意后，达到付款条件起10个工作日内，支付合同总金额的65.0%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提供法定代表人授权书（附法定代表人、被授权人身份证复印件），法定代表人直接参加的，须提供法定代表人身份证明及身份证复印件；</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提供递交投标文件截止日前一年内已缴纳的至少一个月的纳税证明或完税证明（任意税种），依法免税的单位应提供相关证明材料；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⽆重⼤违法声明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专业技术能⼒承诺</w:t>
            </w:r>
          </w:p>
        </w:tc>
        <w:tc>
          <w:tcPr>
            <w:tcW w:type="dxa" w:w="3322"/>
          </w:tcPr>
          <w:p>
            <w:pPr>
              <w:pStyle w:val="null3"/>
            </w:pPr>
            <w:r>
              <w:rPr>
                <w:rFonts w:ascii="仿宋_GB2312" w:hAnsi="仿宋_GB2312" w:cs="仿宋_GB2312" w:eastAsia="仿宋_GB2312"/>
              </w:rPr>
              <w:t>提供具有履行合同所必需的设备和专业技术能力的书面承诺；</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供应商须具备林业调查规划设计乙级以上（含乙级）及以上资质；</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本项目不接受联合体投标（提供承诺书）。</w:t>
            </w:r>
          </w:p>
        </w:tc>
        <w:tc>
          <w:tcPr>
            <w:tcW w:type="dxa" w:w="1661"/>
          </w:tcPr>
          <w:p>
            <w:pPr>
              <w:pStyle w:val="null3"/>
            </w:pPr>
            <w:r>
              <w:rPr>
                <w:rFonts w:ascii="仿宋_GB2312" w:hAnsi="仿宋_GB2312" w:cs="仿宋_GB2312" w:eastAsia="仿宋_GB2312"/>
              </w:rPr>
              <w:t>1特定资格证明文件.docx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6投标分项报价表.docx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投标文件上法定代表人或其授权代表人的签字齐全并加盖公章</w:t>
            </w:r>
          </w:p>
        </w:tc>
        <w:tc>
          <w:tcPr>
            <w:tcW w:type="dxa" w:w="1661"/>
          </w:tcPr>
          <w:p>
            <w:pPr>
              <w:pStyle w:val="null3"/>
            </w:pPr>
            <w:r>
              <w:rPr>
                <w:rFonts w:ascii="仿宋_GB2312" w:hAnsi="仿宋_GB2312" w:cs="仿宋_GB2312" w:eastAsia="仿宋_GB2312"/>
              </w:rPr>
              <w:t>6投标分项报价表.docx 投标函 中小企业声明函 残疾人福利性单位声明函 2陕西省政府采购供应商拒绝政府采购领域商业贿赂承诺书.docx 4服务要求及商务要求偏离表.docx 标的清单 投标文件封面 5其他.docx 1特定资格证明文件.docx 监狱企业的证明文件 3服务方案.docx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6投标分项报价表.docx 投标函 中小企业声明函 残疾人福利性单位声明函 2陕西省政府采购供应商拒绝政府采购领域商业贿赂承诺书.docx 4服务要求及商务要求偏离表.docx 标的清单 投标文件封面 5其他.docx 1特定资格证明文件.docx 监狱企业的证明文件 3服务方案.docx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6投标分项报价表.docx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6投标分项报价表.docx 投标函 中小企业声明函 残疾人福利性单位声明函 2陕西省政府采购供应商拒绝政府采购领域商业贿赂承诺书.docx 4服务要求及商务要求偏离表.docx 标的清单 投标文件封面 5其他.docx 1特定资格证明文件.docx 监狱企业的证明文件 3服务方案.docx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6投标分项报价表.docx 投标函 中小企业声明函 残疾人福利性单位声明函 2陕西省政府采购供应商拒绝政府采购领域商业贿赂承诺书.docx 4服务要求及商务要求偏离表.docx 标的清单 投标文件封面 5其他.docx 1特定资格证明文件.docx 监狱企业的证明文件 3服务方案.docx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符合招标文件投标有效期要求</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遥感监测与图斑区划技术方案</w:t>
            </w:r>
          </w:p>
        </w:tc>
        <w:tc>
          <w:tcPr>
            <w:tcW w:type="dxa" w:w="2492"/>
          </w:tcPr>
          <w:p>
            <w:pPr>
              <w:pStyle w:val="null3"/>
            </w:pPr>
            <w:r>
              <w:rPr>
                <w:rFonts w:ascii="仿宋_GB2312" w:hAnsi="仿宋_GB2312" w:cs="仿宋_GB2312" w:eastAsia="仿宋_GB2312"/>
              </w:rPr>
              <w:t>一、评审内容 针对本项目提出适用于本项目的遥感监测与图斑区划技术方案，方案包括：①多源数据整合与工作底图制作方案；②林草湿荒变化图斑遥感提取方案；③图斑判读区划作业实施方案；④遥感监测成果精度控制方案。 二、评审标准 1、完整性：方案必须全面，对评审内容中的各项要求有详细描述； 2、可实施性：切合本项目实际情况，提出步骤清晰、合理的方案； 3、针对性：方案能够紧扣项目实际情况，内容科学合理。 三、赋分标准（满分12分） ①多源数据整合与工作底图制作方案：每完全满足一个评审标准得1分，满分3分； ②林草湿荒变化图斑遥感提取方案：每完全满足一个评审标准得1分，满分3分； ③图斑判读区划作业实施方案：每完全满足一个评审标准得1分，满分3分； ④遥感监测成果精度控制方案：每完全满足一个评审标准得1分，满分3分。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地类核实与现地举证实施方案</w:t>
            </w:r>
          </w:p>
        </w:tc>
        <w:tc>
          <w:tcPr>
            <w:tcW w:type="dxa" w:w="2492"/>
          </w:tcPr>
          <w:p>
            <w:pPr>
              <w:pStyle w:val="null3"/>
            </w:pPr>
            <w:r>
              <w:rPr>
                <w:rFonts w:ascii="仿宋_GB2312" w:hAnsi="仿宋_GB2312" w:cs="仿宋_GB2312" w:eastAsia="仿宋_GB2312"/>
              </w:rPr>
              <w:t>一、评审内容 针对本项目提出适用于本项目的地类核实与现地举证实施方案，方案包括：①不一致图斑地类认定工作方案；②补充图斑区划作业实施流程；③现地举证组织与外业作业方案；④外业作业安全与效率保障措施。 二、评审标准 1、完整性：方案必须全面，对评审内容中的各项要求有详细描述； 2、可实施性：切合本项目实际情况，提出步骤清晰、合理的方案； 3、针对性：方案能够紧扣项目实际情况，内容科学合理。 三、赋分标准（满分12分） ①不一致图斑地类认定工作方案：每完全满足一个评审标准得1分，满分3分； ②补充图斑区划作业实施流程：每完全满足一个评审标准得1分，满分3分。 ③现地举证组织与外业作业方案：每完全满足一个评审标准得1分，满分3分； ④外业作业安全与效率保障措施：每完全满足一个评审标准得1分，满分3分。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变化图斑审核与属性调查技术方案</w:t>
            </w:r>
          </w:p>
        </w:tc>
        <w:tc>
          <w:tcPr>
            <w:tcW w:type="dxa" w:w="2492"/>
          </w:tcPr>
          <w:p>
            <w:pPr>
              <w:pStyle w:val="null3"/>
            </w:pPr>
            <w:r>
              <w:rPr>
                <w:rFonts w:ascii="仿宋_GB2312" w:hAnsi="仿宋_GB2312" w:cs="仿宋_GB2312" w:eastAsia="仿宋_GB2312"/>
              </w:rPr>
              <w:t>一、评审内容 针对本项目提出适用于本项目的变化图斑审核与属性调查技术方案，包括：①变化图斑合法性审核工作流程；②林草湿荒属性因子补充调查方案；③植被覆盖类型判定技术标准；④调查数据一致性校验方案。 二、评审标准 1、完整性：方案必须全面，对评审内容中的各项要求有详细描述； 2、可实施性：切合本项目实际情况，提出步骤清晰、合理的方案； 3、针对性：方案能够紧扣项目实际情况，内容科学合理。 三、赋分标准（满分12分） ①变化图斑合法性审核工作流程：每完全满足一个评审标准得1分，满分3分； ②林草湿荒属性因子补充调查方案：每完全满足一个评审标准得1分，满分3分； ③植被覆盖类型判定技术标准：每完全满足一个评审标准得1分，满分3分； ④调查数据一致性校验方案：每完全满足一个评审标准得1分，满分3分。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质量控制与成果汇总交付方案</w:t>
            </w:r>
          </w:p>
        </w:tc>
        <w:tc>
          <w:tcPr>
            <w:tcW w:type="dxa" w:w="2492"/>
          </w:tcPr>
          <w:p>
            <w:pPr>
              <w:pStyle w:val="null3"/>
            </w:pPr>
            <w:r>
              <w:rPr>
                <w:rFonts w:ascii="仿宋_GB2312" w:hAnsi="仿宋_GB2312" w:cs="仿宋_GB2312" w:eastAsia="仿宋_GB2312"/>
              </w:rPr>
              <w:t>一、评审内容 针对本项目提出适用于本项目的质量控制与成果汇总交付方案，包括：①质量检查管控与进度控制方案；②成果报告编制与验收方案。 二、评审标准 1、完整性：方案必须全面，对评审内容中的各项要求有详细描述； 2、可实施性：切合本项目实际情况，提出步骤清晰、合理的方案。 三、赋分标准（满分4分） ①质量检查管控与进度控制方案：每完全满足一个评审标准得1分，满分2分； ②成果报告编制与验收方案：每完全满足一个评审标准得1分，满分2分。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拟派项目负责人具备林业相关专业高级职称的，得5分。具备中级职称的，得2分。其他职称不得分。 评审依据：响应文件中提供职称证书、身份证、毕业证扫描件或复印件并加盖供应商公章为准。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项目组成人员</w:t>
            </w:r>
          </w:p>
        </w:tc>
        <w:tc>
          <w:tcPr>
            <w:tcW w:type="dxa" w:w="2492"/>
          </w:tcPr>
          <w:p>
            <w:pPr>
              <w:pStyle w:val="null3"/>
            </w:pPr>
            <w:r>
              <w:rPr>
                <w:rFonts w:ascii="仿宋_GB2312" w:hAnsi="仿宋_GB2312" w:cs="仿宋_GB2312" w:eastAsia="仿宋_GB2312"/>
              </w:rPr>
              <w:t>拟派项目组成人员具备林业相关专业中级职称以上的，每提供1人得1.5分，满分15分。 评审依据：响应文件中提供职称证书、身份证、毕业证扫描件或复印件并加盖供应商公章为准。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针对本项⽬提供①项目组成人员安全承诺；②服务质量保障承；③售后服务承诺。每提供⼀项内容得2分，满分6分。不提供不得分。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对本项⽬服务⼯作中的常⻅问题进⾏梳理，具有良好的解决⽅案并向采购⼈提出合理化建议，每提供⼀条建议得1分，满分4分。不提供不得分。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自2023年7月至今类似项目业绩，以供应商提供的合同或中标（成交）通知书复印件（或扫描件）为准（日期以合同签订时间或中标（成交）通知书时间为准），每提供一份得2分，满分10分；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6投标分项报价表.docx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评标基准价=满足招标文件要求且最低的评标价格 合格供应商的有效价格得分=（评标基准价/评标价格)×20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6投标分项报价表.docx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6投标分项报价表.docx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详见附件：1特定资格证明文件.docx</w:t>
      </w:r>
    </w:p>
    <w:p>
      <w:pPr>
        <w:pStyle w:val="null3"/>
        <w:ind w:firstLine="960"/>
      </w:pPr>
      <w:r>
        <w:rPr>
          <w:rFonts w:ascii="仿宋_GB2312" w:hAnsi="仿宋_GB2312" w:cs="仿宋_GB2312" w:eastAsia="仿宋_GB2312"/>
        </w:rPr>
        <w:t>详见附件：2陕西省政府采购供应商拒绝政府采购领域商业贿赂承诺书.docx</w:t>
      </w:r>
    </w:p>
    <w:p>
      <w:pPr>
        <w:pStyle w:val="null3"/>
        <w:ind w:firstLine="960"/>
      </w:pPr>
      <w:r>
        <w:rPr>
          <w:rFonts w:ascii="仿宋_GB2312" w:hAnsi="仿宋_GB2312" w:cs="仿宋_GB2312" w:eastAsia="仿宋_GB2312"/>
        </w:rPr>
        <w:t>详见附件：3服务方案.docx</w:t>
      </w:r>
    </w:p>
    <w:p>
      <w:pPr>
        <w:pStyle w:val="null3"/>
        <w:ind w:firstLine="960"/>
      </w:pPr>
      <w:r>
        <w:rPr>
          <w:rFonts w:ascii="仿宋_GB2312" w:hAnsi="仿宋_GB2312" w:cs="仿宋_GB2312" w:eastAsia="仿宋_GB2312"/>
        </w:rPr>
        <w:t>详见附件：4服务要求及商务要求偏离表.docx</w:t>
      </w:r>
    </w:p>
    <w:p>
      <w:pPr>
        <w:pStyle w:val="null3"/>
        <w:ind w:firstLine="960"/>
      </w:pPr>
      <w:r>
        <w:rPr>
          <w:rFonts w:ascii="仿宋_GB2312" w:hAnsi="仿宋_GB2312" w:cs="仿宋_GB2312" w:eastAsia="仿宋_GB2312"/>
        </w:rPr>
        <w:t>详见附件：5其他.docx</w:t>
      </w:r>
    </w:p>
    <w:p>
      <w:pPr>
        <w:pStyle w:val="null3"/>
        <w:ind w:firstLine="960"/>
      </w:pPr>
      <w:r>
        <w:rPr>
          <w:rFonts w:ascii="仿宋_GB2312" w:hAnsi="仿宋_GB2312" w:cs="仿宋_GB2312" w:eastAsia="仿宋_GB2312"/>
        </w:rPr>
        <w:t>详见附件：6投标分项报价表.docx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