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版本号：ZZHC-2026-1420260529001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2026年澄城县苹果品种调优项目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ZZHC-2026-14</w:t>
      </w:r>
      <w:r>
        <w:br/>
      </w:r>
      <w:r>
        <w:br/>
      </w:r>
      <w:r>
        <w:br/>
      </w:r>
      <w:r>
        <w:br/>
      </w:r>
      <w:r>
        <w:br/>
      </w:r>
    </w:p>
    <w:p>
      <w:pPr>
        <w:pStyle w:val="null3"/>
        <w:jc w:val="center"/>
        <w:outlineLvl w:val="5"/>
      </w:pPr>
      <w:r>
        <w:rPr>
          <w:rFonts w:ascii="仿宋_GB2312" w:hAnsi="仿宋_GB2312" w:cs="仿宋_GB2312" w:eastAsia="仿宋_GB2312"/>
          <w:sz w:val="15"/>
          <w:b/>
        </w:rPr>
        <w:t>澄城县果业发展中心</w:t>
      </w:r>
    </w:p>
    <w:p>
      <w:pPr>
        <w:pStyle w:val="null3"/>
        <w:jc w:val="center"/>
        <w:outlineLvl w:val="5"/>
      </w:pPr>
      <w:r>
        <w:rPr>
          <w:rFonts w:ascii="仿宋_GB2312" w:hAnsi="仿宋_GB2312" w:cs="仿宋_GB2312" w:eastAsia="仿宋_GB2312"/>
          <w:sz w:val="15"/>
          <w:b/>
        </w:rPr>
        <w:t>陕西中治宏成项目管理有限公司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陕西中治宏成项目管理有限公司</w:t>
      </w:r>
      <w:r>
        <w:rPr>
          <w:rFonts w:ascii="仿宋_GB2312" w:hAnsi="仿宋_GB2312" w:cs="仿宋_GB2312" w:eastAsia="仿宋_GB2312"/>
        </w:rPr>
        <w:t>（以下简称“代理机构”）受</w:t>
      </w:r>
      <w:r>
        <w:rPr>
          <w:rFonts w:ascii="仿宋_GB2312" w:hAnsi="仿宋_GB2312" w:cs="仿宋_GB2312" w:eastAsia="仿宋_GB2312"/>
        </w:rPr>
        <w:t>澄城县果业发展中心</w:t>
      </w:r>
      <w:r>
        <w:rPr>
          <w:rFonts w:ascii="仿宋_GB2312" w:hAnsi="仿宋_GB2312" w:cs="仿宋_GB2312" w:eastAsia="仿宋_GB2312"/>
        </w:rPr>
        <w:t>委托，拟对</w:t>
      </w:r>
      <w:r>
        <w:rPr>
          <w:rFonts w:ascii="仿宋_GB2312" w:hAnsi="仿宋_GB2312" w:cs="仿宋_GB2312" w:eastAsia="仿宋_GB2312"/>
        </w:rPr>
        <w:t>2026年澄城县苹果品种调优项目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ZZHC-2026-14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2026年澄城县苹果品种调优项目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瑞香红接穗长度：≥60cm；饱满芽：≥10个；一棵树嫁接1个瑞香红接穗，2-4个富士辅助枝条；嫁接当年果园管护，含解绑、除萌等技术跟踪指导，嫁接成活率≥95%（平均50株/亩计算）。在澄城县王庄镇、赵庄镇、冯原镇、安里镇通过嫁接等方式实施苹果品种调优3500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采购包1（2026年澄城县苹果品种调优项目）：属于专门面向中小企业采购。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1、营业执照：供应商具有独立承担民事责任能力的企业法人、其他组织或自然人，提供合法有效的统一社会信用代码的营业执照，自然人的提供身份证明文件；</w:t>
      </w:r>
    </w:p>
    <w:p>
      <w:pPr>
        <w:pStyle w:val="null3"/>
      </w:pPr>
      <w:r>
        <w:rPr>
          <w:rFonts w:ascii="仿宋_GB2312" w:hAnsi="仿宋_GB2312" w:cs="仿宋_GB2312" w:eastAsia="仿宋_GB2312"/>
        </w:rPr>
        <w:t>2、法人授权委托书：法定代表人授权书（法定代表人直接参加的不提供,但须出具本人身份证原件及复印件）及被授权人身份证原件；</w:t>
      </w:r>
    </w:p>
    <w:p>
      <w:pPr>
        <w:pStyle w:val="null3"/>
      </w:pPr>
      <w:r>
        <w:rPr>
          <w:rFonts w:ascii="仿宋_GB2312" w:hAnsi="仿宋_GB2312" w:cs="仿宋_GB2312" w:eastAsia="仿宋_GB2312"/>
        </w:rPr>
        <w:t>3、财务状况：提供2025年度经审计的财务报告或开标前六个月内开户银行开具的资信证明及基本存款账户信息；</w:t>
      </w:r>
    </w:p>
    <w:p>
      <w:pPr>
        <w:pStyle w:val="null3"/>
      </w:pPr>
      <w:r>
        <w:rPr>
          <w:rFonts w:ascii="仿宋_GB2312" w:hAnsi="仿宋_GB2312" w:cs="仿宋_GB2312" w:eastAsia="仿宋_GB2312"/>
        </w:rPr>
        <w:t>4、税收证明：提供开标前六个月已缴纳任意一个月完税凭证或税务机关开具的完税证明（任意税种）；依法免税的应提供相关文件证明；</w:t>
      </w:r>
    </w:p>
    <w:p>
      <w:pPr>
        <w:pStyle w:val="null3"/>
      </w:pPr>
      <w:r>
        <w:rPr>
          <w:rFonts w:ascii="仿宋_GB2312" w:hAnsi="仿宋_GB2312" w:cs="仿宋_GB2312" w:eastAsia="仿宋_GB2312"/>
        </w:rPr>
        <w:t>5、社保缴纳证明：提供截止至开标时间前六个月内任意一个月的社保缴费凭据或社保机构开具的社会保险参保缴费情况证明；依法不需要缴纳社会保障资金的供应商应提供相关证明；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7、书面声明：参加政府采购活动前三年内，在经营活动中没有重大违法记录的书面声明；</w:t>
      </w:r>
    </w:p>
    <w:p>
      <w:pPr>
        <w:pStyle w:val="null3"/>
      </w:pPr>
      <w:r>
        <w:rPr>
          <w:rFonts w:ascii="仿宋_GB2312" w:hAnsi="仿宋_GB2312" w:cs="仿宋_GB2312" w:eastAsia="仿宋_GB2312"/>
        </w:rPr>
        <w:t>8、信用截图：供应商不得为“信用中国”网站（www.creditchina.gov.cn）中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9、不接受联合体声明：本项目不接受联合体投标；</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澄城县果业发展中心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澄城县人力资源大楼二楼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储召虎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18892182896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陕西中治宏成项目管理有限公司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陕西省西安市国家民用航天产业基地东长安街航天新天地三号楼 1630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袁佩侠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18191935656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采购包1：5,250,000.00元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采购包1：5,250,000.00元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代理服务费参照国家计委关于印发《招标代理服务收费管理暂行办法》的通知（计价格〔2002〕1980号）、《国家发展和改革委员会办公厅关于招标代理服务收费有关问题的通知》（发改办价格〔2003〕857号）文件计取。 2、代理服务费的交纳方式：由中标/成交供应商在领取中标/成交通知书前向采购代理机构一次性支付。 开户行名称：陕西中治宏成项目管理有限公司 开户银行：中国建设银行股份有限公司西安雁塔南路南段支行 账 号：61050111583800000354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澄城县果业发展中心</w:t>
      </w:r>
      <w:r>
        <w:rPr>
          <w:rFonts w:ascii="仿宋_GB2312" w:hAnsi="仿宋_GB2312" w:cs="仿宋_GB2312" w:eastAsia="仿宋_GB2312"/>
        </w:rPr>
        <w:t>和</w:t>
      </w:r>
      <w:r>
        <w:rPr>
          <w:rFonts w:ascii="仿宋_GB2312" w:hAnsi="仿宋_GB2312" w:cs="仿宋_GB2312" w:eastAsia="仿宋_GB2312"/>
        </w:rPr>
        <w:t>陕西中治宏成项目管理有限公司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陕西中治宏成项目管理有限公司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澄城县果业发展中心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陕西中治宏成项目管理有限公司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苗木品种、规格、数量与约定一致。 植株长势良好，无病虫害、无损伤。 根系完整，栽植成活率达标。</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瑞香红接穗长度：≥60cm；饱满芽：≥10个；一棵树嫁接1个瑞香红接穗，2-4个富士辅助枝条；嫁接当年果园管护，含解绑、除萌等技术跟踪指导，嫁接成活率≥95%（平均50株/亩计算）。在澄城县王庄镇、赵庄镇、冯原镇、安里镇通过嫁接等方式实施苹果品种调优3500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5,250,000.00</w:t>
      </w:r>
    </w:p>
    <w:p>
      <w:pPr>
        <w:pStyle w:val="null3"/>
      </w:pPr>
      <w:r>
        <w:rPr>
          <w:rFonts w:ascii="仿宋_GB2312" w:hAnsi="仿宋_GB2312" w:cs="仿宋_GB2312" w:eastAsia="仿宋_GB2312"/>
        </w:rPr>
        <w:t>采购包最高限价（元）: 5,250,000.00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2026年澄城县苹果品种调优项目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标的名称：2026年澄城县苹果品种调优项目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3"/>
              <w:gridCol w:w="459"/>
              <w:gridCol w:w="1504"/>
              <w:gridCol w:w="212"/>
              <w:gridCol w:w="212"/>
            </w:tblGrid>
            <w:tr>
              <w:tc>
                <w:tcPr>
                  <w:tcW w:type="dxa" w:w="15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序号</w:t>
                  </w:r>
                </w:p>
              </w:tc>
              <w:tc>
                <w:tcPr>
                  <w:tcW w:type="dxa" w:w="4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标的名称</w:t>
                  </w:r>
                </w:p>
              </w:tc>
              <w:tc>
                <w:tcPr>
                  <w:tcW w:type="dxa" w:w="150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主要参数</w:t>
                  </w:r>
                </w:p>
              </w:tc>
              <w:tc>
                <w:tcPr>
                  <w:tcW w:type="dxa" w:w="21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单位</w:t>
                  </w:r>
                </w:p>
              </w:tc>
              <w:tc>
                <w:tcPr>
                  <w:tcW w:type="dxa" w:w="21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数量</w:t>
                  </w:r>
                </w:p>
              </w:tc>
            </w:tr>
            <w:tr>
              <w:tc>
                <w:tcPr>
                  <w:tcW w:type="dxa" w:w="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4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瑞香红接穗</w:t>
                  </w:r>
                </w:p>
              </w:tc>
              <w:tc>
                <w:tcPr>
                  <w:tcW w:type="dxa" w:w="15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瑞香红接穗长度：</w:t>
                  </w:r>
                  <w:r>
                    <w:rPr>
                      <w:rFonts w:ascii="仿宋_GB2312" w:hAnsi="仿宋_GB2312" w:cs="仿宋_GB2312" w:eastAsia="仿宋_GB2312"/>
                      <w:sz w:val="22"/>
                      <w:color w:val="000000"/>
                    </w:rPr>
                    <w:t>≥60cm饱满芽：≥10个，</w:t>
                  </w:r>
                  <w:r>
                    <w:br/>
                  </w:r>
                  <w:r>
                    <w:rPr>
                      <w:rFonts w:ascii="仿宋_GB2312" w:hAnsi="仿宋_GB2312" w:cs="仿宋_GB2312" w:eastAsia="仿宋_GB2312"/>
                      <w:sz w:val="22"/>
                      <w:color w:val="000000"/>
                    </w:rPr>
                    <w:t>一棵树嫁接</w:t>
                  </w:r>
                  <w:r>
                    <w:rPr>
                      <w:rFonts w:ascii="仿宋_GB2312" w:hAnsi="仿宋_GB2312" w:cs="仿宋_GB2312" w:eastAsia="仿宋_GB2312"/>
                      <w:sz w:val="22"/>
                      <w:color w:val="000000"/>
                    </w:rPr>
                    <w:t>2-4个辅助枝条</w:t>
                  </w:r>
                  <w:r>
                    <w:rPr>
                      <w:rFonts w:ascii="仿宋_GB2312" w:hAnsi="仿宋_GB2312" w:cs="仿宋_GB2312" w:eastAsia="仿宋_GB2312"/>
                      <w:sz w:val="22"/>
                      <w:color w:val="000000"/>
                    </w:rPr>
                    <w:t>（平均</w:t>
                  </w:r>
                  <w:r>
                    <w:rPr>
                      <w:rFonts w:ascii="仿宋_GB2312" w:hAnsi="仿宋_GB2312" w:cs="仿宋_GB2312" w:eastAsia="仿宋_GB2312"/>
                      <w:sz w:val="22"/>
                      <w:color w:val="000000"/>
                    </w:rPr>
                    <w:t>50株/亩计算）</w:t>
                  </w:r>
                </w:p>
              </w:tc>
              <w:tc>
                <w:tcPr>
                  <w:tcW w:type="dxa" w:w="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根</w:t>
                  </w:r>
                </w:p>
              </w:tc>
              <w:tc>
                <w:tcPr>
                  <w:tcW w:type="dxa" w:w="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175000</w:t>
                  </w:r>
                </w:p>
              </w:tc>
            </w:tr>
            <w:tr>
              <w:tc>
                <w:tcPr>
                  <w:tcW w:type="dxa" w:w="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4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人工嫁接</w:t>
                  </w:r>
                </w:p>
              </w:tc>
              <w:tc>
                <w:tcPr>
                  <w:tcW w:type="dxa" w:w="15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一棵树平均嫁接</w:t>
                  </w:r>
                  <w:r>
                    <w:rPr>
                      <w:rFonts w:ascii="仿宋_GB2312" w:hAnsi="仿宋_GB2312" w:cs="仿宋_GB2312" w:eastAsia="仿宋_GB2312"/>
                      <w:sz w:val="22"/>
                      <w:color w:val="000000"/>
                    </w:rPr>
                    <w:t>2-4个枝条，含技术工费和辅助接穗、绑带费用</w:t>
                  </w:r>
                </w:p>
              </w:tc>
              <w:tc>
                <w:tcPr>
                  <w:tcW w:type="dxa" w:w="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株</w:t>
                  </w:r>
                </w:p>
              </w:tc>
              <w:tc>
                <w:tcPr>
                  <w:tcW w:type="dxa" w:w="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175000</w:t>
                  </w:r>
                </w:p>
              </w:tc>
            </w:tr>
            <w:tr>
              <w:tc>
                <w:tcPr>
                  <w:tcW w:type="dxa" w:w="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3</w:t>
                  </w:r>
                </w:p>
              </w:tc>
              <w:tc>
                <w:tcPr>
                  <w:tcW w:type="dxa" w:w="4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配套技术服务</w:t>
                  </w:r>
                </w:p>
              </w:tc>
              <w:tc>
                <w:tcPr>
                  <w:tcW w:type="dxa" w:w="15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嫁接后当年果园管护，指导嫁接户做好解绑、除萌、防晒、</w:t>
                  </w:r>
                  <w:r>
                    <w:rPr>
                      <w:rFonts w:ascii="仿宋_GB2312" w:hAnsi="仿宋_GB2312" w:cs="仿宋_GB2312" w:eastAsia="仿宋_GB2312"/>
                      <w:sz w:val="22"/>
                      <w:color w:val="000000"/>
                    </w:rPr>
                    <w:t>防病虫、开角、水肥管理等工作，确保嫁接成活率</w:t>
                  </w:r>
                  <w:r>
                    <w:rPr>
                      <w:rFonts w:ascii="仿宋_GB2312" w:hAnsi="仿宋_GB2312" w:cs="仿宋_GB2312" w:eastAsia="仿宋_GB2312"/>
                      <w:sz w:val="22"/>
                      <w:color w:val="000000"/>
                    </w:rPr>
                    <w:t>≥95%，</w:t>
                  </w:r>
                  <w:r>
                    <w:rPr>
                      <w:rFonts w:ascii="仿宋_GB2312" w:hAnsi="仿宋_GB2312" w:cs="仿宋_GB2312" w:eastAsia="仿宋_GB2312"/>
                      <w:sz w:val="22"/>
                      <w:color w:val="000000"/>
                    </w:rPr>
                    <w:t>树体当年成形</w:t>
                  </w:r>
                </w:p>
              </w:tc>
              <w:tc>
                <w:tcPr>
                  <w:tcW w:type="dxa" w:w="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亩</w:t>
                  </w:r>
                </w:p>
              </w:tc>
              <w:tc>
                <w:tcPr>
                  <w:tcW w:type="dxa" w:w="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3500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32"/>
                <w:color w:val="000000"/>
              </w:rPr>
              <w:t>注：本项目专门面向中小企业采购，供应商在填写“中小企业声明函”时，标的名称以此表为准。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自合同签订后30日历天交付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进度款，货物交付并验收合格后支付进度款，达到付款条件起15个工作日内，支付合同总金额的40.0%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其他，尾款于约定期限内付清，达到付款条件起15个工作日内，支付合同总金额的30.0%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 （3）对于验收不合格的产品应及时退回供应商，同时做好相关记录。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1、逾期供货、栽植，承担相应责任。2、苗木质量不达标、养护不到位，无偿补植整改。 争议解决 双方协商处理；协商不成，向当地法院提起诉讼</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供应商具有独立承担民事责任能力的企业法人、其他组织或自然人，提供合法有效的统一社会信用代码的营业执照，自然人的提供身份证明文件；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法定代表人授权书（法定代表人直接参加的不提供,但须出具本人身份证原件及复印件）及被授权人身份证原件；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提供2025年度经审计的财务报告或开标前六个月内开户银行开具的资信证明及基本存款账户信息；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1、投标文件的签字、盖章是否有效，字迹是否清晰可辨，编写格式符合采购文件要求； 2、投标有效期是否满足要求； 3、报价唯一，只能有一个有效报价，不得提交选择性报价，且报价不高于最高限价； 4、交货期是否满足要求；</w:t>
            </w:r>
          </w:p>
        </w:tc>
        <w:tc>
          <w:tcPr>
            <w:tcW w:type="dxa" w:w="1661"/>
          </w:tcPr>
          <w:p>
            <w:pPr>
              <w:pStyle w:val="null3"/>
            </w:pPr>
            <w:r>
              <w:rPr>
                <w:rFonts w:ascii="仿宋_GB2312" w:hAnsi="仿宋_GB2312" w:cs="仿宋_GB2312" w:eastAsia="仿宋_GB2312"/>
              </w:rPr>
              <w:t>中小企业声明函 报价表 商务应答表.docx 响应文件封面 分项报价-.docx 残疾人福利性单位声明函 业绩证明材料.docx 标的清单 资格证明材料.docx 项目实施方案 产品技术参数表.docx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详见附件：采购合同模板docx.docx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