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版本号：SXGLZFCG2026-032号20260826001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铜川市锦绣园1-4号楼装修工程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SXGLZFCG2026-032号</w:t>
      </w:r>
      <w:r>
        <w:br/>
      </w:r>
      <w:r>
        <w:br/>
      </w:r>
      <w:r>
        <w:br/>
      </w:r>
    </w:p>
    <w:p>
      <w:pPr>
        <w:pStyle w:val="null3"/>
        <w:jc w:val="center"/>
        <w:outlineLvl w:val="2"/>
      </w:pPr>
      <w:r>
        <w:rPr>
          <w:rFonts w:ascii="仿宋_GB2312" w:hAnsi="仿宋_GB2312" w:cs="仿宋_GB2312" w:eastAsia="仿宋_GB2312"/>
          <w:sz w:val="28"/>
          <w:b/>
        </w:rPr>
        <w:t>铜川市保障性住房管理中心</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铜川市保障性住房管理中心</w:t>
      </w:r>
      <w:r>
        <w:rPr>
          <w:rFonts w:ascii="仿宋_GB2312" w:hAnsi="仿宋_GB2312" w:cs="仿宋_GB2312" w:eastAsia="仿宋_GB2312"/>
        </w:rPr>
        <w:t>委托，拟对</w:t>
      </w:r>
      <w:r>
        <w:rPr>
          <w:rFonts w:ascii="仿宋_GB2312" w:hAnsi="仿宋_GB2312" w:cs="仿宋_GB2312" w:eastAsia="仿宋_GB2312"/>
        </w:rPr>
        <w:t>铜川市锦绣园1-4号楼装修工程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SXGLZFCG2026-032号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铜川市锦绣园1-4号楼装修工程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锦绣园⼩区1-4#楼1-9层，54套空置公租房进⾏装修，总建筑⾯积为4603.32㎡。⼾型分南北两区,⼾型A(18⼾)每⼾80.56㎡（建筑⾯积为1450.08㎡）；⼾型B(18⼾)每⼾87.59㎡（建筑⾯积为1576.62㎡）；⼾型C(18⼾）每⼾87.59㎡（建筑⾯积1576.62㎡）。建设内容包括原有空间划分、墙⾯和地⾯的装修、电⽓系统和给排⽔系统的改造、防⽔升级等（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采购包1（铜川市锦绣园1-4号楼装修工程）：属于专门面向中小企业采购。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 或事业单位法人证书等国家规定的相关证明，自然人参与的提供其身份证明。供应 商需在项目电子化交易系统中按要求上传相应证明文件并进行电子签章；</w:t>
      </w:r>
    </w:p>
    <w:p>
      <w:pPr>
        <w:pStyle w:val="null3"/>
      </w:pPr>
      <w:r>
        <w:rPr>
          <w:rFonts w:ascii="仿宋_GB2312" w:hAnsi="仿宋_GB2312" w:cs="仿宋_GB2312" w:eastAsia="仿宋_GB2312"/>
        </w:rPr>
        <w:t>2、授权委托书：法定代表人直接参加投标的，须出具法人身份证，并与营业执照上信息一致；法定代表人授权代表 参加投标的，须出具法定代表人授权书及授权代表身份证；</w:t>
      </w:r>
    </w:p>
    <w:p>
      <w:pPr>
        <w:pStyle w:val="null3"/>
      </w:pPr>
      <w:r>
        <w:rPr>
          <w:rFonts w:ascii="仿宋_GB2312" w:hAnsi="仿宋_GB2312" w:cs="仿宋_GB2312" w:eastAsia="仿宋_GB2312"/>
        </w:rPr>
        <w:t>3、财务状况报告：提供（1）或提供（2）：（1）提供2023年度至2025年度任意一年财务报告复印件，应满足以下要求 ：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 ② 供应商适用《事业单位会计准 则》的，财务报告是指上述指定年度整个会计年度财务报表（不要求必须是经审计 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 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 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 替代银行资信证明；</w:t>
      </w:r>
    </w:p>
    <w:p>
      <w:pPr>
        <w:pStyle w:val="null3"/>
      </w:pPr>
      <w:r>
        <w:rPr>
          <w:rFonts w:ascii="仿宋_GB2312" w:hAnsi="仿宋_GB2312" w:cs="仿宋_GB2312" w:eastAsia="仿宋_GB2312"/>
        </w:rPr>
        <w:t>4、税收缴纳证明：提供2026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5、社保缴纳证明：提供2026年1月至今任意一个月的社会保障资金缴存单据或社保机构开具的社会保险参保缴费情况证明。依法不需要缴纳社会保障资金的供应商，应提供相关证明文件；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6、供应商信誉：供应商不得为“信用中国”网站（www.creditchina.gov.cn）中列入失信被执行人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p>
      <w:pPr>
        <w:pStyle w:val="null3"/>
      </w:pPr>
      <w:r>
        <w:rPr>
          <w:rFonts w:ascii="仿宋_GB2312" w:hAnsi="仿宋_GB2312" w:cs="仿宋_GB2312" w:eastAsia="仿宋_GB2312"/>
        </w:rPr>
        <w:t>7、设备和专业技术能力承诺：具有履行合同所必需的设备和专业技术能力，提供证明材料或书面承诺并加盖公章 ；</w:t>
      </w:r>
    </w:p>
    <w:p>
      <w:pPr>
        <w:pStyle w:val="null3"/>
      </w:pPr>
      <w:r>
        <w:rPr>
          <w:rFonts w:ascii="仿宋_GB2312" w:hAnsi="仿宋_GB2312" w:cs="仿宋_GB2312" w:eastAsia="仿宋_GB2312"/>
        </w:rPr>
        <w:t>8、无重大违法记录声明：供应商在近三年经营活动中没有重大违法记录的声明；</w:t>
      </w:r>
    </w:p>
    <w:p>
      <w:pPr>
        <w:pStyle w:val="null3"/>
      </w:pPr>
      <w:r>
        <w:rPr>
          <w:rFonts w:ascii="仿宋_GB2312" w:hAnsi="仿宋_GB2312" w:cs="仿宋_GB2312" w:eastAsia="仿宋_GB2312"/>
        </w:rPr>
        <w:t>9、供应商企业资质：供应商须具备省级及以上建设行政主管部门颁发的建筑工程施工总承包三级（含三级）以上或建筑装修装饰专业承包二级（含二级）以上资质，以及合法有效的安全生产许可证；</w:t>
      </w:r>
    </w:p>
    <w:p>
      <w:pPr>
        <w:pStyle w:val="null3"/>
      </w:pPr>
      <w:r>
        <w:rPr>
          <w:rFonts w:ascii="仿宋_GB2312" w:hAnsi="仿宋_GB2312" w:cs="仿宋_GB2312" w:eastAsia="仿宋_GB2312"/>
        </w:rPr>
        <w:t>10、拟派项目经理资格：拟委派项目经理具备建筑工程专业，国家注册建造师二级（含二级）以上执业资格及安全生产考核B证，且在有效期内，近期未担任其他在建项目的项目经理提供无在建承诺函；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铜川市保障性住房管理中心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铜川市朝阳路6号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张浩楠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0919-2320188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采购包1：3,082,676.00元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铜川市保障性住房管理中心</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铜川市保障性住房管理中心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铜川市保障性住房管理中心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2、供应商将在采购项目实施过程中采用自有或者第三方知识成果的，采购项目涉及采购标的的知识产权相关事宜由采购人结合项目实际自主确认或协商约定，具体如下： 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按照双方最终签订的合同执行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地址：陕西省铜川市新区朝阳路鸿翔逸境1号楼商业区1-4层3楼304室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3,082,676.00</w:t>
      </w:r>
    </w:p>
    <w:p>
      <w:pPr>
        <w:pStyle w:val="null3"/>
      </w:pPr>
      <w:r>
        <w:rPr>
          <w:rFonts w:ascii="仿宋_GB2312" w:hAnsi="仿宋_GB2312" w:cs="仿宋_GB2312" w:eastAsia="仿宋_GB2312"/>
        </w:rPr>
        <w:t>采购包最高限价（元）: 3,082,676.00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铜川市锦绣园1-4号楼装修工程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3,082,676.00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标的名称：铜川市锦绣园1-4号楼装修工程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 xml:space="preserve">       锦绣园小区</w:t>
            </w:r>
            <w:r>
              <w:rPr>
                <w:rFonts w:ascii="仿宋_GB2312" w:hAnsi="仿宋_GB2312" w:cs="仿宋_GB2312" w:eastAsia="仿宋_GB2312"/>
                <w:sz w:val="24"/>
              </w:rPr>
              <w:t>1-4#楼1-9层，54套空置公租房进行装修，总建筑面积为4603.32㎡。户型分南北两区,户型A(18户)每户80.56㎡（建筑面积为1450.08㎡）；户型B(18户)每户87.59㎡（建筑面积为1576.62㎡）；户型C(18户）每户87.59㎡（建筑面积为1576.62㎡）。建设内容包括原有空间划分、墙面和地面的装修、电气系统和给排水系统的改造、防水升级等。</w:t>
            </w:r>
          </w:p>
          <w:p>
            <w:pPr>
              <w:pStyle w:val="null3"/>
              <w:jc w:val="both"/>
            </w:pPr>
            <w:r>
              <w:rPr>
                <w:rFonts w:ascii="仿宋_GB2312" w:hAnsi="仿宋_GB2312" w:cs="仿宋_GB2312" w:eastAsia="仿宋_GB2312"/>
                <w:sz w:val="24"/>
              </w:rPr>
              <w:t>二、实施要求</w:t>
            </w:r>
          </w:p>
          <w:p>
            <w:pPr>
              <w:pStyle w:val="null3"/>
              <w:jc w:val="both"/>
            </w:pPr>
            <w:r>
              <w:rPr>
                <w:rFonts w:ascii="仿宋_GB2312" w:hAnsi="仿宋_GB2312" w:cs="仿宋_GB2312" w:eastAsia="仿宋_GB2312"/>
                <w:sz w:val="24"/>
              </w:rPr>
              <w:t xml:space="preserve">      工程质量：合格。</w:t>
            </w:r>
          </w:p>
          <w:p>
            <w:pPr>
              <w:pStyle w:val="null3"/>
              <w:jc w:val="both"/>
            </w:pPr>
            <w:r>
              <w:rPr>
                <w:rFonts w:ascii="仿宋_GB2312" w:hAnsi="仿宋_GB2312" w:cs="仿宋_GB2312" w:eastAsia="仿宋_GB2312"/>
                <w:sz w:val="24"/>
              </w:rPr>
              <w:t xml:space="preserve">      安全文明：严格按照安全文明施工标准进行管理，全封闭施工，严格执行施工规范、安全操作规程、防火安全规定、环境保护规定。</w:t>
            </w:r>
          </w:p>
          <w:p>
            <w:pPr>
              <w:pStyle w:val="null3"/>
              <w:jc w:val="both"/>
            </w:pPr>
            <w:r>
              <w:rPr>
                <w:rFonts w:ascii="仿宋_GB2312" w:hAnsi="仿宋_GB2312" w:cs="仿宋_GB2312" w:eastAsia="仿宋_GB2312"/>
                <w:sz w:val="24"/>
              </w:rPr>
              <w:t>三、质保期</w:t>
            </w:r>
          </w:p>
          <w:p>
            <w:pPr>
              <w:pStyle w:val="null3"/>
              <w:jc w:val="both"/>
            </w:pPr>
            <w:r>
              <w:rPr>
                <w:rFonts w:ascii="仿宋_GB2312" w:hAnsi="仿宋_GB2312" w:cs="仿宋_GB2312" w:eastAsia="仿宋_GB2312"/>
                <w:sz w:val="24"/>
              </w:rPr>
              <w:t xml:space="preserve">       防水工程质保期为验收合格后5年，其他工程质保期为验收合格后</w:t>
            </w:r>
            <w:r>
              <w:rPr>
                <w:rFonts w:ascii="仿宋_GB2312" w:hAnsi="仿宋_GB2312" w:cs="仿宋_GB2312" w:eastAsia="仿宋_GB2312"/>
                <w:sz w:val="24"/>
              </w:rPr>
              <w:t>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竞争性磋商响应文件，同时，于开标前线下提交生成带电子签章的竞争性磋商响应文件纸质版至陕西省铜川市新区朝阳路鸿翔逸境1号楼商业区1-4层3楼304室3楼304室，响应文件正本一份，副本一份。竞争性磋商响应文件纸质版正本、副本一同密封，且在封袋正面标明“竞争性磋商响应文件纸质版”字样。封袋应加贴封条，并在封线处加盖供应商公章，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文件提交截止日前3个月内银行出具的资信证明，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 或事业单位法人证书等国家规定的相关证明，自然人参与的提供其身份证明。供应 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 参加投标的，须出具法定代表人授权书及授权代表身份证；</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提供（1）或提供（2）：（1）提供2023年度至2025年度任意一年财务报告复印件，应满足以下要求 ：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 ② 供应商适用《事业单位会计准 则》的，财务报告是指上述指定年度整个会计年度财务报表（不要求必须是经审计 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 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 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 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供应商企业资质</w:t>
            </w:r>
          </w:p>
        </w:tc>
        <w:tc>
          <w:tcPr>
            <w:tcW w:type="dxa" w:w="3322"/>
          </w:tcPr>
          <w:p>
            <w:pPr>
              <w:pStyle w:val="null3"/>
            </w:pPr>
            <w:r>
              <w:rPr>
                <w:rFonts w:ascii="仿宋_GB2312" w:hAnsi="仿宋_GB2312" w:cs="仿宋_GB2312" w:eastAsia="仿宋_GB2312"/>
              </w:rPr>
              <w:t>供应商须具备省级及以上建设行政主管部门颁发的建筑工程施工总承包三级（含三级）以上或建筑装修装饰专业承包二级（含二级）以上资质，以及合法有效的安全生产许可证；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拟委派项目经理具备建筑工程专业，国家注册建造师二级（含二级）以上执业资格及安全生产考核B证，且在有效期内，近期未担任其他在建项目的项目经理提供无在建承诺函；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完全满足磋商文件文件格式要求签字盖章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响应文件封面 法定代表人身份证明书.docx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响应有效期满足磋商文件要求</w:t>
            </w:r>
          </w:p>
        </w:tc>
        <w:tc>
          <w:tcPr>
            <w:tcW w:type="dxa" w:w="3322"/>
          </w:tcPr>
          <w:p>
            <w:pPr>
              <w:pStyle w:val="null3"/>
            </w:pPr>
            <w:r>
              <w:rPr>
                <w:rFonts w:ascii="仿宋_GB2312" w:hAnsi="仿宋_GB2312" w:cs="仿宋_GB2312" w:eastAsia="仿宋_GB2312"/>
              </w:rPr>
              <w:t>响应有效期满足磋商文件要求（合格），响应有效期不满足磋商文件要求（不合格）。</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供应商提供自2022年1月1日至本项目响应文件递交截止时间前已承接的类似业绩证明材料，每提供1项的得2.5分，最多得5分。未提供的不得分。 评审依据：类似业绩证明材料指建筑装修装饰工程的业绩证明材料，或其他工程施工中包含建筑装修装饰工程施工内容的业绩证明材料，提供施工合同证明材料复印件，时间以合同体现时间为准。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一、评审内容：供应商针对本项目提供确保工程质量的技术组织措施。二、评审标准 1、完整性：须全面，对评审项有详细描述及说明； 2、合理性：切合本项目实际情况，实施步骤清晰、合理； 3、针对性：能够紧扣项目实际情况，内容科学合理。 三、赋分标准 技术方案内容完全满足评审标准得8分； 技术方案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一、评审内容：供应商针对本项目提供确保安全生产的技术组织措施。二、评审标准 1、完整性：须全面，对评审项有详细描述及说明； 2、合理性：切合本项目实际情况，实施步骤清晰、合理； 3、针对性：能够紧扣项目实际情况，内容科学合理。 三、赋分标准 技术方案内容完全满足评审标准得8分； 技术方案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一、评审内容：供应商针对本项目提供确保工期的技术组织措施。二、评审标准 1、完整性：须全面，对评审项有详细描述及说明； 2、合理性：切合本项目实际情况，实施步骤清晰、合理； 3、针对性：能够紧扣项目实际情况，内容科学合理。 三、赋分标准 技术方案内容完全满足评审标准得8分； 技术方案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一、评审内容：供应商针对本项目提供确保文明施工的技术组织措施及环境保护措施。二、评审标准 1、完整性：须全面，对评审项有详细描述及说明； 2、合理性：切合本项目实际情况，实施步骤清晰、合理； 3、针对性：能够紧扣项目实际情况，内容科学合理。 三、赋分标准 技术方案内容完全满足评审标准得8分； 技术方案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施工方案及工艺</w:t>
            </w:r>
          </w:p>
        </w:tc>
        <w:tc>
          <w:tcPr>
            <w:tcW w:type="dxa" w:w="2492"/>
          </w:tcPr>
          <w:p>
            <w:pPr>
              <w:pStyle w:val="null3"/>
            </w:pPr>
            <w:r>
              <w:rPr>
                <w:rFonts w:ascii="仿宋_GB2312" w:hAnsi="仿宋_GB2312" w:cs="仿宋_GB2312" w:eastAsia="仿宋_GB2312"/>
              </w:rPr>
              <w:t>一、评审内容：供应商针对本项目提供施工方案及工艺。二、评审标准 1、完整性：须全面，对评审项有详细描述及说明； 2、合理性：切合本项目实际情况，实施步骤清晰、合理； 3、针对性：能够紧扣项目实际情况，内容科学合理。 三、赋分标准 技术方案内容完全满足评审标准得15分； 技术方案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一、评审内容：供应商针对本项目提供施工机械配备和材料投入计划。二、评审标准 1、完整性：须全面，对评审项有详细描述及说明； 2、合理性：切合本项目实际情况，实施步骤清晰、合理； 3、针对性：能够紧扣项目实际情况，内容科学合理。 三、赋分标准 技术方案内容完全满足评审标准得6分； 技术方案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一、评审内容：供应商针对本项目提供劳动力安排计划。二、评审标准 1、完整性：须全面，对评审项有详细描述及说明； 2、合理性：切合本项目实际情况，实施步骤清晰、合理； 3、针对性：能够紧扣项目实际情况，内容科学合理。 三、赋分标准 技术方案内容完全满足评审标准得6分； 技术方案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施工进度表或施工网络图、施工总平面布置图</w:t>
            </w:r>
          </w:p>
        </w:tc>
        <w:tc>
          <w:tcPr>
            <w:tcW w:type="dxa" w:w="2492"/>
          </w:tcPr>
          <w:p>
            <w:pPr>
              <w:pStyle w:val="null3"/>
            </w:pPr>
            <w:r>
              <w:rPr>
                <w:rFonts w:ascii="仿宋_GB2312" w:hAnsi="仿宋_GB2312" w:cs="仿宋_GB2312" w:eastAsia="仿宋_GB2312"/>
              </w:rPr>
              <w:t>一、评审内容：供应商针对本项目提供施工进度表或施工网络图、施工总平面布置图。二、评审标准 1、完整性：须全面，对评审项有详细描述及说明； 2、合理性：切合本项目实际情况，实施步骤清晰、合理； 3、针对性：能够紧扣项目实际情况，内容科学合理。 三、赋分标准 技术方案内容完全满足评审标准得6分； 技术方案内容每有一处缺陷扣0.5分，扣完为止，不计负分；其他或未提供得0分。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