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56E71">
      <w:pPr>
        <w:spacing w:line="460" w:lineRule="exact"/>
        <w:ind w:right="-197" w:rightChars="-94"/>
        <w:jc w:val="center"/>
        <w:rPr>
          <w:rFonts w:hint="eastAsia" w:ascii="宋体" w:hAnsi="宋体" w:eastAsia="宋体" w:cs="宋体"/>
          <w:b/>
          <w:color w:val="auto"/>
          <w:sz w:val="22"/>
          <w:szCs w:val="22"/>
          <w:highlight w:val="none"/>
          <w:lang w:eastAsia="zh-CN"/>
        </w:rPr>
      </w:pPr>
      <w:r>
        <w:rPr>
          <w:rFonts w:hint="eastAsia" w:ascii="宋体" w:hAnsi="宋体" w:eastAsia="宋体" w:cs="宋体"/>
          <w:b/>
          <w:color w:val="auto"/>
          <w:sz w:val="21"/>
          <w:szCs w:val="21"/>
          <w:highlight w:val="none"/>
          <w:lang w:eastAsia="zh-CN"/>
        </w:rPr>
        <w:t>（此模板</w:t>
      </w:r>
      <w:r>
        <w:rPr>
          <w:rFonts w:hint="eastAsia" w:ascii="宋体" w:hAnsi="宋体" w:eastAsia="宋体" w:cs="宋体"/>
          <w:b/>
          <w:color w:val="auto"/>
          <w:sz w:val="21"/>
          <w:szCs w:val="21"/>
          <w:highlight w:val="none"/>
        </w:rPr>
        <w:t>供参考</w:t>
      </w:r>
      <w:r>
        <w:rPr>
          <w:rFonts w:hint="eastAsia" w:ascii="宋体" w:hAnsi="宋体" w:eastAsia="宋体" w:cs="宋体"/>
          <w:b/>
          <w:color w:val="auto"/>
          <w:sz w:val="21"/>
          <w:szCs w:val="21"/>
          <w:highlight w:val="none"/>
          <w:lang w:eastAsia="zh-CN"/>
        </w:rPr>
        <w:t>，使用过程中请结合项目特点，充实细化。最终稿</w:t>
      </w:r>
      <w:r>
        <w:rPr>
          <w:rFonts w:hint="eastAsia" w:ascii="宋体" w:hAnsi="宋体" w:eastAsia="宋体" w:cs="宋体"/>
          <w:b/>
          <w:color w:val="auto"/>
          <w:sz w:val="21"/>
          <w:szCs w:val="21"/>
          <w:highlight w:val="none"/>
          <w:lang w:val="en-US" w:eastAsia="zh-CN"/>
        </w:rPr>
        <w:t>以甲乙双方实际签订为准</w:t>
      </w:r>
      <w:r>
        <w:rPr>
          <w:rFonts w:hint="eastAsia" w:ascii="宋体" w:hAnsi="宋体" w:eastAsia="宋体" w:cs="宋体"/>
          <w:b/>
          <w:color w:val="auto"/>
          <w:sz w:val="21"/>
          <w:szCs w:val="21"/>
          <w:highlight w:val="none"/>
          <w:lang w:eastAsia="zh-CN"/>
        </w:rPr>
        <w:t>）</w:t>
      </w:r>
    </w:p>
    <w:p w14:paraId="1B46A6CA">
      <w:pPr>
        <w:jc w:val="center"/>
        <w:rPr>
          <w:rFonts w:hint="eastAsia" w:ascii="宋体" w:hAnsi="宋体" w:eastAsia="宋体" w:cs="宋体"/>
          <w:b/>
          <w:color w:val="auto"/>
          <w:sz w:val="32"/>
          <w:szCs w:val="32"/>
          <w:highlight w:val="none"/>
        </w:rPr>
      </w:pPr>
    </w:p>
    <w:p w14:paraId="30D14CF2">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1D51E01A">
      <w:pPr>
        <w:rPr>
          <w:rFonts w:hint="eastAsia" w:ascii="宋体" w:hAnsi="宋体" w:eastAsia="宋体" w:cs="宋体"/>
          <w:b/>
          <w:color w:val="auto"/>
          <w:sz w:val="32"/>
          <w:szCs w:val="32"/>
          <w:highlight w:val="none"/>
        </w:rPr>
      </w:pPr>
    </w:p>
    <w:p w14:paraId="48009346">
      <w:pPr>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42AD6A11">
      <w:pPr>
        <w:ind w:firstLine="964"/>
        <w:jc w:val="center"/>
        <w:rPr>
          <w:rFonts w:hint="eastAsia" w:ascii="宋体" w:hAnsi="宋体" w:eastAsia="宋体" w:cs="宋体"/>
          <w:b/>
          <w:snapToGrid w:val="0"/>
          <w:color w:val="auto"/>
          <w:sz w:val="48"/>
          <w:szCs w:val="48"/>
          <w:highlight w:val="none"/>
        </w:rPr>
      </w:pPr>
    </w:p>
    <w:p w14:paraId="03BF4AD3">
      <w:pPr>
        <w:ind w:firstLine="3566" w:firstLineChars="1184"/>
        <w:rPr>
          <w:rFonts w:hint="eastAsia" w:ascii="宋体" w:hAnsi="宋体" w:eastAsia="宋体" w:cs="宋体"/>
          <w:b/>
          <w:snapToGrid w:val="0"/>
          <w:color w:val="auto"/>
          <w:sz w:val="30"/>
          <w:szCs w:val="30"/>
          <w:highlight w:val="none"/>
          <w:u w:val="single"/>
        </w:rPr>
      </w:pPr>
      <w:r>
        <w:rPr>
          <w:rFonts w:hint="eastAsia" w:ascii="宋体" w:hAnsi="宋体" w:eastAsia="宋体" w:cs="宋体"/>
          <w:b/>
          <w:snapToGrid w:val="0"/>
          <w:color w:val="auto"/>
          <w:sz w:val="30"/>
          <w:szCs w:val="30"/>
          <w:highlight w:val="none"/>
          <w:u w:val="single"/>
        </w:rPr>
        <w:t>（项目名称）</w:t>
      </w:r>
    </w:p>
    <w:p w14:paraId="5DE55571">
      <w:pPr>
        <w:ind w:firstLine="3566" w:firstLineChars="1184"/>
        <w:rPr>
          <w:rFonts w:hint="eastAsia" w:ascii="宋体" w:hAnsi="宋体" w:eastAsia="宋体" w:cs="宋体"/>
          <w:b/>
          <w:snapToGrid w:val="0"/>
          <w:color w:val="auto"/>
          <w:sz w:val="30"/>
          <w:szCs w:val="30"/>
          <w:highlight w:val="none"/>
          <w:u w:val="single"/>
          <w:lang w:val="en-US" w:eastAsia="zh-CN"/>
        </w:rPr>
      </w:pPr>
      <w:r>
        <w:rPr>
          <w:rFonts w:hint="eastAsia" w:ascii="宋体" w:hAnsi="宋体" w:eastAsia="宋体" w:cs="宋体"/>
          <w:b/>
          <w:snapToGrid w:val="0"/>
          <w:color w:val="auto"/>
          <w:sz w:val="30"/>
          <w:szCs w:val="30"/>
          <w:highlight w:val="none"/>
          <w:u w:val="single"/>
          <w:lang w:val="en-US" w:eastAsia="zh-CN"/>
        </w:rPr>
        <w:t>（包号）</w:t>
      </w:r>
    </w:p>
    <w:p w14:paraId="2ECB9CE0">
      <w:pPr>
        <w:pStyle w:val="12"/>
        <w:rPr>
          <w:rFonts w:hint="eastAsia" w:ascii="宋体" w:hAnsi="宋体" w:eastAsia="宋体" w:cs="宋体"/>
          <w:b/>
          <w:snapToGrid w:val="0"/>
          <w:color w:val="auto"/>
          <w:sz w:val="48"/>
          <w:szCs w:val="48"/>
          <w:highlight w:val="none"/>
        </w:rPr>
      </w:pPr>
    </w:p>
    <w:p w14:paraId="25AFFDE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 同</w:t>
      </w:r>
    </w:p>
    <w:p w14:paraId="695B8663">
      <w:pPr>
        <w:ind w:firstLine="600"/>
        <w:jc w:val="center"/>
        <w:rPr>
          <w:rFonts w:hint="eastAsia" w:ascii="宋体" w:hAnsi="宋体" w:eastAsia="宋体" w:cs="宋体"/>
          <w:color w:val="auto"/>
          <w:sz w:val="30"/>
          <w:szCs w:val="30"/>
          <w:highlight w:val="none"/>
        </w:rPr>
      </w:pPr>
    </w:p>
    <w:p w14:paraId="57769204">
      <w:pPr>
        <w:pStyle w:val="4"/>
        <w:rPr>
          <w:rFonts w:hint="eastAsia" w:ascii="宋体" w:hAnsi="宋体" w:eastAsia="宋体" w:cs="宋体"/>
          <w:color w:val="auto"/>
          <w:sz w:val="30"/>
          <w:szCs w:val="30"/>
          <w:highlight w:val="none"/>
        </w:rPr>
      </w:pPr>
    </w:p>
    <w:p w14:paraId="08F0AC84">
      <w:pPr>
        <w:pStyle w:val="4"/>
        <w:rPr>
          <w:rFonts w:hint="eastAsia" w:ascii="宋体" w:hAnsi="宋体" w:eastAsia="宋体" w:cs="宋体"/>
          <w:color w:val="auto"/>
          <w:sz w:val="30"/>
          <w:szCs w:val="30"/>
          <w:highlight w:val="none"/>
        </w:rPr>
      </w:pPr>
    </w:p>
    <w:p w14:paraId="2463C517">
      <w:pPr>
        <w:pStyle w:val="4"/>
        <w:rPr>
          <w:rFonts w:hint="eastAsia" w:ascii="宋体" w:hAnsi="宋体" w:eastAsia="宋体" w:cs="宋体"/>
          <w:color w:val="auto"/>
          <w:sz w:val="30"/>
          <w:szCs w:val="30"/>
          <w:highlight w:val="none"/>
        </w:rPr>
      </w:pPr>
    </w:p>
    <w:p w14:paraId="13A5E5D0">
      <w:pPr>
        <w:pStyle w:val="4"/>
        <w:rPr>
          <w:rFonts w:hint="eastAsia" w:ascii="宋体" w:hAnsi="宋体" w:eastAsia="宋体" w:cs="宋体"/>
          <w:color w:val="auto"/>
          <w:sz w:val="30"/>
          <w:szCs w:val="30"/>
          <w:highlight w:val="none"/>
        </w:rPr>
      </w:pPr>
    </w:p>
    <w:p w14:paraId="013CBD3A">
      <w:pPr>
        <w:pStyle w:val="4"/>
        <w:rPr>
          <w:rFonts w:hint="eastAsia" w:ascii="宋体" w:hAnsi="宋体" w:eastAsia="宋体" w:cs="宋体"/>
          <w:color w:val="auto"/>
          <w:sz w:val="30"/>
          <w:szCs w:val="30"/>
          <w:highlight w:val="none"/>
        </w:rPr>
      </w:pPr>
    </w:p>
    <w:p w14:paraId="6AB51D65">
      <w:pPr>
        <w:pStyle w:val="4"/>
        <w:rPr>
          <w:rFonts w:hint="eastAsia" w:ascii="宋体" w:hAnsi="宋体" w:eastAsia="宋体" w:cs="宋体"/>
          <w:color w:val="auto"/>
          <w:sz w:val="30"/>
          <w:szCs w:val="30"/>
          <w:highlight w:val="none"/>
        </w:rPr>
      </w:pPr>
    </w:p>
    <w:p w14:paraId="64AA496B">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33F9F926">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38BD4F4D">
      <w:pPr>
        <w:jc w:val="center"/>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 xml:space="preserve">年  </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月</w:t>
      </w:r>
      <w:r>
        <w:rPr>
          <w:rFonts w:hint="eastAsia" w:ascii="宋体" w:hAnsi="宋体" w:eastAsia="宋体" w:cs="宋体"/>
          <w:color w:val="auto"/>
          <w:sz w:val="32"/>
          <w:szCs w:val="32"/>
          <w:highlight w:val="none"/>
          <w:lang w:val="en-US" w:eastAsia="zh-CN"/>
        </w:rPr>
        <w:t xml:space="preserve">    日</w:t>
      </w:r>
    </w:p>
    <w:p w14:paraId="0E9DB22F">
      <w:pPr>
        <w:widowControl/>
        <w:jc w:val="center"/>
        <w:rPr>
          <w:rFonts w:hint="eastAsia" w:ascii="宋体" w:hAnsi="宋体" w:eastAsia="宋体" w:cs="宋体"/>
          <w:bCs/>
          <w:color w:val="auto"/>
          <w:kern w:val="0"/>
          <w:sz w:val="24"/>
          <w:szCs w:val="24"/>
          <w:highlight w:val="none"/>
        </w:rPr>
      </w:pPr>
    </w:p>
    <w:p w14:paraId="0E431206">
      <w:pPr>
        <w:pStyle w:val="3"/>
        <w:rPr>
          <w:rFonts w:hint="eastAsia" w:ascii="宋体" w:hAnsi="宋体" w:eastAsia="宋体" w:cs="宋体"/>
          <w:bCs/>
          <w:color w:val="auto"/>
          <w:kern w:val="0"/>
          <w:sz w:val="24"/>
          <w:szCs w:val="24"/>
          <w:highlight w:val="none"/>
        </w:rPr>
      </w:pPr>
    </w:p>
    <w:p w14:paraId="48D868EC">
      <w:pPr>
        <w:rPr>
          <w:rFonts w:hint="eastAsia" w:ascii="宋体" w:hAnsi="宋体" w:eastAsia="宋体" w:cs="宋体"/>
          <w:bCs/>
          <w:color w:val="auto"/>
          <w:kern w:val="0"/>
          <w:sz w:val="24"/>
          <w:szCs w:val="24"/>
          <w:highlight w:val="none"/>
        </w:rPr>
      </w:pPr>
    </w:p>
    <w:p w14:paraId="56208EED">
      <w:pPr>
        <w:pStyle w:val="3"/>
        <w:rPr>
          <w:rFonts w:hint="eastAsia" w:ascii="宋体" w:hAnsi="宋体" w:eastAsia="宋体" w:cs="宋体"/>
          <w:bCs/>
          <w:color w:val="auto"/>
          <w:kern w:val="0"/>
          <w:sz w:val="24"/>
          <w:szCs w:val="24"/>
          <w:highlight w:val="none"/>
        </w:rPr>
      </w:pPr>
    </w:p>
    <w:p w14:paraId="29CE055E">
      <w:pPr>
        <w:tabs>
          <w:tab w:val="left" w:pos="735"/>
        </w:tabs>
        <w:autoSpaceDE w:val="0"/>
        <w:autoSpaceDN w:val="0"/>
        <w:adjustRightInd w:val="0"/>
        <w:snapToGrid w:val="0"/>
        <w:spacing w:before="843" w:beforeLines="100" w:line="360" w:lineRule="auto"/>
        <w:jc w:val="center"/>
        <w:rPr>
          <w:rFonts w:hint="eastAsia" w:ascii="仿宋" w:hAnsi="仿宋" w:eastAsia="仿宋" w:cs="仿宋"/>
          <w:b/>
          <w:sz w:val="28"/>
          <w:szCs w:val="28"/>
          <w:highlight w:val="none"/>
        </w:rPr>
        <w:sectPr>
          <w:headerReference r:id="rId3" w:type="default"/>
          <w:pgSz w:w="11906" w:h="16838"/>
          <w:pgMar w:top="1440" w:right="1800" w:bottom="1440" w:left="1800" w:header="851" w:footer="992" w:gutter="0"/>
          <w:cols w:space="720" w:num="1"/>
          <w:docGrid w:type="lines" w:linePitch="312" w:charSpace="0"/>
        </w:sectPr>
      </w:pPr>
    </w:p>
    <w:p w14:paraId="75ED75A3">
      <w:pPr>
        <w:tabs>
          <w:tab w:val="left" w:pos="735"/>
        </w:tabs>
        <w:autoSpaceDE w:val="0"/>
        <w:autoSpaceDN w:val="0"/>
        <w:adjustRightInd w:val="0"/>
        <w:snapToGrid w:val="0"/>
        <w:spacing w:before="843" w:beforeLines="10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拟签订的合同文本</w:t>
      </w:r>
    </w:p>
    <w:p w14:paraId="5D5E20EB">
      <w:pPr>
        <w:tabs>
          <w:tab w:val="left" w:pos="735"/>
        </w:tabs>
        <w:autoSpaceDE w:val="0"/>
        <w:autoSpaceDN w:val="0"/>
        <w:adjustRightInd w:val="0"/>
        <w:snapToGrid w:val="0"/>
        <w:spacing w:before="843" w:beforeLines="100" w:line="360" w:lineRule="auto"/>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甲方：</w:t>
      </w:r>
      <w:r>
        <w:rPr>
          <w:rFonts w:hint="eastAsia" w:ascii="仿宋" w:hAnsi="仿宋" w:eastAsia="仿宋" w:cs="仿宋"/>
          <w:bCs/>
          <w:sz w:val="28"/>
          <w:szCs w:val="28"/>
          <w:highlight w:val="none"/>
          <w:lang w:val="zh-CN"/>
        </w:rPr>
        <w:t>（前款所称采购人）     住所：</w:t>
      </w:r>
    </w:p>
    <w:p w14:paraId="112706B0">
      <w:pPr>
        <w:tabs>
          <w:tab w:val="left" w:pos="735"/>
        </w:tabs>
        <w:autoSpaceDE w:val="0"/>
        <w:autoSpaceDN w:val="0"/>
        <w:adjustRightInd w:val="0"/>
        <w:snapToGrid w:val="0"/>
        <w:spacing w:line="360" w:lineRule="auto"/>
        <w:rPr>
          <w:rFonts w:hint="eastAsia" w:ascii="仿宋" w:hAnsi="仿宋" w:eastAsia="仿宋" w:cs="仿宋"/>
          <w:bCs/>
          <w:sz w:val="28"/>
          <w:szCs w:val="28"/>
          <w:highlight w:val="none"/>
          <w:lang w:val="zh-CN"/>
        </w:rPr>
      </w:pPr>
      <w:r>
        <w:rPr>
          <w:rFonts w:hint="eastAsia" w:ascii="仿宋" w:hAnsi="仿宋" w:eastAsia="仿宋" w:cs="仿宋"/>
          <w:b/>
          <w:bCs/>
          <w:sz w:val="28"/>
          <w:szCs w:val="28"/>
          <w:highlight w:val="none"/>
          <w:lang w:val="zh-CN"/>
        </w:rPr>
        <w:t>乙方：</w:t>
      </w:r>
      <w:r>
        <w:rPr>
          <w:rFonts w:hint="eastAsia" w:ascii="仿宋" w:hAnsi="仿宋" w:eastAsia="仿宋" w:cs="仿宋"/>
          <w:bCs/>
          <w:sz w:val="28"/>
          <w:szCs w:val="28"/>
          <w:highlight w:val="none"/>
          <w:lang w:val="zh-CN"/>
        </w:rPr>
        <w:t>（前款所称中标人）     住所：</w:t>
      </w:r>
    </w:p>
    <w:p w14:paraId="50421D4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一、</w:t>
      </w:r>
      <w:r>
        <w:rPr>
          <w:rFonts w:hint="eastAsia" w:ascii="仿宋" w:hAnsi="仿宋" w:eastAsia="仿宋" w:cs="仿宋"/>
          <w:b/>
          <w:bCs/>
          <w:sz w:val="24"/>
          <w:szCs w:val="24"/>
          <w:highlight w:val="none"/>
          <w:lang w:val="en-US" w:eastAsia="zh-CN"/>
        </w:rPr>
        <w:t>合同内容</w:t>
      </w:r>
      <w:r>
        <w:rPr>
          <w:rFonts w:hint="eastAsia" w:ascii="仿宋" w:hAnsi="仿宋" w:eastAsia="仿宋" w:cs="仿宋"/>
          <w:sz w:val="24"/>
          <w:szCs w:val="24"/>
          <w:highlight w:val="none"/>
          <w:lang w:eastAsia="zh-CN"/>
        </w:rPr>
        <w:t>（标的、数量、质量等）</w:t>
      </w:r>
    </w:p>
    <w:p w14:paraId="6771F9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合同内容（标的、数量、质量等）</w:t>
      </w:r>
    </w:p>
    <w:tbl>
      <w:tblPr>
        <w:tblStyle w:val="6"/>
        <w:tblpPr w:leftFromText="180" w:rightFromText="180" w:vertAnchor="text" w:horzAnchor="page" w:tblpXSpec="center" w:tblpY="455"/>
        <w:tblOverlap w:val="never"/>
        <w:tblW w:w="8855" w:type="dxa"/>
        <w:jc w:val="center"/>
        <w:tblLayout w:type="fixed"/>
        <w:tblCellMar>
          <w:top w:w="0" w:type="dxa"/>
          <w:left w:w="108" w:type="dxa"/>
          <w:bottom w:w="0" w:type="dxa"/>
          <w:right w:w="108" w:type="dxa"/>
        </w:tblCellMar>
      </w:tblPr>
      <w:tblGrid>
        <w:gridCol w:w="1063"/>
        <w:gridCol w:w="1729"/>
        <w:gridCol w:w="1118"/>
        <w:gridCol w:w="959"/>
        <w:gridCol w:w="959"/>
        <w:gridCol w:w="960"/>
        <w:gridCol w:w="953"/>
        <w:gridCol w:w="1114"/>
      </w:tblGrid>
      <w:tr w14:paraId="6189D08E">
        <w:tblPrEx>
          <w:tblCellMar>
            <w:top w:w="0" w:type="dxa"/>
            <w:left w:w="108" w:type="dxa"/>
            <w:bottom w:w="0" w:type="dxa"/>
            <w:right w:w="108" w:type="dxa"/>
          </w:tblCellMar>
        </w:tblPrEx>
        <w:trPr>
          <w:trHeight w:val="655" w:hRule="atLeast"/>
          <w:jc w:val="center"/>
        </w:trPr>
        <w:tc>
          <w:tcPr>
            <w:tcW w:w="1063" w:type="dxa"/>
            <w:tcBorders>
              <w:top w:val="single" w:color="auto" w:sz="4" w:space="0"/>
              <w:left w:val="single" w:color="auto" w:sz="4" w:space="0"/>
              <w:bottom w:val="single" w:color="auto" w:sz="4" w:space="0"/>
              <w:right w:val="single" w:color="auto" w:sz="4" w:space="0"/>
            </w:tcBorders>
            <w:noWrap w:val="0"/>
            <w:vAlign w:val="center"/>
          </w:tcPr>
          <w:p w14:paraId="780DE732">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729" w:type="dxa"/>
            <w:tcBorders>
              <w:top w:val="single" w:color="auto" w:sz="4" w:space="0"/>
              <w:left w:val="nil"/>
              <w:bottom w:val="single" w:color="auto" w:sz="4" w:space="0"/>
              <w:right w:val="single" w:color="auto" w:sz="4" w:space="0"/>
            </w:tcBorders>
            <w:noWrap w:val="0"/>
            <w:vAlign w:val="center"/>
          </w:tcPr>
          <w:p w14:paraId="774518A8">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货物</w:t>
            </w:r>
            <w:r>
              <w:rPr>
                <w:rFonts w:hint="eastAsia" w:ascii="宋体" w:hAnsi="宋体" w:eastAsia="宋体" w:cs="宋体"/>
                <w:b/>
                <w:bCs/>
                <w:color w:val="auto"/>
                <w:sz w:val="24"/>
                <w:szCs w:val="24"/>
              </w:rPr>
              <w:t>名称</w:t>
            </w:r>
          </w:p>
        </w:tc>
        <w:tc>
          <w:tcPr>
            <w:tcW w:w="1118" w:type="dxa"/>
            <w:tcBorders>
              <w:top w:val="single" w:color="auto" w:sz="4" w:space="0"/>
              <w:left w:val="nil"/>
              <w:bottom w:val="single" w:color="auto" w:sz="4" w:space="0"/>
              <w:right w:val="single" w:color="auto" w:sz="4" w:space="0"/>
            </w:tcBorders>
            <w:noWrap w:val="0"/>
            <w:vAlign w:val="center"/>
          </w:tcPr>
          <w:p w14:paraId="6ED5362E">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型号</w:t>
            </w:r>
          </w:p>
        </w:tc>
        <w:tc>
          <w:tcPr>
            <w:tcW w:w="959" w:type="dxa"/>
            <w:tcBorders>
              <w:top w:val="single" w:color="auto" w:sz="4" w:space="0"/>
              <w:left w:val="nil"/>
              <w:bottom w:val="single" w:color="auto" w:sz="4" w:space="0"/>
              <w:right w:val="single" w:color="auto" w:sz="4" w:space="0"/>
            </w:tcBorders>
            <w:noWrap w:val="0"/>
            <w:vAlign w:val="center"/>
          </w:tcPr>
          <w:p w14:paraId="45810D72">
            <w:pPr>
              <w:snapToGrid w:val="0"/>
              <w:spacing w:after="0" w:line="360" w:lineRule="auto"/>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厂家</w:t>
            </w:r>
          </w:p>
        </w:tc>
        <w:tc>
          <w:tcPr>
            <w:tcW w:w="959" w:type="dxa"/>
            <w:tcBorders>
              <w:top w:val="single" w:color="auto" w:sz="4" w:space="0"/>
              <w:left w:val="nil"/>
              <w:bottom w:val="single" w:color="auto" w:sz="4" w:space="0"/>
              <w:right w:val="single" w:color="auto" w:sz="4" w:space="0"/>
            </w:tcBorders>
            <w:noWrap w:val="0"/>
            <w:vAlign w:val="center"/>
          </w:tcPr>
          <w:p w14:paraId="5F4400E4">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960" w:type="dxa"/>
            <w:tcBorders>
              <w:top w:val="single" w:color="auto" w:sz="4" w:space="0"/>
              <w:left w:val="nil"/>
              <w:bottom w:val="single" w:color="auto" w:sz="4" w:space="0"/>
              <w:right w:val="single" w:color="auto" w:sz="4" w:space="0"/>
            </w:tcBorders>
            <w:noWrap w:val="0"/>
            <w:vAlign w:val="center"/>
          </w:tcPr>
          <w:p w14:paraId="4A8FB85D">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w:t>
            </w:r>
          </w:p>
        </w:tc>
        <w:tc>
          <w:tcPr>
            <w:tcW w:w="953" w:type="dxa"/>
            <w:tcBorders>
              <w:top w:val="single" w:color="auto" w:sz="4" w:space="0"/>
              <w:left w:val="nil"/>
              <w:bottom w:val="single" w:color="auto" w:sz="4" w:space="0"/>
              <w:right w:val="single" w:color="auto" w:sz="4" w:space="0"/>
            </w:tcBorders>
            <w:noWrap w:val="0"/>
            <w:vAlign w:val="center"/>
          </w:tcPr>
          <w:p w14:paraId="28F486D7">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w:t>
            </w:r>
          </w:p>
        </w:tc>
        <w:tc>
          <w:tcPr>
            <w:tcW w:w="1114" w:type="dxa"/>
            <w:tcBorders>
              <w:top w:val="single" w:color="auto" w:sz="4" w:space="0"/>
              <w:left w:val="nil"/>
              <w:bottom w:val="single" w:color="auto" w:sz="4" w:space="0"/>
              <w:right w:val="single" w:color="auto" w:sz="4" w:space="0"/>
            </w:tcBorders>
            <w:noWrap w:val="0"/>
            <w:vAlign w:val="center"/>
          </w:tcPr>
          <w:p w14:paraId="487C551C">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14:paraId="47D510DA">
        <w:tblPrEx>
          <w:tblCellMar>
            <w:top w:w="0" w:type="dxa"/>
            <w:left w:w="108" w:type="dxa"/>
            <w:bottom w:w="0" w:type="dxa"/>
            <w:right w:w="108" w:type="dxa"/>
          </w:tblCellMar>
        </w:tblPrEx>
        <w:trPr>
          <w:trHeight w:val="655" w:hRule="atLeast"/>
          <w:jc w:val="center"/>
        </w:trPr>
        <w:tc>
          <w:tcPr>
            <w:tcW w:w="1063" w:type="dxa"/>
            <w:tcBorders>
              <w:top w:val="single" w:color="auto" w:sz="4" w:space="0"/>
              <w:left w:val="single" w:color="auto" w:sz="4" w:space="0"/>
              <w:bottom w:val="single" w:color="auto" w:sz="4" w:space="0"/>
              <w:right w:val="single" w:color="auto" w:sz="4" w:space="0"/>
            </w:tcBorders>
            <w:noWrap w:val="0"/>
            <w:vAlign w:val="center"/>
          </w:tcPr>
          <w:p w14:paraId="4682EB6F">
            <w:pPr>
              <w:snapToGrid w:val="0"/>
              <w:spacing w:after="0" w:line="360" w:lineRule="auto"/>
              <w:jc w:val="center"/>
              <w:rPr>
                <w:rFonts w:hint="eastAsia" w:ascii="宋体" w:hAnsi="宋体" w:eastAsia="宋体" w:cs="宋体"/>
                <w:color w:val="auto"/>
                <w:sz w:val="24"/>
                <w:szCs w:val="24"/>
              </w:rPr>
            </w:pPr>
          </w:p>
        </w:tc>
        <w:tc>
          <w:tcPr>
            <w:tcW w:w="1729" w:type="dxa"/>
            <w:tcBorders>
              <w:top w:val="single" w:color="auto" w:sz="4" w:space="0"/>
              <w:left w:val="nil"/>
              <w:bottom w:val="single" w:color="auto" w:sz="4" w:space="0"/>
              <w:right w:val="single" w:color="auto" w:sz="4" w:space="0"/>
            </w:tcBorders>
            <w:noWrap w:val="0"/>
            <w:vAlign w:val="center"/>
          </w:tcPr>
          <w:p w14:paraId="71EB2234">
            <w:pPr>
              <w:snapToGrid w:val="0"/>
              <w:spacing w:after="0" w:line="360" w:lineRule="auto"/>
              <w:ind w:firstLine="645"/>
              <w:jc w:val="left"/>
              <w:rPr>
                <w:rFonts w:hint="eastAsia" w:ascii="宋体" w:hAnsi="宋体" w:eastAsia="宋体" w:cs="宋体"/>
                <w:color w:val="auto"/>
                <w:sz w:val="24"/>
                <w:szCs w:val="24"/>
              </w:rPr>
            </w:pPr>
          </w:p>
        </w:tc>
        <w:tc>
          <w:tcPr>
            <w:tcW w:w="1118" w:type="dxa"/>
            <w:tcBorders>
              <w:top w:val="single" w:color="auto" w:sz="4" w:space="0"/>
              <w:left w:val="nil"/>
              <w:bottom w:val="single" w:color="auto" w:sz="4" w:space="0"/>
              <w:right w:val="single" w:color="auto" w:sz="4" w:space="0"/>
            </w:tcBorders>
            <w:noWrap w:val="0"/>
            <w:vAlign w:val="center"/>
          </w:tcPr>
          <w:p w14:paraId="106D3CA2">
            <w:pPr>
              <w:snapToGrid w:val="0"/>
              <w:spacing w:after="0" w:line="360" w:lineRule="auto"/>
              <w:ind w:firstLine="645"/>
              <w:jc w:val="left"/>
              <w:rPr>
                <w:rFonts w:hint="eastAsia" w:ascii="宋体" w:hAnsi="宋体" w:eastAsia="宋体" w:cs="宋体"/>
                <w:color w:val="auto"/>
                <w:sz w:val="24"/>
                <w:szCs w:val="24"/>
              </w:rPr>
            </w:pPr>
          </w:p>
        </w:tc>
        <w:tc>
          <w:tcPr>
            <w:tcW w:w="959" w:type="dxa"/>
            <w:tcBorders>
              <w:top w:val="single" w:color="auto" w:sz="4" w:space="0"/>
              <w:left w:val="nil"/>
              <w:bottom w:val="single" w:color="auto" w:sz="4" w:space="0"/>
              <w:right w:val="single" w:color="auto" w:sz="4" w:space="0"/>
            </w:tcBorders>
            <w:noWrap w:val="0"/>
            <w:vAlign w:val="center"/>
          </w:tcPr>
          <w:p w14:paraId="57DEABCF">
            <w:pPr>
              <w:snapToGrid w:val="0"/>
              <w:spacing w:after="0" w:line="360" w:lineRule="auto"/>
              <w:ind w:firstLine="645"/>
              <w:jc w:val="left"/>
              <w:rPr>
                <w:rFonts w:hint="eastAsia" w:ascii="宋体" w:hAnsi="宋体" w:eastAsia="宋体" w:cs="宋体"/>
                <w:color w:val="auto"/>
                <w:sz w:val="24"/>
                <w:szCs w:val="24"/>
              </w:rPr>
            </w:pPr>
          </w:p>
        </w:tc>
        <w:tc>
          <w:tcPr>
            <w:tcW w:w="959" w:type="dxa"/>
            <w:tcBorders>
              <w:top w:val="single" w:color="auto" w:sz="4" w:space="0"/>
              <w:left w:val="nil"/>
              <w:bottom w:val="single" w:color="auto" w:sz="4" w:space="0"/>
              <w:right w:val="single" w:color="auto" w:sz="4" w:space="0"/>
            </w:tcBorders>
            <w:noWrap w:val="0"/>
            <w:vAlign w:val="center"/>
          </w:tcPr>
          <w:p w14:paraId="4D3EB9D4">
            <w:pPr>
              <w:snapToGrid w:val="0"/>
              <w:spacing w:after="0" w:line="360" w:lineRule="auto"/>
              <w:ind w:firstLine="645"/>
              <w:jc w:val="left"/>
              <w:rPr>
                <w:rFonts w:hint="eastAsia" w:ascii="宋体" w:hAnsi="宋体" w:eastAsia="宋体" w:cs="宋体"/>
                <w:color w:val="auto"/>
                <w:sz w:val="24"/>
                <w:szCs w:val="24"/>
              </w:rPr>
            </w:pPr>
          </w:p>
        </w:tc>
        <w:tc>
          <w:tcPr>
            <w:tcW w:w="960" w:type="dxa"/>
            <w:tcBorders>
              <w:top w:val="single" w:color="auto" w:sz="4" w:space="0"/>
              <w:left w:val="nil"/>
              <w:bottom w:val="single" w:color="auto" w:sz="4" w:space="0"/>
              <w:right w:val="single" w:color="auto" w:sz="4" w:space="0"/>
            </w:tcBorders>
            <w:noWrap w:val="0"/>
            <w:vAlign w:val="center"/>
          </w:tcPr>
          <w:p w14:paraId="13ECF3EB">
            <w:pPr>
              <w:snapToGrid w:val="0"/>
              <w:spacing w:after="0" w:line="360" w:lineRule="auto"/>
              <w:ind w:firstLine="645"/>
              <w:jc w:val="left"/>
              <w:rPr>
                <w:rFonts w:hint="eastAsia" w:ascii="宋体" w:hAnsi="宋体" w:eastAsia="宋体" w:cs="宋体"/>
                <w:color w:val="auto"/>
                <w:sz w:val="24"/>
                <w:szCs w:val="24"/>
              </w:rPr>
            </w:pPr>
          </w:p>
        </w:tc>
        <w:tc>
          <w:tcPr>
            <w:tcW w:w="953" w:type="dxa"/>
            <w:tcBorders>
              <w:top w:val="single" w:color="auto" w:sz="4" w:space="0"/>
              <w:left w:val="nil"/>
              <w:bottom w:val="single" w:color="auto" w:sz="4" w:space="0"/>
              <w:right w:val="single" w:color="auto" w:sz="4" w:space="0"/>
            </w:tcBorders>
            <w:noWrap w:val="0"/>
            <w:vAlign w:val="center"/>
          </w:tcPr>
          <w:p w14:paraId="2551DA68">
            <w:pPr>
              <w:snapToGrid w:val="0"/>
              <w:spacing w:after="0" w:line="360" w:lineRule="auto"/>
              <w:ind w:firstLine="645"/>
              <w:jc w:val="left"/>
              <w:rPr>
                <w:rFonts w:hint="eastAsia" w:ascii="宋体" w:hAnsi="宋体" w:eastAsia="宋体" w:cs="宋体"/>
                <w:color w:val="auto"/>
                <w:sz w:val="24"/>
                <w:szCs w:val="24"/>
              </w:rPr>
            </w:pPr>
          </w:p>
        </w:tc>
        <w:tc>
          <w:tcPr>
            <w:tcW w:w="1114" w:type="dxa"/>
            <w:tcBorders>
              <w:top w:val="single" w:color="auto" w:sz="4" w:space="0"/>
              <w:left w:val="nil"/>
              <w:bottom w:val="single" w:color="auto" w:sz="4" w:space="0"/>
              <w:right w:val="single" w:color="auto" w:sz="4" w:space="0"/>
            </w:tcBorders>
            <w:noWrap w:val="0"/>
            <w:vAlign w:val="center"/>
          </w:tcPr>
          <w:p w14:paraId="70F8F1A9">
            <w:pPr>
              <w:snapToGrid w:val="0"/>
              <w:spacing w:after="0" w:line="360" w:lineRule="auto"/>
              <w:ind w:firstLine="645"/>
              <w:jc w:val="left"/>
              <w:rPr>
                <w:rFonts w:hint="eastAsia" w:ascii="宋体" w:hAnsi="宋体" w:eastAsia="宋体" w:cs="宋体"/>
                <w:color w:val="auto"/>
                <w:sz w:val="24"/>
                <w:szCs w:val="24"/>
              </w:rPr>
            </w:pPr>
          </w:p>
        </w:tc>
      </w:tr>
      <w:tr w14:paraId="0F8ECC14">
        <w:tblPrEx>
          <w:tblCellMar>
            <w:top w:w="0" w:type="dxa"/>
            <w:left w:w="108" w:type="dxa"/>
            <w:bottom w:w="0" w:type="dxa"/>
            <w:right w:w="108" w:type="dxa"/>
          </w:tblCellMar>
        </w:tblPrEx>
        <w:trPr>
          <w:trHeight w:val="655" w:hRule="atLeast"/>
          <w:jc w:val="center"/>
        </w:trPr>
        <w:tc>
          <w:tcPr>
            <w:tcW w:w="1063" w:type="dxa"/>
            <w:tcBorders>
              <w:top w:val="single" w:color="auto" w:sz="4" w:space="0"/>
              <w:left w:val="single" w:color="auto" w:sz="4" w:space="0"/>
              <w:bottom w:val="single" w:color="auto" w:sz="4" w:space="0"/>
              <w:right w:val="single" w:color="auto" w:sz="4" w:space="0"/>
            </w:tcBorders>
            <w:noWrap w:val="0"/>
            <w:vAlign w:val="center"/>
          </w:tcPr>
          <w:p w14:paraId="39803DD4">
            <w:pPr>
              <w:snapToGrid w:val="0"/>
              <w:spacing w:after="0" w:line="360" w:lineRule="auto"/>
              <w:ind w:firstLine="645"/>
              <w:rPr>
                <w:rFonts w:hint="eastAsia" w:ascii="宋体" w:hAnsi="宋体" w:eastAsia="宋体" w:cs="宋体"/>
                <w:color w:val="auto"/>
                <w:sz w:val="24"/>
                <w:szCs w:val="24"/>
              </w:rPr>
            </w:pPr>
          </w:p>
        </w:tc>
        <w:tc>
          <w:tcPr>
            <w:tcW w:w="1729" w:type="dxa"/>
            <w:tcBorders>
              <w:top w:val="single" w:color="auto" w:sz="4" w:space="0"/>
              <w:left w:val="nil"/>
              <w:bottom w:val="single" w:color="auto" w:sz="4" w:space="0"/>
              <w:right w:val="single" w:color="auto" w:sz="4" w:space="0"/>
            </w:tcBorders>
            <w:noWrap w:val="0"/>
            <w:vAlign w:val="center"/>
          </w:tcPr>
          <w:p w14:paraId="0FFF622C">
            <w:pPr>
              <w:snapToGrid w:val="0"/>
              <w:spacing w:after="0" w:line="360" w:lineRule="auto"/>
              <w:ind w:firstLine="645"/>
              <w:rPr>
                <w:rFonts w:hint="eastAsia" w:ascii="宋体" w:hAnsi="宋体" w:eastAsia="宋体" w:cs="宋体"/>
                <w:color w:val="auto"/>
                <w:sz w:val="24"/>
                <w:szCs w:val="24"/>
              </w:rPr>
            </w:pPr>
          </w:p>
        </w:tc>
        <w:tc>
          <w:tcPr>
            <w:tcW w:w="1118" w:type="dxa"/>
            <w:tcBorders>
              <w:top w:val="single" w:color="auto" w:sz="4" w:space="0"/>
              <w:left w:val="nil"/>
              <w:bottom w:val="single" w:color="auto" w:sz="4" w:space="0"/>
              <w:right w:val="single" w:color="auto" w:sz="4" w:space="0"/>
            </w:tcBorders>
            <w:noWrap w:val="0"/>
            <w:vAlign w:val="center"/>
          </w:tcPr>
          <w:p w14:paraId="059C6087">
            <w:pPr>
              <w:snapToGrid w:val="0"/>
              <w:spacing w:after="0" w:line="360" w:lineRule="auto"/>
              <w:ind w:firstLine="645"/>
              <w:rPr>
                <w:rFonts w:hint="eastAsia" w:ascii="宋体" w:hAnsi="宋体" w:eastAsia="宋体" w:cs="宋体"/>
                <w:color w:val="auto"/>
                <w:sz w:val="24"/>
                <w:szCs w:val="24"/>
              </w:rPr>
            </w:pPr>
          </w:p>
        </w:tc>
        <w:tc>
          <w:tcPr>
            <w:tcW w:w="959" w:type="dxa"/>
            <w:tcBorders>
              <w:top w:val="single" w:color="auto" w:sz="4" w:space="0"/>
              <w:left w:val="nil"/>
              <w:bottom w:val="single" w:color="auto" w:sz="4" w:space="0"/>
              <w:right w:val="single" w:color="auto" w:sz="4" w:space="0"/>
            </w:tcBorders>
            <w:noWrap w:val="0"/>
            <w:vAlign w:val="center"/>
          </w:tcPr>
          <w:p w14:paraId="27FB9975">
            <w:pPr>
              <w:snapToGrid w:val="0"/>
              <w:spacing w:after="0" w:line="360" w:lineRule="auto"/>
              <w:ind w:firstLine="645"/>
              <w:rPr>
                <w:rFonts w:hint="eastAsia" w:ascii="宋体" w:hAnsi="宋体" w:eastAsia="宋体" w:cs="宋体"/>
                <w:color w:val="auto"/>
                <w:sz w:val="24"/>
                <w:szCs w:val="24"/>
              </w:rPr>
            </w:pPr>
          </w:p>
        </w:tc>
        <w:tc>
          <w:tcPr>
            <w:tcW w:w="959" w:type="dxa"/>
            <w:tcBorders>
              <w:top w:val="single" w:color="auto" w:sz="4" w:space="0"/>
              <w:left w:val="nil"/>
              <w:bottom w:val="single" w:color="auto" w:sz="4" w:space="0"/>
              <w:right w:val="single" w:color="auto" w:sz="4" w:space="0"/>
            </w:tcBorders>
            <w:noWrap w:val="0"/>
            <w:vAlign w:val="center"/>
          </w:tcPr>
          <w:p w14:paraId="351FC6A9">
            <w:pPr>
              <w:snapToGrid w:val="0"/>
              <w:spacing w:after="0" w:line="360" w:lineRule="auto"/>
              <w:ind w:firstLine="645"/>
              <w:rPr>
                <w:rFonts w:hint="eastAsia" w:ascii="宋体" w:hAnsi="宋体" w:eastAsia="宋体" w:cs="宋体"/>
                <w:color w:val="auto"/>
                <w:sz w:val="24"/>
                <w:szCs w:val="24"/>
              </w:rPr>
            </w:pPr>
          </w:p>
        </w:tc>
        <w:tc>
          <w:tcPr>
            <w:tcW w:w="960" w:type="dxa"/>
            <w:tcBorders>
              <w:top w:val="single" w:color="auto" w:sz="4" w:space="0"/>
              <w:left w:val="nil"/>
              <w:bottom w:val="single" w:color="auto" w:sz="4" w:space="0"/>
              <w:right w:val="single" w:color="auto" w:sz="4" w:space="0"/>
            </w:tcBorders>
            <w:noWrap w:val="0"/>
            <w:vAlign w:val="center"/>
          </w:tcPr>
          <w:p w14:paraId="1AC88E01">
            <w:pPr>
              <w:snapToGrid w:val="0"/>
              <w:spacing w:after="0" w:line="360" w:lineRule="auto"/>
              <w:ind w:firstLine="645"/>
              <w:rPr>
                <w:rFonts w:hint="eastAsia" w:ascii="宋体" w:hAnsi="宋体" w:eastAsia="宋体" w:cs="宋体"/>
                <w:color w:val="auto"/>
                <w:sz w:val="24"/>
                <w:szCs w:val="24"/>
              </w:rPr>
            </w:pPr>
          </w:p>
        </w:tc>
        <w:tc>
          <w:tcPr>
            <w:tcW w:w="953" w:type="dxa"/>
            <w:tcBorders>
              <w:top w:val="single" w:color="auto" w:sz="4" w:space="0"/>
              <w:left w:val="nil"/>
              <w:bottom w:val="single" w:color="auto" w:sz="4" w:space="0"/>
              <w:right w:val="single" w:color="auto" w:sz="4" w:space="0"/>
            </w:tcBorders>
            <w:noWrap w:val="0"/>
            <w:vAlign w:val="center"/>
          </w:tcPr>
          <w:p w14:paraId="0A6BE3BC">
            <w:pPr>
              <w:snapToGrid w:val="0"/>
              <w:spacing w:after="0" w:line="360" w:lineRule="auto"/>
              <w:ind w:firstLine="645"/>
              <w:rPr>
                <w:rFonts w:hint="eastAsia" w:ascii="宋体" w:hAnsi="宋体" w:eastAsia="宋体" w:cs="宋体"/>
                <w:color w:val="auto"/>
                <w:sz w:val="24"/>
                <w:szCs w:val="24"/>
              </w:rPr>
            </w:pPr>
          </w:p>
        </w:tc>
        <w:tc>
          <w:tcPr>
            <w:tcW w:w="1114" w:type="dxa"/>
            <w:tcBorders>
              <w:top w:val="single" w:color="auto" w:sz="4" w:space="0"/>
              <w:left w:val="nil"/>
              <w:bottom w:val="single" w:color="auto" w:sz="4" w:space="0"/>
              <w:right w:val="single" w:color="auto" w:sz="4" w:space="0"/>
            </w:tcBorders>
            <w:noWrap w:val="0"/>
            <w:vAlign w:val="center"/>
          </w:tcPr>
          <w:p w14:paraId="21363FC9">
            <w:pPr>
              <w:snapToGrid w:val="0"/>
              <w:spacing w:after="0" w:line="360" w:lineRule="auto"/>
              <w:ind w:firstLine="645"/>
              <w:rPr>
                <w:rFonts w:hint="eastAsia" w:ascii="宋体" w:hAnsi="宋体" w:eastAsia="宋体" w:cs="宋体"/>
                <w:color w:val="auto"/>
                <w:sz w:val="24"/>
                <w:szCs w:val="24"/>
              </w:rPr>
            </w:pPr>
          </w:p>
        </w:tc>
      </w:tr>
      <w:tr w14:paraId="406E109D">
        <w:tblPrEx>
          <w:tblCellMar>
            <w:top w:w="0" w:type="dxa"/>
            <w:left w:w="108" w:type="dxa"/>
            <w:bottom w:w="0" w:type="dxa"/>
            <w:right w:w="108" w:type="dxa"/>
          </w:tblCellMar>
        </w:tblPrEx>
        <w:trPr>
          <w:trHeight w:val="695" w:hRule="atLeast"/>
          <w:jc w:val="center"/>
        </w:trPr>
        <w:tc>
          <w:tcPr>
            <w:tcW w:w="2792" w:type="dxa"/>
            <w:gridSpan w:val="2"/>
            <w:tcBorders>
              <w:top w:val="single" w:color="auto" w:sz="4" w:space="0"/>
              <w:left w:val="single" w:color="auto" w:sz="4" w:space="0"/>
              <w:bottom w:val="single" w:color="auto" w:sz="4" w:space="0"/>
              <w:right w:val="single" w:color="auto" w:sz="4" w:space="0"/>
            </w:tcBorders>
            <w:noWrap w:val="0"/>
            <w:vAlign w:val="center"/>
          </w:tcPr>
          <w:p w14:paraId="382EB1B9">
            <w:pPr>
              <w:snapToGrid w:val="0"/>
              <w:spacing w:after="0"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总计（人民币/元）</w:t>
            </w:r>
          </w:p>
        </w:tc>
        <w:tc>
          <w:tcPr>
            <w:tcW w:w="6063" w:type="dxa"/>
            <w:gridSpan w:val="6"/>
            <w:tcBorders>
              <w:top w:val="single" w:color="auto" w:sz="4" w:space="0"/>
              <w:left w:val="nil"/>
              <w:bottom w:val="single" w:color="auto" w:sz="4" w:space="0"/>
              <w:right w:val="single" w:color="auto" w:sz="4" w:space="0"/>
            </w:tcBorders>
            <w:noWrap w:val="0"/>
            <w:vAlign w:val="center"/>
          </w:tcPr>
          <w:p w14:paraId="0E1FC491">
            <w:pPr>
              <w:snapToGrid w:val="0"/>
              <w:spacing w:after="0"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       （大写）</w:t>
            </w:r>
          </w:p>
        </w:tc>
      </w:tr>
    </w:tbl>
    <w:p w14:paraId="73FC320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left"/>
        <w:textAlignment w:val="baseline"/>
        <w:rPr>
          <w:rFonts w:hint="eastAsia" w:ascii="仿宋" w:hAnsi="仿宋" w:eastAsia="仿宋" w:cs="仿宋"/>
          <w:sz w:val="24"/>
          <w:szCs w:val="24"/>
          <w:highlight w:val="none"/>
        </w:rPr>
      </w:pPr>
    </w:p>
    <w:p w14:paraId="3A5444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（二）交货时间：</w:t>
      </w:r>
    </w:p>
    <w:p w14:paraId="1A43AE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（三）质保期：</w:t>
      </w:r>
    </w:p>
    <w:p w14:paraId="5B8614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交货地点：勉县西坝社区</w:t>
      </w:r>
    </w:p>
    <w:p w14:paraId="65C3BD6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二、合同价款</w:t>
      </w:r>
    </w:p>
    <w:p w14:paraId="05246A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u w:val="single"/>
          <w:lang w:val="en-US"/>
        </w:rPr>
      </w:pP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合同总价：</w:t>
      </w:r>
      <w:r>
        <w:rPr>
          <w:rFonts w:hint="eastAsia" w:ascii="仿宋" w:hAnsi="仿宋" w:eastAsia="仿宋" w:cs="仿宋"/>
          <w:sz w:val="24"/>
          <w:szCs w:val="24"/>
          <w:highlight w:val="none"/>
          <w:u w:val="single"/>
          <w:lang w:val="en-US" w:eastAsia="zh-CN"/>
        </w:rPr>
        <w:t xml:space="preserve">              </w:t>
      </w:r>
    </w:p>
    <w:p w14:paraId="17E32D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合同总价包括：包括产品供货</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设备运输、安装调试达到使用条件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验收、培</w:t>
      </w:r>
      <w:r>
        <w:rPr>
          <w:rFonts w:hint="eastAsia" w:ascii="仿宋" w:hAnsi="仿宋" w:eastAsia="仿宋" w:cs="仿宋"/>
          <w:sz w:val="24"/>
          <w:szCs w:val="24"/>
          <w:highlight w:val="none"/>
          <w:lang w:eastAsia="zh-CN"/>
        </w:rPr>
        <w:t>训、</w:t>
      </w:r>
      <w:r>
        <w:rPr>
          <w:rFonts w:hint="eastAsia" w:ascii="仿宋" w:hAnsi="仿宋" w:eastAsia="仿宋" w:cs="仿宋"/>
          <w:sz w:val="24"/>
          <w:szCs w:val="24"/>
          <w:highlight w:val="none"/>
        </w:rPr>
        <w:t>售后服务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维护的价格，包括：设备供应价、运杂费（含保险费）、安装调试费、</w:t>
      </w:r>
      <w:r>
        <w:rPr>
          <w:rFonts w:hint="eastAsia" w:ascii="仿宋" w:hAnsi="仿宋" w:eastAsia="仿宋" w:cs="仿宋"/>
          <w:sz w:val="24"/>
          <w:szCs w:val="24"/>
          <w:highlight w:val="none"/>
          <w:lang w:val="en-US" w:eastAsia="zh-CN"/>
        </w:rPr>
        <w:t>验收费、</w:t>
      </w:r>
      <w:r>
        <w:rPr>
          <w:rFonts w:hint="eastAsia" w:ascii="仿宋" w:hAnsi="仿宋" w:eastAsia="仿宋" w:cs="仿宋"/>
          <w:sz w:val="24"/>
          <w:szCs w:val="24"/>
          <w:highlight w:val="none"/>
        </w:rPr>
        <w:t>培训费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售后</w:t>
      </w:r>
      <w:r>
        <w:rPr>
          <w:rFonts w:hint="eastAsia" w:ascii="仿宋" w:hAnsi="仿宋" w:eastAsia="仿宋" w:cs="仿宋"/>
          <w:sz w:val="24"/>
          <w:szCs w:val="24"/>
          <w:highlight w:val="none"/>
        </w:rPr>
        <w:t>维护费</w:t>
      </w:r>
      <w:r>
        <w:rPr>
          <w:rFonts w:hint="eastAsia" w:ascii="仿宋" w:hAnsi="仿宋" w:eastAsia="仿宋" w:cs="仿宋"/>
          <w:sz w:val="24"/>
          <w:szCs w:val="24"/>
          <w:highlight w:val="none"/>
          <w:lang w:eastAsia="zh-CN"/>
        </w:rPr>
        <w:t>以及</w:t>
      </w:r>
      <w:r>
        <w:rPr>
          <w:rFonts w:hint="eastAsia" w:ascii="仿宋" w:hAnsi="仿宋" w:eastAsia="仿宋" w:cs="仿宋"/>
          <w:sz w:val="24"/>
          <w:szCs w:val="24"/>
          <w:highlight w:val="none"/>
        </w:rPr>
        <w:t>增值税等税费、运杂保险费等其它一切费用。</w:t>
      </w:r>
    </w:p>
    <w:p w14:paraId="7913A5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合同为固定总价合同，不受市场价变化的影响。</w:t>
      </w:r>
    </w:p>
    <w:p w14:paraId="7C34803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三、款项结算</w:t>
      </w:r>
    </w:p>
    <w:p w14:paraId="50000E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（一）支付方式：银行转账</w:t>
      </w:r>
    </w:p>
    <w:p w14:paraId="606F10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（二）货币单位：人民币</w:t>
      </w:r>
    </w:p>
    <w:p w14:paraId="0D5FC8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（三）结算方式：</w:t>
      </w:r>
    </w:p>
    <w:p w14:paraId="2D31B0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1、付款条件说明：合同签订后 ，达到付款条件起 7 日内，支付合同总金额的 30.00%。 </w:t>
      </w:r>
    </w:p>
    <w:p w14:paraId="20B731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2、付款条件说明：全部货物送达指定地点并安装、调试完成后 ，达到付款条件起 7 日内，支付合同总金额的 50.00%。 </w:t>
      </w:r>
    </w:p>
    <w:p w14:paraId="3F611B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3、付款条件说明：项目验收合格后 ，达到付款条件起 7 日内，支付合同总金额的 20.00%。</w:t>
      </w:r>
    </w:p>
    <w:p w14:paraId="698B16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4、每次付款前乙方向甲方出具等额发票，如因</w:t>
      </w:r>
      <w:bookmarkStart w:id="0" w:name="_GoBack"/>
      <w:bookmarkEnd w:id="0"/>
      <w:r>
        <w:rPr>
          <w:rFonts w:hint="eastAsia" w:ascii="仿宋" w:hAnsi="仿宋" w:eastAsia="仿宋" w:cs="仿宋"/>
          <w:b w:val="0"/>
          <w:bCs w:val="0"/>
          <w:color w:val="auto"/>
          <w:sz w:val="24"/>
          <w:szCs w:val="24"/>
          <w:highlight w:val="none"/>
          <w:lang w:val="en-US" w:eastAsia="zh-CN"/>
        </w:rPr>
        <w:t>乙方未提供发票导致甲方迟延付款的，甲方不承担违约责任。</w:t>
      </w:r>
    </w:p>
    <w:p w14:paraId="46E5D09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四、在签订合同前，</w:t>
      </w:r>
      <w:r>
        <w:rPr>
          <w:rFonts w:hint="eastAsia" w:ascii="仿宋" w:hAnsi="仿宋" w:eastAsia="仿宋" w:cs="仿宋"/>
          <w:b/>
          <w:bCs/>
          <w:sz w:val="24"/>
          <w:szCs w:val="24"/>
          <w:highlight w:val="none"/>
          <w:lang w:val="en-US" w:eastAsia="zh-CN"/>
        </w:rPr>
        <w:t>乙方</w:t>
      </w:r>
      <w:r>
        <w:rPr>
          <w:rFonts w:hint="eastAsia" w:ascii="仿宋" w:hAnsi="仿宋" w:eastAsia="仿宋" w:cs="仿宋"/>
          <w:b/>
          <w:bCs/>
          <w:sz w:val="24"/>
          <w:szCs w:val="24"/>
          <w:highlight w:val="none"/>
        </w:rPr>
        <w:t>按照招标文件采购要求中所有承诺事项要求落实，如未在规定时限内按要求完成所承诺事项的，则视为主动放弃中标资格。</w:t>
      </w:r>
    </w:p>
    <w:p w14:paraId="0B1F46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（一）乙方</w:t>
      </w:r>
      <w:r>
        <w:rPr>
          <w:rFonts w:hint="eastAsia" w:ascii="仿宋" w:hAnsi="仿宋" w:eastAsia="仿宋" w:cs="仿宋"/>
          <w:sz w:val="24"/>
          <w:szCs w:val="24"/>
          <w:highlight w:val="none"/>
        </w:rPr>
        <w:t>完全满足本标段全部采购货物数量要求。</w:t>
      </w:r>
    </w:p>
    <w:p w14:paraId="449D2B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所供产品为制造商原厂生产的全新、未经使用符合要求的产品。</w:t>
      </w:r>
    </w:p>
    <w:p w14:paraId="65F2C9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所供货物在合同签订的质保期内正确安装、正常使用和保养条件下性能稳定。</w:t>
      </w:r>
    </w:p>
    <w:p w14:paraId="13920E5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中标后，按照采购人实际安装数量及地点要求对所供产品进行调配安装。</w:t>
      </w:r>
    </w:p>
    <w:p w14:paraId="11DA35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bCs/>
          <w:sz w:val="24"/>
          <w:szCs w:val="24"/>
          <w:highlight w:val="none"/>
        </w:rPr>
      </w:pPr>
      <w:r>
        <w:rPr>
          <w:rFonts w:hint="eastAsia" w:ascii="仿宋" w:hAnsi="仿宋" w:eastAsia="仿宋" w:cs="仿宋"/>
          <w:sz w:val="24"/>
          <w:szCs w:val="24"/>
          <w:highlight w:val="none"/>
          <w:lang w:eastAsia="zh-CN"/>
        </w:rPr>
        <w:t>（五）</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在供货阶段向采购人所供货物符合《室外健身器材的安全通用要求》执行标准，并在</w:t>
      </w:r>
      <w:r>
        <w:rPr>
          <w:rFonts w:hint="eastAsia" w:ascii="仿宋" w:hAnsi="仿宋" w:eastAsia="仿宋" w:cs="仿宋"/>
          <w:sz w:val="24"/>
          <w:szCs w:val="24"/>
          <w:highlight w:val="none"/>
          <w:lang w:val="en-US" w:eastAsia="zh-Hans"/>
        </w:rPr>
        <w:t>验收</w:t>
      </w:r>
      <w:r>
        <w:rPr>
          <w:rFonts w:hint="eastAsia" w:ascii="仿宋" w:hAnsi="仿宋" w:eastAsia="仿宋" w:cs="仿宋"/>
          <w:sz w:val="24"/>
          <w:szCs w:val="24"/>
          <w:highlight w:val="none"/>
        </w:rPr>
        <w:t>前提供国家认证认可监督管理委员会批准的第三方认证机构提供的认证证书及确认函作为证明材料。</w:t>
      </w:r>
    </w:p>
    <w:p w14:paraId="5885ABF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五、运输</w:t>
      </w:r>
    </w:p>
    <w:p w14:paraId="1A63E78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（一）运输由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负责，运杂费已包含在合同总价内。</w:t>
      </w:r>
    </w:p>
    <w:p w14:paraId="546EDB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（二）运输方式由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自行选择，包装符合国家标</w:t>
      </w:r>
      <w:r>
        <w:rPr>
          <w:rFonts w:hint="eastAsia" w:ascii="仿宋" w:hAnsi="仿宋" w:eastAsia="仿宋" w:cs="仿宋"/>
          <w:sz w:val="24"/>
          <w:szCs w:val="24"/>
          <w:highlight w:val="none"/>
          <w:lang w:eastAsia="zh-CN"/>
        </w:rPr>
        <w:t>准和</w:t>
      </w:r>
      <w:r>
        <w:rPr>
          <w:rFonts w:hint="eastAsia" w:ascii="仿宋" w:hAnsi="仿宋" w:eastAsia="仿宋" w:cs="仿宋"/>
          <w:sz w:val="24"/>
          <w:szCs w:val="24"/>
          <w:highlight w:val="none"/>
        </w:rPr>
        <w:t>行业标准，满足航空、铁路或公路运输以及货物装卸要求，保证采购人收到的是无任何损伤的货物，否则，因此造成的损失由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自行承担。同时，</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保证如期交付，不得断货，否则，因断货造成的损失由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负责赔偿。</w:t>
      </w:r>
    </w:p>
    <w:p w14:paraId="0C5E8756">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除合同另有规定外，</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提供的全部货物，均按标准保护措施进行包装。包装适应于远距离运输、防潮、防震、防锈和防野蛮装卸，以确保货物安全无损运抵项目现场。</w:t>
      </w:r>
    </w:p>
    <w:p w14:paraId="1026FF3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（四）</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提供的产品及相关快递服务的包装要求，按照《商品包装政府采购需求标准（试行）》、《快递包装政府采购需求标准（试行）》执行。</w:t>
      </w:r>
    </w:p>
    <w:p w14:paraId="5FBDEBB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六、验收及质保条款</w:t>
      </w:r>
    </w:p>
    <w:p w14:paraId="361379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货物的包装：符合出厂规范及符合《商品包装政府采购需求标准（试行）《快递包装政府采购需求标准（试行）》，包装完整无破损，防雨、防潮等各种符号标识清楚，进口设备具有原产国标识且标识清楚。货物的表面瑕疵，采购人在验收时当面提出；对质量问题有异议的在安装调试时进行记录。</w:t>
      </w:r>
    </w:p>
    <w:p w14:paraId="2FC914E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（二）在验收过程中发现数量不足或有质量、技术等问题，</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按照合同要求采取补足、更换或退货等处理措施，并承担由此发生的一切费用和损失。</w:t>
      </w:r>
    </w:p>
    <w:p w14:paraId="0710D2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（三）采购人对货物进行检查验收合格后，及时履行验收手续。</w:t>
      </w:r>
    </w:p>
    <w:p w14:paraId="7FDA354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（四）大型或者复杂的货物采购项目，采购人可以邀请国家认可的质量检测机构参加验收工作，并由其出具验收报告。</w:t>
      </w:r>
    </w:p>
    <w:p w14:paraId="1BF681F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（五）在履约验收环节，</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按照《商品包装政府采购需求标准（试行）《快递包装政府采购需求标准（试行）》的环保要求出具检测报告。</w:t>
      </w:r>
    </w:p>
    <w:p w14:paraId="7987991B">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七、产品保修期</w:t>
      </w:r>
    </w:p>
    <w:p w14:paraId="491635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(一)如果</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提供的产品不符合质量标准或存在产品质量缺陷，而采购人在合同条款规定的检验、安装、调试、验收和质量保证期内，根据法定质量检测部门出具的检验证书向</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提出了索赔，</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按照采购人同意的下列一种或几种方式结合起来解决索赔事宜：</w:t>
      </w:r>
    </w:p>
    <w:p w14:paraId="7711DF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同意退货并将货款退还给采购人，由此发生的一切费用和损失由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承担。如采购人以适当的条件和方法购买与未履约标的相类似的货物，</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负担新购买类似货物所超出的费用。</w:t>
      </w:r>
    </w:p>
    <w:p w14:paraId="091659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2、根据货物的质量状况以及采购人所遭受的损失，经过采购人与</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商定降低货物的价格。</w:t>
      </w:r>
    </w:p>
    <w:p w14:paraId="33F24E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在接到采购人通知后7日内负责采用符合合同规定的规格、质量和性能要求的新零件、部件和设备来更换有缺陷的部分或修补缺陷部分，其费用由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负担。同时，</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在约定的质量保证期基础上相应延长修补和更换件的质量保证期。</w:t>
      </w:r>
    </w:p>
    <w:p w14:paraId="40D3DA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4、如果服务和交付物与合同不符或不符合采购人要求，或证实交付物是有缺陷的，包括潜在的缺陷或使用不符合要求的材料等，由此引起的全部费用由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承担。若以上原因导致或引起采购人损失及导致或引起第三方受到损害的，全部赔偿责任均由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承担。</w:t>
      </w:r>
    </w:p>
    <w:p w14:paraId="762B14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（二）如果在采购人发出索赔通知后 10 日内中标人未作答复的，视为认可该项索赔；中标人未在约定期限内完成补救整改，或质保期内拒不履行保修义务、存在违约违规行为的，采购人有权依法追究乙方全部损失责任，并将其不良履约行为上报同级财政监管部门，纳入政府采购不良行为记录管理。</w:t>
      </w:r>
    </w:p>
    <w:p w14:paraId="5BFA649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八、违约责任</w:t>
      </w:r>
    </w:p>
    <w:p w14:paraId="23EF05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一）乙方未按合同约定的交货日期交货的，每逾期一日，向甲方支付逾期交付货物价款的1%的违约金，但不超过合同总金额的10%。一旦达到误期赔偿费的最高限额，甲方可终止合同。 乙方支付逾期交货违约金并不免除其交货的责任。</w:t>
      </w:r>
    </w:p>
    <w:p w14:paraId="693F0B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（二）如乙方在政府采购合同规定的交货日期后10天内仍未能交货，则视为乙方不能交货，甲方有权解除政府采购合同，乙方除退还已收取的货款外，还应向甲方偿付政府采购合同总金额10%的违约金。</w:t>
      </w:r>
    </w:p>
    <w:p w14:paraId="4E16CF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（三）乙方所交付货物及伴随的工程或服务不符合其投标承诺</w:t>
      </w:r>
      <w:r>
        <w:rPr>
          <w:rFonts w:hint="eastAsia" w:ascii="仿宋" w:hAnsi="仿宋" w:eastAsia="仿宋" w:cs="仿宋"/>
          <w:sz w:val="24"/>
          <w:szCs w:val="24"/>
          <w:highlight w:val="none"/>
          <w:lang w:val="en-US" w:eastAsia="zh-Hans"/>
        </w:rPr>
        <w:t>或检测不合格</w:t>
      </w:r>
      <w:r>
        <w:rPr>
          <w:rFonts w:hint="eastAsia" w:ascii="仿宋" w:hAnsi="仿宋" w:eastAsia="仿宋" w:cs="仿宋"/>
          <w:sz w:val="24"/>
          <w:szCs w:val="24"/>
          <w:highlight w:val="none"/>
        </w:rPr>
        <w:t>，存在偷工减料、以次充好情形的，甲方要求更换一次后仍不符合约定的，甲方有权解除政府采购合同，没收履约保证金，并将有关情况上报政府采购监管部门处理。</w:t>
      </w:r>
    </w:p>
    <w:p w14:paraId="0A1D0B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bCs/>
          <w:sz w:val="24"/>
          <w:szCs w:val="24"/>
          <w:highlight w:val="none"/>
        </w:rPr>
      </w:pPr>
      <w:r>
        <w:rPr>
          <w:rFonts w:hint="eastAsia" w:ascii="仿宋" w:hAnsi="仿宋" w:eastAsia="仿宋" w:cs="仿宋"/>
          <w:sz w:val="24"/>
          <w:szCs w:val="24"/>
          <w:highlight w:val="none"/>
        </w:rPr>
        <w:t>（四）乙方未全面履行合同义务或者发生违约情形，甲方有权终止合同，乙方应承担供应项目产品金额10%的违约责任，违约金不足以弥补守约方实际损失、可预见或者应当预见的损失，由违约方全额予以赔偿。</w:t>
      </w:r>
    </w:p>
    <w:p w14:paraId="633B9795">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九、争议解决</w:t>
      </w:r>
    </w:p>
    <w:p w14:paraId="25695D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执行本合同中产生纠纷，由采购人与</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双方协商解决；协商不成，向</w:t>
      </w:r>
      <w:r>
        <w:rPr>
          <w:rFonts w:hint="eastAsia" w:ascii="仿宋" w:hAnsi="仿宋" w:eastAsia="仿宋" w:cs="仿宋"/>
          <w:sz w:val="24"/>
          <w:szCs w:val="24"/>
          <w:highlight w:val="none"/>
          <w:lang w:val="en-US" w:eastAsia="zh-CN"/>
        </w:rPr>
        <w:t>甲方所在地</w:t>
      </w:r>
      <w:r>
        <w:rPr>
          <w:rFonts w:hint="eastAsia" w:ascii="仿宋" w:hAnsi="仿宋" w:eastAsia="仿宋" w:cs="仿宋"/>
          <w:sz w:val="24"/>
          <w:szCs w:val="24"/>
          <w:highlight w:val="none"/>
        </w:rPr>
        <w:t>的人民法院提起诉讼。</w:t>
      </w:r>
    </w:p>
    <w:p w14:paraId="0893B94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十、合同生效及其他</w:t>
      </w:r>
    </w:p>
    <w:p w14:paraId="7C5561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1、本合同自</w:t>
      </w:r>
      <w:r>
        <w:rPr>
          <w:rFonts w:hint="eastAsia" w:ascii="仿宋" w:hAnsi="仿宋" w:eastAsia="仿宋" w:cs="仿宋"/>
          <w:sz w:val="24"/>
          <w:szCs w:val="24"/>
          <w:highlight w:val="none"/>
          <w:lang w:val="en-US" w:eastAsia="zh-CN"/>
        </w:rPr>
        <w:t>双方签字盖章之日</w:t>
      </w:r>
      <w:r>
        <w:rPr>
          <w:rFonts w:hint="eastAsia" w:ascii="仿宋" w:hAnsi="仿宋" w:eastAsia="仿宋" w:cs="仿宋"/>
          <w:sz w:val="24"/>
          <w:szCs w:val="24"/>
          <w:highlight w:val="none"/>
        </w:rPr>
        <w:t>起生效</w:t>
      </w:r>
      <w:r>
        <w:rPr>
          <w:rFonts w:hint="eastAsia" w:ascii="仿宋" w:hAnsi="仿宋" w:eastAsia="仿宋" w:cs="仿宋"/>
          <w:sz w:val="24"/>
          <w:szCs w:val="24"/>
          <w:highlight w:val="none"/>
          <w:lang w:eastAsia="zh-CN"/>
        </w:rPr>
        <w:t>，具有</w:t>
      </w:r>
      <w:r>
        <w:rPr>
          <w:rFonts w:hint="eastAsia" w:ascii="仿宋" w:hAnsi="仿宋" w:eastAsia="仿宋" w:cs="仿宋"/>
          <w:sz w:val="24"/>
          <w:szCs w:val="24"/>
          <w:highlight w:val="none"/>
          <w:lang w:val="en-US" w:eastAsia="zh-CN"/>
        </w:rPr>
        <w:t>同等法律效力</w:t>
      </w:r>
      <w:r>
        <w:rPr>
          <w:rFonts w:hint="eastAsia" w:ascii="仿宋" w:hAnsi="仿宋" w:eastAsia="仿宋" w:cs="仿宋"/>
          <w:sz w:val="24"/>
          <w:szCs w:val="24"/>
          <w:highlight w:val="none"/>
        </w:rPr>
        <w:t>。</w:t>
      </w:r>
    </w:p>
    <w:p w14:paraId="7596F3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2、本合同一式</w:t>
      </w:r>
      <w:r>
        <w:rPr>
          <w:rFonts w:hint="eastAsia" w:ascii="仿宋" w:hAnsi="仿宋" w:eastAsia="仿宋" w:cs="仿宋"/>
          <w:sz w:val="24"/>
          <w:szCs w:val="24"/>
          <w:highlight w:val="none"/>
          <w:lang w:val="en-US" w:eastAsia="zh-CN"/>
        </w:rPr>
        <w:t>捌</w:t>
      </w:r>
      <w:r>
        <w:rPr>
          <w:rFonts w:hint="eastAsia" w:ascii="仿宋" w:hAnsi="仿宋" w:eastAsia="仿宋" w:cs="仿宋"/>
          <w:sz w:val="24"/>
          <w:szCs w:val="24"/>
          <w:highlight w:val="none"/>
        </w:rPr>
        <w:t>份，甲方</w:t>
      </w:r>
      <w:r>
        <w:rPr>
          <w:rFonts w:hint="eastAsia" w:ascii="仿宋" w:hAnsi="仿宋" w:eastAsia="仿宋" w:cs="仿宋"/>
          <w:sz w:val="24"/>
          <w:szCs w:val="24"/>
          <w:highlight w:val="none"/>
          <w:lang w:val="en-US" w:eastAsia="zh-CN"/>
        </w:rPr>
        <w:t>肆</w:t>
      </w:r>
      <w:r>
        <w:rPr>
          <w:rFonts w:hint="eastAsia" w:ascii="仿宋" w:hAnsi="仿宋" w:eastAsia="仿宋" w:cs="仿宋"/>
          <w:sz w:val="24"/>
          <w:szCs w:val="24"/>
          <w:highlight w:val="none"/>
        </w:rPr>
        <w:t>份、乙方</w:t>
      </w:r>
      <w:r>
        <w:rPr>
          <w:rFonts w:hint="eastAsia" w:ascii="仿宋" w:hAnsi="仿宋" w:eastAsia="仿宋" w:cs="仿宋"/>
          <w:sz w:val="24"/>
          <w:szCs w:val="24"/>
          <w:highlight w:val="none"/>
          <w:lang w:val="en-US" w:eastAsia="zh-CN"/>
        </w:rPr>
        <w:t>肆</w:t>
      </w:r>
      <w:r>
        <w:rPr>
          <w:rFonts w:hint="eastAsia" w:ascii="仿宋" w:hAnsi="仿宋" w:eastAsia="仿宋" w:cs="仿宋"/>
          <w:sz w:val="24"/>
          <w:szCs w:val="24"/>
          <w:highlight w:val="none"/>
        </w:rPr>
        <w:t>份。</w:t>
      </w:r>
    </w:p>
    <w:p w14:paraId="3F886A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3、未尽事宜由双方在签订合同时具体明确。</w:t>
      </w:r>
    </w:p>
    <w:p w14:paraId="4078ABB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p>
    <w:p w14:paraId="5AC484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p>
    <w:p w14:paraId="5BEFB20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p>
    <w:tbl>
      <w:tblPr>
        <w:tblStyle w:val="6"/>
        <w:tblW w:w="8522" w:type="dxa"/>
        <w:jc w:val="center"/>
        <w:tblLayout w:type="autofit"/>
        <w:tblCellMar>
          <w:top w:w="0" w:type="dxa"/>
          <w:left w:w="108" w:type="dxa"/>
          <w:bottom w:w="0" w:type="dxa"/>
          <w:right w:w="108" w:type="dxa"/>
        </w:tblCellMar>
      </w:tblPr>
      <w:tblGrid>
        <w:gridCol w:w="3680"/>
        <w:gridCol w:w="4842"/>
      </w:tblGrid>
      <w:tr w14:paraId="3F2E6AFB">
        <w:tblPrEx>
          <w:tblCellMar>
            <w:top w:w="0" w:type="dxa"/>
            <w:left w:w="108" w:type="dxa"/>
            <w:bottom w:w="0" w:type="dxa"/>
            <w:right w:w="108" w:type="dxa"/>
          </w:tblCellMar>
        </w:tblPrEx>
        <w:trPr>
          <w:trHeight w:val="0" w:hRule="atLeast"/>
          <w:jc w:val="center"/>
        </w:trPr>
        <w:tc>
          <w:tcPr>
            <w:tcW w:w="3680" w:type="dxa"/>
            <w:noWrap w:val="0"/>
            <w:vAlign w:val="top"/>
          </w:tcPr>
          <w:p w14:paraId="119BF12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采购人名称（盖章）：</w:t>
            </w:r>
          </w:p>
          <w:p w14:paraId="5AD6FF5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lang w:val="en-US" w:eastAsia="zh-CN"/>
              </w:rPr>
            </w:pPr>
          </w:p>
          <w:p w14:paraId="66DB0AD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p>
          <w:p w14:paraId="5EA6942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代表人（签字）：</w:t>
            </w:r>
          </w:p>
          <w:p w14:paraId="799853F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3"/>
                <w:sz w:val="32"/>
                <w:szCs w:val="32"/>
                <w:highlight w:val="none"/>
              </w:rPr>
            </w:pPr>
            <w:r>
              <w:rPr>
                <w:rFonts w:hint="eastAsia" w:ascii="仿宋" w:hAnsi="仿宋" w:eastAsia="仿宋" w:cs="仿宋"/>
                <w:sz w:val="28"/>
                <w:szCs w:val="28"/>
                <w:highlight w:val="none"/>
              </w:rPr>
              <w:t>电话：</w:t>
            </w:r>
          </w:p>
          <w:p w14:paraId="1B46C9C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747A1A7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账号：</w:t>
            </w:r>
          </w:p>
        </w:tc>
        <w:tc>
          <w:tcPr>
            <w:tcW w:w="4842" w:type="dxa"/>
            <w:noWrap w:val="0"/>
            <w:vAlign w:val="top"/>
          </w:tcPr>
          <w:p w14:paraId="06B15D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供应商名称（盖章）：</w:t>
            </w:r>
          </w:p>
          <w:p w14:paraId="4F41F3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p>
          <w:p w14:paraId="5A1D96C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地址：</w:t>
            </w:r>
          </w:p>
          <w:p w14:paraId="1C9ECB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代表人（签字）：</w:t>
            </w:r>
          </w:p>
          <w:p w14:paraId="2BC3BD1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p w14:paraId="3968697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41FD2E1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账号：</w:t>
            </w:r>
          </w:p>
        </w:tc>
      </w:tr>
    </w:tbl>
    <w:p w14:paraId="07682C2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p>
    <w:p w14:paraId="0C960FAA">
      <w:pPr>
        <w:rPr>
          <w:rFonts w:hint="eastAsia" w:ascii="仿宋" w:hAnsi="仿宋" w:eastAsia="仿宋" w:cs="仿宋"/>
          <w:highlight w:val="none"/>
        </w:rPr>
      </w:pPr>
    </w:p>
    <w:p w14:paraId="067FE3E4"/>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E3C1A">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CCE5">
    <w:pPr>
      <w:pStyle w:val="5"/>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4BB716"/>
    <w:multiLevelType w:val="singleLevel"/>
    <w:tmpl w:val="7C4BB71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0144A"/>
    <w:rsid w:val="092B7994"/>
    <w:rsid w:val="0C42180C"/>
    <w:rsid w:val="0EE047E9"/>
    <w:rsid w:val="101B0232"/>
    <w:rsid w:val="2A9860B3"/>
    <w:rsid w:val="2CB7614F"/>
    <w:rsid w:val="4BC95CA2"/>
    <w:rsid w:val="4F31046F"/>
    <w:rsid w:val="594A1F8D"/>
    <w:rsid w:val="670143E6"/>
    <w:rsid w:val="73647FF7"/>
    <w:rsid w:val="7A780E9A"/>
    <w:rsid w:val="7CEC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华文仿宋" w:hAnsi="华文仿宋" w:eastAsia="华文仿宋" w:cs="华文仿宋"/>
      <w:sz w:val="35"/>
      <w:szCs w:val="35"/>
      <w:lang w:val="en-US" w:eastAsia="en-US" w:bidi="ar-SA"/>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5">
    <w:name w:val="header"/>
    <w:basedOn w:val="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character" w:customStyle="1" w:styleId="8">
    <w:name w:val="标题 1 字符"/>
    <w:link w:val="2"/>
    <w:qFormat/>
    <w:uiPriority w:val="0"/>
    <w:rPr>
      <w:rFonts w:ascii="宋体"/>
      <w:b/>
      <w:kern w:val="44"/>
      <w:sz w:val="32"/>
      <w:szCs w:val="20"/>
    </w:rPr>
  </w:style>
  <w:style w:type="paragraph" w:customStyle="1" w:styleId="9">
    <w:name w:val="Table Text"/>
    <w:basedOn w:val="1"/>
    <w:semiHidden/>
    <w:qFormat/>
    <w:uiPriority w:val="0"/>
    <w:rPr>
      <w:rFonts w:ascii="微软雅黑" w:hAnsi="微软雅黑" w:eastAsia="微软雅黑" w:cs="微软雅黑"/>
      <w:sz w:val="20"/>
      <w:szCs w:val="20"/>
      <w:lang w:val="en-US" w:eastAsia="en-US" w:bidi="ar-SA"/>
    </w:rPr>
  </w:style>
  <w:style w:type="table" w:customStyle="1" w:styleId="10">
    <w:name w:val="Table Normal"/>
    <w:unhideWhenUsed/>
    <w:qFormat/>
    <w:uiPriority w:val="0"/>
    <w:tblPr>
      <w:tblCellMar>
        <w:top w:w="0" w:type="dxa"/>
        <w:left w:w="0" w:type="dxa"/>
        <w:bottom w:w="0" w:type="dxa"/>
        <w:right w:w="0" w:type="dxa"/>
      </w:tblCellMar>
    </w:tblPr>
  </w:style>
  <w:style w:type="character" w:customStyle="1" w:styleId="11">
    <w:name w:val="标题 1 Char"/>
    <w:link w:val="2"/>
    <w:qFormat/>
    <w:uiPriority w:val="0"/>
    <w:rPr>
      <w:rFonts w:ascii="Times New Roman" w:hAnsi="Times New Roman" w:eastAsia="黑体" w:cs="Times New Roman"/>
      <w:color w:val="000000"/>
      <w:kern w:val="44"/>
      <w:sz w:val="32"/>
      <w:szCs w:val="44"/>
      <w:lang w:bidi="ar-SA"/>
    </w:rPr>
  </w:style>
  <w:style w:type="paragraph" w:customStyle="1" w:styleId="12">
    <w:name w:val="样式 10 磅"/>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2677</Words>
  <Characters>2701</Characters>
  <Lines>0</Lines>
  <Paragraphs>0</Paragraphs>
  <TotalTime>2</TotalTime>
  <ScaleCrop>false</ScaleCrop>
  <LinksUpToDate>false</LinksUpToDate>
  <CharactersWithSpaces>2763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2025-12-11T12:04:00Z</dcterms:created>
  <dc:creator>Administrator</dc:creator>
  <cp:lastModifiedBy>WPS_1743074128</cp:lastModifiedBy>
  <dcterms:modified xsi:type="dcterms:W3CDTF">2026-04-28T14:33:24Z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eyJoZGlkIjoiMTE5ZDgwNTg2OWY5MTY3M2Q4ZmMzMjUyY2EzMTZjNzIiLCJ1c2VySWQiOiIxNjg5Njc4ODA0In0=</vt:lpwstr>
  </property>
  <property fmtid="{D5CDD505-2E9C-101B-9397-08002B2CF9AE}" pid="4" name="ICV">
    <vt:lpwstr>F58A1E6D925E44C1A94B248C860199A5_13</vt:lpwstr>
  </property>
</Properties>
</file>