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313A88">
      <w:pPr>
        <w:spacing w:line="360" w:lineRule="auto"/>
        <w:jc w:val="center"/>
        <w:rPr>
          <w:rFonts w:ascii="Times New Roman" w:hAnsi="Times New Roman" w:eastAsiaTheme="minorEastAsia"/>
          <w:b/>
          <w:color w:val="000000"/>
          <w:sz w:val="28"/>
          <w:szCs w:val="28"/>
        </w:rPr>
      </w:pPr>
      <w:r>
        <w:rPr>
          <w:rFonts w:ascii="Times New Roman" w:hAnsi="Times New Roman" w:eastAsiaTheme="minorEastAsia"/>
          <w:b/>
          <w:color w:val="000000"/>
          <w:sz w:val="28"/>
          <w:szCs w:val="28"/>
        </w:rPr>
        <w:t>（本格式条款供采购人和中标单位双方签订合同参考，采购人可根据项目的实际情况增减条款和内容）</w:t>
      </w:r>
    </w:p>
    <w:p w14:paraId="6195D3CD">
      <w:pPr>
        <w:jc w:val="center"/>
        <w:rPr>
          <w:rFonts w:ascii="Times New Roman" w:hAnsi="Times New Roman" w:eastAsiaTheme="minorEastAsia"/>
          <w:b/>
          <w:color w:val="000000"/>
          <w:szCs w:val="21"/>
        </w:rPr>
      </w:pPr>
    </w:p>
    <w:p w14:paraId="534321AD">
      <w:pPr>
        <w:jc w:val="center"/>
        <w:rPr>
          <w:rFonts w:ascii="Times New Roman" w:hAnsi="Times New Roman" w:eastAsiaTheme="minorEastAsia"/>
          <w:b/>
          <w:color w:val="000000"/>
          <w:szCs w:val="21"/>
        </w:rPr>
      </w:pPr>
    </w:p>
    <w:p w14:paraId="78EBA922">
      <w:pPr>
        <w:jc w:val="center"/>
        <w:rPr>
          <w:rFonts w:ascii="Times New Roman" w:hAnsi="Times New Roman" w:eastAsiaTheme="minorEastAsia"/>
          <w:b/>
          <w:color w:val="000000"/>
          <w:szCs w:val="21"/>
        </w:rPr>
      </w:pPr>
      <w:r>
        <w:rPr>
          <w:rFonts w:ascii="Times New Roman" w:hAnsi="Times New Roman" w:eastAsiaTheme="minorEastAsia"/>
          <w:b/>
          <w:color w:val="000000"/>
          <w:szCs w:val="21"/>
        </w:rPr>
        <w:t>服  务 合 同</w:t>
      </w:r>
    </w:p>
    <w:p w14:paraId="4F65E89A">
      <w:pPr>
        <w:spacing w:line="360" w:lineRule="auto"/>
        <w:ind w:firstLine="1680" w:firstLineChars="800"/>
        <w:rPr>
          <w:rFonts w:ascii="Times New Roman" w:hAnsi="Times New Roman" w:eastAsiaTheme="minorEastAsia"/>
          <w:color w:val="000000"/>
          <w:szCs w:val="21"/>
        </w:rPr>
      </w:pPr>
      <w:r>
        <w:rPr>
          <w:rFonts w:ascii="Times New Roman" w:hAnsi="Times New Roman" w:eastAsiaTheme="minorEastAsia"/>
          <w:color w:val="000000"/>
          <w:szCs w:val="21"/>
        </w:rPr>
        <w:t xml:space="preserve">   项目编号：</w:t>
      </w:r>
    </w:p>
    <w:p w14:paraId="25AD2EAC">
      <w:pPr>
        <w:jc w:val="center"/>
        <w:rPr>
          <w:rFonts w:ascii="Times New Roman" w:hAnsi="Times New Roman" w:eastAsiaTheme="minorEastAsia"/>
          <w:color w:val="000000"/>
          <w:szCs w:val="21"/>
        </w:rPr>
      </w:pPr>
    </w:p>
    <w:p w14:paraId="4BE156D9">
      <w:pPr>
        <w:jc w:val="center"/>
        <w:rPr>
          <w:rFonts w:ascii="Times New Roman" w:hAnsi="Times New Roman" w:eastAsiaTheme="minorEastAsia"/>
          <w:color w:val="000000"/>
          <w:szCs w:val="21"/>
        </w:rPr>
      </w:pPr>
    </w:p>
    <w:p w14:paraId="6F1970B6">
      <w:pPr>
        <w:jc w:val="center"/>
        <w:rPr>
          <w:rFonts w:ascii="Times New Roman" w:hAnsi="Times New Roman" w:eastAsiaTheme="minorEastAsia"/>
          <w:color w:val="000000"/>
          <w:szCs w:val="21"/>
        </w:rPr>
      </w:pPr>
    </w:p>
    <w:p w14:paraId="01E121AD">
      <w:pPr>
        <w:rPr>
          <w:rFonts w:ascii="Times New Roman" w:hAnsi="Times New Roman" w:eastAsiaTheme="minorEastAsia"/>
          <w:color w:val="000000"/>
          <w:szCs w:val="21"/>
        </w:rPr>
      </w:pPr>
    </w:p>
    <w:p w14:paraId="757363B5">
      <w:pPr>
        <w:jc w:val="center"/>
        <w:rPr>
          <w:rFonts w:ascii="Times New Roman" w:hAnsi="Times New Roman" w:eastAsiaTheme="minorEastAsia"/>
          <w:color w:val="000000"/>
          <w:szCs w:val="21"/>
        </w:rPr>
      </w:pPr>
    </w:p>
    <w:p w14:paraId="25CA1B19">
      <w:pPr>
        <w:rPr>
          <w:rFonts w:ascii="Times New Roman" w:hAnsi="Times New Roman" w:eastAsiaTheme="minorEastAsia"/>
          <w:color w:val="000000"/>
          <w:szCs w:val="21"/>
        </w:rPr>
      </w:pPr>
      <w:r>
        <w:rPr>
          <w:rFonts w:ascii="Times New Roman" w:hAnsi="Times New Roman" w:eastAsiaTheme="minorEastAsia"/>
          <w:color w:val="000000"/>
          <w:szCs w:val="21"/>
        </w:rPr>
        <w:t>甲  方：</w:t>
      </w:r>
    </w:p>
    <w:p w14:paraId="24FFC517">
      <w:pPr>
        <w:rPr>
          <w:rFonts w:ascii="Times New Roman" w:hAnsi="Times New Roman" w:eastAsiaTheme="minorEastAsia"/>
          <w:color w:val="000000"/>
          <w:szCs w:val="21"/>
        </w:rPr>
      </w:pPr>
    </w:p>
    <w:p w14:paraId="3AF3FBCD">
      <w:pPr>
        <w:rPr>
          <w:rFonts w:ascii="Times New Roman" w:hAnsi="Times New Roman" w:eastAsiaTheme="minorEastAsia"/>
          <w:color w:val="000000"/>
          <w:szCs w:val="21"/>
        </w:rPr>
      </w:pPr>
      <w:r>
        <w:rPr>
          <w:rFonts w:ascii="Times New Roman" w:hAnsi="Times New Roman" w:eastAsiaTheme="minorEastAsia"/>
          <w:color w:val="000000"/>
          <w:szCs w:val="21"/>
        </w:rPr>
        <w:t>乙  方：</w:t>
      </w:r>
    </w:p>
    <w:p w14:paraId="00F30464">
      <w:pPr>
        <w:rPr>
          <w:rFonts w:ascii="Times New Roman" w:hAnsi="Times New Roman" w:eastAsiaTheme="minorEastAsia"/>
          <w:color w:val="000000"/>
          <w:szCs w:val="21"/>
        </w:rPr>
      </w:pPr>
      <w:r>
        <w:rPr>
          <w:rFonts w:ascii="Times New Roman" w:hAnsi="Times New Roman" w:eastAsiaTheme="minorEastAsia"/>
          <w:color w:val="000000"/>
          <w:szCs w:val="21"/>
        </w:rPr>
        <w:t xml:space="preserve"> </w:t>
      </w:r>
    </w:p>
    <w:p w14:paraId="0BB970A7">
      <w:pPr>
        <w:jc w:val="center"/>
        <w:rPr>
          <w:rFonts w:ascii="Times New Roman" w:hAnsi="Times New Roman" w:eastAsiaTheme="minorEastAsia"/>
          <w:color w:val="000000"/>
          <w:szCs w:val="21"/>
        </w:rPr>
      </w:pPr>
      <w:r>
        <w:rPr>
          <w:rFonts w:ascii="Times New Roman" w:hAnsi="Times New Roman" w:eastAsiaTheme="minorEastAsia"/>
          <w:color w:val="000000"/>
          <w:szCs w:val="21"/>
        </w:rPr>
        <w:t>20   年  月</w:t>
      </w:r>
    </w:p>
    <w:p w14:paraId="52B74010">
      <w:pPr>
        <w:rPr>
          <w:rFonts w:ascii="Times New Roman" w:hAnsi="Times New Roman" w:eastAsiaTheme="minorEastAsia"/>
          <w:b/>
          <w:color w:val="000000"/>
          <w:szCs w:val="21"/>
        </w:rPr>
      </w:pPr>
    </w:p>
    <w:p w14:paraId="5332F91C">
      <w:pPr>
        <w:rPr>
          <w:rFonts w:ascii="Times New Roman" w:hAnsi="Times New Roman" w:eastAsiaTheme="minorEastAsia"/>
          <w:b/>
          <w:bCs/>
          <w:sz w:val="32"/>
          <w:szCs w:val="32"/>
          <w:lang w:val="zh-CN"/>
        </w:rPr>
      </w:pPr>
      <w:r>
        <w:rPr>
          <w:rFonts w:ascii="Times New Roman" w:hAnsi="Times New Roman" w:eastAsiaTheme="minorEastAsia"/>
          <w:b/>
          <w:color w:val="000000"/>
          <w:szCs w:val="21"/>
        </w:rPr>
        <w:br w:type="page"/>
      </w:r>
    </w:p>
    <w:p w14:paraId="5AE6F90E">
      <w:pPr>
        <w:adjustRightInd w:val="0"/>
        <w:snapToGrid w:val="0"/>
        <w:spacing w:line="360" w:lineRule="auto"/>
        <w:ind w:firstLine="643" w:firstLineChars="200"/>
        <w:jc w:val="center"/>
        <w:rPr>
          <w:rFonts w:hint="eastAsia" w:ascii="宋体" w:hAnsi="宋体" w:eastAsia="宋体" w:cs="宋体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zh-CN" w:eastAsia="zh-CN" w:bidi="ar-SA"/>
        </w:rPr>
        <w:t>拟签订的合同条款文本</w:t>
      </w:r>
    </w:p>
    <w:p w14:paraId="50447578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 xml:space="preserve">甲方（采购人）： </w:t>
      </w:r>
    </w:p>
    <w:p w14:paraId="16B1170F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乙方（</w:t>
      </w:r>
      <w:r>
        <w:rPr>
          <w:rFonts w:hint="eastAsia" w:ascii="宋体" w:hAnsi="宋体" w:cs="宋体"/>
          <w:bCs/>
          <w:sz w:val="24"/>
          <w:szCs w:val="24"/>
          <w:highlight w:val="none"/>
          <w:lang w:eastAsia="zh-CN"/>
        </w:rPr>
        <w:t>中标供应商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 xml:space="preserve">）： </w:t>
      </w:r>
    </w:p>
    <w:p w14:paraId="0CD47E89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，由</w:t>
      </w:r>
      <w:r>
        <w:rPr>
          <w:rFonts w:hint="eastAsia" w:ascii="宋体" w:hAnsi="宋体" w:cs="宋体"/>
          <w:bCs/>
          <w:sz w:val="24"/>
          <w:szCs w:val="24"/>
          <w:highlight w:val="none"/>
          <w:lang w:val="en-US" w:eastAsia="zh-CN"/>
        </w:rPr>
        <w:t>西安建工建设工程招标有限公司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组织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eastAsia="zh-CN"/>
        </w:rPr>
        <w:t>招标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，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(以下简称“甲方”)确定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（以下简称“乙方”）为该项目的</w:t>
      </w:r>
      <w:r>
        <w:rPr>
          <w:rFonts w:hint="eastAsia" w:ascii="宋体" w:hAnsi="宋体" w:cs="宋体"/>
          <w:bCs/>
          <w:sz w:val="24"/>
          <w:szCs w:val="24"/>
          <w:highlight w:val="none"/>
          <w:lang w:eastAsia="zh-CN"/>
        </w:rPr>
        <w:t>中标供应商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。</w:t>
      </w:r>
    </w:p>
    <w:p w14:paraId="5294AF3D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依据《中华人民共和国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>民法典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》和《中华人民共和国政府采购法》之规定，经双方在平等、自愿、互利的基础上，签订本合同，共同信守。</w:t>
      </w:r>
    </w:p>
    <w:p w14:paraId="55503133">
      <w:pPr>
        <w:tabs>
          <w:tab w:val="center" w:pos="4537"/>
        </w:tabs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b/>
          <w:sz w:val="24"/>
          <w:szCs w:val="24"/>
        </w:rPr>
        <w:t>、委托工作内容</w:t>
      </w:r>
    </w:p>
    <w:p w14:paraId="4791457D">
      <w:pPr>
        <w:tabs>
          <w:tab w:val="center" w:pos="4537"/>
        </w:tabs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default" w:ascii="宋体" w:hAnsi="宋体" w:eastAsia="宋体" w:cs="宋体"/>
          <w:b w:val="0"/>
          <w:bCs/>
          <w:sz w:val="24"/>
          <w:szCs w:val="24"/>
          <w:u w:val="single"/>
        </w:rPr>
      </w:pP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工作内容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：</w:t>
      </w:r>
      <w:r>
        <w:rPr>
          <w:rFonts w:hint="eastAsia" w:ascii="宋体" w:hAnsi="宋体" w:cs="宋体"/>
          <w:b w:val="0"/>
          <w:bCs/>
          <w:sz w:val="24"/>
          <w:szCs w:val="24"/>
          <w:u w:val="single"/>
          <w:lang w:val="en-US" w:eastAsia="zh-CN"/>
        </w:rPr>
        <w:t xml:space="preserve">            </w:t>
      </w:r>
    </w:p>
    <w:p w14:paraId="09366E3B">
      <w:pPr>
        <w:keepNext w:val="0"/>
        <w:keepLines w:val="0"/>
        <w:pageBreakBefore w:val="0"/>
        <w:widowControl w:val="0"/>
        <w:tabs>
          <w:tab w:val="center" w:pos="4537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（2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硬件设备采购内容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1137"/>
        <w:gridCol w:w="1113"/>
        <w:gridCol w:w="1852"/>
        <w:gridCol w:w="531"/>
        <w:gridCol w:w="547"/>
        <w:gridCol w:w="936"/>
        <w:gridCol w:w="936"/>
        <w:gridCol w:w="831"/>
      </w:tblGrid>
      <w:tr w14:paraId="511A5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C884B">
            <w:pPr>
              <w:tabs>
                <w:tab w:val="left" w:pos="4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A9A9B">
            <w:pPr>
              <w:tabs>
                <w:tab w:val="left" w:pos="4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货物名称</w:t>
            </w: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CAC5B">
            <w:pPr>
              <w:tabs>
                <w:tab w:val="left" w:pos="4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生产厂家</w:t>
            </w:r>
          </w:p>
        </w:tc>
        <w:tc>
          <w:tcPr>
            <w:tcW w:w="1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6D097">
            <w:pPr>
              <w:tabs>
                <w:tab w:val="left" w:pos="4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品牌/型号规格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A9CF8">
            <w:pPr>
              <w:tabs>
                <w:tab w:val="left" w:pos="4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产地</w:t>
            </w:r>
          </w:p>
        </w:tc>
        <w:tc>
          <w:tcPr>
            <w:tcW w:w="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21161">
            <w:pPr>
              <w:tabs>
                <w:tab w:val="left" w:pos="4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数量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7CC38">
            <w:pPr>
              <w:tabs>
                <w:tab w:val="left" w:pos="4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单价</w:t>
            </w:r>
          </w:p>
          <w:p w14:paraId="124F98B2">
            <w:pPr>
              <w:tabs>
                <w:tab w:val="left" w:pos="4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（元）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7E9B6">
            <w:pPr>
              <w:tabs>
                <w:tab w:val="left" w:pos="4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总价</w:t>
            </w:r>
          </w:p>
          <w:p w14:paraId="45B6EE99">
            <w:pPr>
              <w:tabs>
                <w:tab w:val="left" w:pos="4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（元）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FE3B5">
            <w:pPr>
              <w:tabs>
                <w:tab w:val="left" w:pos="4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备注</w:t>
            </w:r>
          </w:p>
        </w:tc>
      </w:tr>
      <w:tr w14:paraId="6E923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82BC2">
            <w:pPr>
              <w:tabs>
                <w:tab w:val="left" w:pos="4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F0626">
            <w:pPr>
              <w:tabs>
                <w:tab w:val="left" w:pos="4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xxxx</w:t>
            </w: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C8A63">
            <w:pPr>
              <w:tabs>
                <w:tab w:val="left" w:pos="4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Xxxx</w:t>
            </w:r>
          </w:p>
        </w:tc>
        <w:tc>
          <w:tcPr>
            <w:tcW w:w="1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26719">
            <w:pPr>
              <w:tabs>
                <w:tab w:val="left" w:pos="4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Xxxx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DD88A">
            <w:pPr>
              <w:tabs>
                <w:tab w:val="left" w:pos="4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xxxx</w:t>
            </w:r>
          </w:p>
        </w:tc>
        <w:tc>
          <w:tcPr>
            <w:tcW w:w="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7066B">
            <w:pPr>
              <w:tabs>
                <w:tab w:val="left" w:pos="4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xxxx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EC450">
            <w:pPr>
              <w:tabs>
                <w:tab w:val="left" w:pos="4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xxxx</w:t>
            </w:r>
          </w:p>
        </w:tc>
        <w:tc>
          <w:tcPr>
            <w:tcW w:w="9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A90B6D">
            <w:pPr>
              <w:tabs>
                <w:tab w:val="left" w:pos="4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xxxx</w:t>
            </w:r>
          </w:p>
        </w:tc>
        <w:tc>
          <w:tcPr>
            <w:tcW w:w="8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2D9116">
            <w:pPr>
              <w:tabs>
                <w:tab w:val="left" w:pos="4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79C3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07A63">
            <w:pPr>
              <w:tabs>
                <w:tab w:val="left" w:pos="4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8E74C">
            <w:pPr>
              <w:tabs>
                <w:tab w:val="left" w:pos="4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xxxx</w:t>
            </w: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401C3">
            <w:pPr>
              <w:tabs>
                <w:tab w:val="left" w:pos="4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Xxxx</w:t>
            </w:r>
          </w:p>
        </w:tc>
        <w:tc>
          <w:tcPr>
            <w:tcW w:w="1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635A8">
            <w:pPr>
              <w:tabs>
                <w:tab w:val="left" w:pos="4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Xxxx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A0F9D">
            <w:pPr>
              <w:tabs>
                <w:tab w:val="left" w:pos="4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xxxx</w:t>
            </w:r>
          </w:p>
        </w:tc>
        <w:tc>
          <w:tcPr>
            <w:tcW w:w="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5F09A">
            <w:pPr>
              <w:tabs>
                <w:tab w:val="left" w:pos="4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xxxx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9BB69">
            <w:pPr>
              <w:tabs>
                <w:tab w:val="left" w:pos="4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xxxx</w:t>
            </w:r>
          </w:p>
        </w:tc>
        <w:tc>
          <w:tcPr>
            <w:tcW w:w="9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C9385F">
            <w:pPr>
              <w:tabs>
                <w:tab w:val="left" w:pos="4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3321FC">
            <w:pPr>
              <w:tabs>
                <w:tab w:val="left" w:pos="4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5912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B9989">
            <w:pPr>
              <w:tabs>
                <w:tab w:val="left" w:pos="4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…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678D2">
            <w:pPr>
              <w:tabs>
                <w:tab w:val="left" w:pos="4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…</w:t>
            </w: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34438">
            <w:pPr>
              <w:tabs>
                <w:tab w:val="left" w:pos="4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…</w:t>
            </w:r>
          </w:p>
        </w:tc>
        <w:tc>
          <w:tcPr>
            <w:tcW w:w="1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A5911">
            <w:pPr>
              <w:tabs>
                <w:tab w:val="left" w:pos="4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…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A788D">
            <w:pPr>
              <w:tabs>
                <w:tab w:val="left" w:pos="4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…</w:t>
            </w:r>
          </w:p>
        </w:tc>
        <w:tc>
          <w:tcPr>
            <w:tcW w:w="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42261">
            <w:pPr>
              <w:tabs>
                <w:tab w:val="left" w:pos="4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…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84E5A">
            <w:pPr>
              <w:tabs>
                <w:tab w:val="left" w:pos="4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…</w:t>
            </w:r>
          </w:p>
        </w:tc>
        <w:tc>
          <w:tcPr>
            <w:tcW w:w="9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FA45A">
            <w:pPr>
              <w:tabs>
                <w:tab w:val="left" w:pos="4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B4F30">
            <w:pPr>
              <w:tabs>
                <w:tab w:val="left" w:pos="4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D321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852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5E05C">
            <w:pPr>
              <w:tabs>
                <w:tab w:val="left" w:pos="480"/>
              </w:tabs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货物价款合计（元）： xxxx</w:t>
            </w:r>
          </w:p>
        </w:tc>
      </w:tr>
    </w:tbl>
    <w:p w14:paraId="4B4BF59A"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 w14:paraId="3840DDFE">
      <w:pPr>
        <w:pStyle w:val="2"/>
        <w:spacing w:after="0"/>
        <w:ind w:firstLine="480" w:firstLineChars="200"/>
        <w:jc w:val="left"/>
        <w:rPr>
          <w:rFonts w:hint="default" w:ascii="Times New Roman" w:hAnsi="Times New Roman" w:eastAsia="宋体" w:cs="Times New Roman"/>
          <w:b w:val="0"/>
          <w:sz w:val="21"/>
          <w:szCs w:val="20"/>
          <w:highlight w:val="none"/>
        </w:rPr>
      </w:pPr>
      <w:r>
        <w:rPr>
          <w:rFonts w:hint="eastAsia" w:ascii="宋体" w:hAnsi="宋体" w:eastAsia="宋体" w:cs="宋体"/>
          <w:sz w:val="24"/>
          <w:szCs w:val="24"/>
        </w:rPr>
        <w:t>设备价款合计（人民币）：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￥____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元（大写：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____________________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 w14:paraId="4B67A30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、合同价款</w:t>
      </w:r>
    </w:p>
    <w:p w14:paraId="2EF1380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（一）合同总价款为人民币（大写）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￥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）。</w:t>
      </w:r>
    </w:p>
    <w:p w14:paraId="7E1AA4F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default" w:ascii="宋体" w:hAnsi="宋体" w:eastAsia="宋体" w:cs="宋体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（二）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合同总价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>包括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但不限于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人工费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设备费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安装费、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  <w:t>服务费、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培训费、管理费、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交通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费、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住宿费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、税金等一切相关费用，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服务期内甲方不再增加任何费用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。</w:t>
      </w:r>
    </w:p>
    <w:p w14:paraId="6E63BFE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（三）合同总价一次性包死，不受市场价格变化因素的影响。</w:t>
      </w:r>
    </w:p>
    <w:p w14:paraId="5BC71DB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、款项结算</w:t>
      </w:r>
    </w:p>
    <w:p w14:paraId="3F20057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（一）项款支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付:</w:t>
      </w:r>
    </w:p>
    <w:p w14:paraId="186FA6C1">
      <w:pPr>
        <w:keepNext w:val="0"/>
        <w:keepLines w:val="0"/>
        <w:pageBreakBefore w:val="0"/>
        <w:widowControl/>
        <w:kinsoku/>
        <w:wordWrap w:val="0"/>
        <w:overflowPunct/>
        <w:topLinePunct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根据实施进度支付资金，合同签订后，10个工作日内支付合同总价款的40%</w:t>
      </w:r>
      <w:r>
        <w:rPr>
          <w:rFonts w:hint="eastAsia" w:ascii="宋体" w:hAnsi="宋体" w:cs="宋体"/>
          <w:bCs/>
          <w:sz w:val="24"/>
          <w:szCs w:val="24"/>
          <w:highlight w:val="none"/>
          <w:lang w:eastAsia="zh-CN"/>
        </w:rPr>
        <w:t>；</w:t>
      </w:r>
      <w:r>
        <w:rPr>
          <w:rFonts w:hint="eastAsia" w:ascii="宋体" w:hAnsi="宋体" w:cs="宋体"/>
          <w:bCs/>
          <w:sz w:val="24"/>
          <w:szCs w:val="24"/>
          <w:highlight w:val="none"/>
          <w:lang w:val="en-US" w:eastAsia="zh-CN"/>
        </w:rPr>
        <w:t>项目实施进度达到80%后</w:t>
      </w:r>
      <w:r>
        <w:rPr>
          <w:rFonts w:hint="eastAsia" w:ascii="宋体" w:hAnsi="宋体" w:cs="宋体"/>
          <w:bCs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10个工作日内支付合同总价款的</w:t>
      </w:r>
      <w:r>
        <w:rPr>
          <w:rFonts w:hint="eastAsia" w:ascii="宋体" w:hAnsi="宋体" w:cs="宋体"/>
          <w:bCs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0%</w:t>
      </w:r>
      <w:r>
        <w:rPr>
          <w:rFonts w:hint="eastAsia" w:ascii="宋体" w:hAnsi="宋体" w:cs="宋体"/>
          <w:bCs/>
          <w:sz w:val="24"/>
          <w:szCs w:val="24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2026年12月底前，</w:t>
      </w:r>
      <w:r>
        <w:rPr>
          <w:rFonts w:hint="eastAsia" w:ascii="宋体" w:hAnsi="宋体" w:cs="宋体"/>
          <w:bCs/>
          <w:sz w:val="24"/>
          <w:szCs w:val="24"/>
          <w:highlight w:val="none"/>
          <w:lang w:val="en-US" w:eastAsia="zh-CN"/>
        </w:rPr>
        <w:t>按照双方约定支付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，达到双方约定条件的10个工作日内，支付合同价款的</w:t>
      </w:r>
      <w:r>
        <w:rPr>
          <w:rFonts w:hint="eastAsia" w:ascii="宋体" w:hAnsi="宋体" w:cs="宋体"/>
          <w:bCs/>
          <w:sz w:val="24"/>
          <w:szCs w:val="24"/>
          <w:highlight w:val="none"/>
          <w:lang w:eastAsia="zh-CN"/>
        </w:rPr>
        <w:t>3</w:t>
      </w:r>
      <w:r>
        <w:rPr>
          <w:rFonts w:hint="eastAsia" w:ascii="宋体" w:hAnsi="宋体" w:cs="宋体"/>
          <w:bCs/>
          <w:sz w:val="24"/>
          <w:szCs w:val="24"/>
          <w:highlight w:val="none"/>
          <w:lang w:val="en-US" w:eastAsia="zh-CN"/>
        </w:rPr>
        <w:t>0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%。</w:t>
      </w:r>
    </w:p>
    <w:p w14:paraId="6FEEB7F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（二）支付方式：银行转账。</w:t>
      </w:r>
    </w:p>
    <w:p w14:paraId="0982022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（三）结算方式：乙方在接受付款前，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根据支付方式开具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发票给甲方。</w:t>
      </w:r>
    </w:p>
    <w:p w14:paraId="0CEF4F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（四）验收依据：根据招标文件、投标文件、合同及国家相关标准：验收清单（注明各成果资料的品名、数量）。</w:t>
      </w:r>
    </w:p>
    <w:p w14:paraId="58BC5AC9">
      <w:pPr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sz w:val="24"/>
          <w:szCs w:val="24"/>
          <w:highlight w:val="none"/>
        </w:rPr>
      </w:pPr>
      <w:r>
        <w:rPr>
          <w:rFonts w:hint="eastAsia" w:ascii="宋体" w:hAnsi="宋体" w:cs="宋体"/>
          <w:b/>
          <w:sz w:val="24"/>
          <w:szCs w:val="24"/>
          <w:highlight w:val="none"/>
          <w:lang w:val="en-US" w:eastAsia="zh-CN"/>
        </w:rPr>
        <w:t>四、</w:t>
      </w:r>
      <w:r>
        <w:rPr>
          <w:rFonts w:hint="eastAsia" w:ascii="宋体" w:hAnsi="宋体" w:cs="宋体"/>
          <w:b/>
          <w:sz w:val="24"/>
          <w:szCs w:val="24"/>
          <w:highlight w:val="none"/>
        </w:rPr>
        <w:t>履约保证金</w:t>
      </w:r>
    </w:p>
    <w:p w14:paraId="04DDF10E">
      <w:pPr>
        <w:keepNext w:val="0"/>
        <w:keepLines w:val="0"/>
        <w:widowControl w:val="0"/>
        <w:suppressLineNumbers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  <w:t>采购包1：缴纳</w:t>
      </w:r>
    </w:p>
    <w:p w14:paraId="48BE2A84">
      <w:pPr>
        <w:keepNext w:val="0"/>
        <w:keepLines w:val="0"/>
        <w:widowControl w:val="0"/>
        <w:suppressLineNumbers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  <w:t>本采购包履约保证金为合同金额的5%</w:t>
      </w:r>
    </w:p>
    <w:p w14:paraId="3C51E2B1">
      <w:pPr>
        <w:keepNext w:val="0"/>
        <w:keepLines w:val="0"/>
        <w:widowControl w:val="0"/>
        <w:suppressLineNumbers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  <w:t>说明：1）中标单位在签订合同前须向招标人交纳合同总金额5%的履约保证金。</w:t>
      </w:r>
    </w:p>
    <w:p w14:paraId="57467007">
      <w:pPr>
        <w:keepNext w:val="0"/>
        <w:keepLines w:val="0"/>
        <w:widowControl w:val="0"/>
        <w:suppressLineNumbers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  <w:t>2）中标单位无正当理由不与招标人订立合同，在签订合同时向招标人提出附加条件，或者不按照招标文件要求提交履约保证金的，取消其中标资格。</w:t>
      </w:r>
    </w:p>
    <w:p w14:paraId="099AB59E">
      <w:pPr>
        <w:keepNext w:val="0"/>
        <w:keepLines w:val="0"/>
        <w:widowControl w:val="0"/>
        <w:suppressLineNumbers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  <w:t>3）项目验收合格30日历天内，招标人向中标单位无息退还履约保证金。</w:t>
      </w:r>
    </w:p>
    <w:p w14:paraId="6C3BDF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、服务要求</w:t>
      </w:r>
    </w:p>
    <w:p w14:paraId="4DE7C6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（一）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  <w:t>服务期限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  <w:t>。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highlight w:val="none"/>
        </w:rPr>
        <w:br w:type="textWrapping"/>
      </w:r>
      <w:r>
        <w:rPr>
          <w:rFonts w:hint="eastAsia" w:ascii="宋体" w:hAnsi="宋体" w:cs="宋体"/>
          <w:bCs/>
          <w:kern w:val="0"/>
          <w:sz w:val="24"/>
          <w:szCs w:val="24"/>
          <w:highlight w:val="none"/>
          <w:lang w:eastAsia="zh-CN"/>
        </w:rPr>
        <w:t xml:space="preserve"> </w:t>
      </w:r>
      <w:r>
        <w:rPr>
          <w:rFonts w:hint="eastAsia" w:ascii="宋体" w:hAnsi="宋体" w:cs="宋体"/>
          <w:bCs/>
          <w:kern w:val="0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（二）服务地点：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  <w:t>。</w:t>
      </w:r>
    </w:p>
    <w:p w14:paraId="4C3E1A6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482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、服务承诺：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要求具有完善的管理及服务体系、高效的工作作风。</w:t>
      </w:r>
    </w:p>
    <w:p w14:paraId="4653955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七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、甲乙双方权利与义务</w:t>
      </w:r>
    </w:p>
    <w:p w14:paraId="629E4A58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cs="宋体"/>
          <w:b w:val="0"/>
          <w:bCs w:val="0"/>
          <w:sz w:val="24"/>
          <w:szCs w:val="24"/>
          <w:lang w:val="en-US" w:eastAsia="zh-CN"/>
        </w:rPr>
        <w:t>（一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）甲方权利与义务</w:t>
      </w:r>
    </w:p>
    <w:p w14:paraId="16A9205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1、监督检查权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甲方有权对乙方项目实施全过程进行合规检查、动态监督，对履约过程中存在的不规范、不合格问题，可向乙方出具书面整改通知，明确整改时限与整改标准，乙方须按期闭环整改；对乙方严重违约、影响项目质量及履约进度的行为，甲方有权依据合同及政府采购相关规定追究违约责任。</w:t>
      </w:r>
    </w:p>
    <w:p w14:paraId="436C216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2、人员管控权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甲方有权核查乙方现场作业、项目服务人员在岗及履职情况，对履职不合格、不适岗、不满足项目服务要求的人员，有权书面要求乙方更换，乙方须在收到通知之日起5日内完成人员调整到位，不得影响项目正常实施。</w:t>
      </w:r>
    </w:p>
    <w:p w14:paraId="4FE1D3D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3、合同变更权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甲乙双方可依据政策调整、项目实际合理需求，协商变更、补充合同内容。所有合同变更、补充事项，均须严格按照政府采购管理规定，签订书面补充协议，未经书面确认的变更无效，严禁私下变更合同实质性内容。</w:t>
      </w:r>
    </w:p>
    <w:p w14:paraId="5813F73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4、资料成果所有权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甲方有权查阅、复制、留存乙方本项目全部工作资料、过程台账及检测成果，本项目所有履约成果、检测数据、技术资料的知识产权及所有权归甲方所有，乙方不得擅自使用、外泄或挪作他用。</w:t>
      </w:r>
    </w:p>
    <w:p w14:paraId="4E5446F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5、合规履约义务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甲方严格按照合同约定及政府采购资金管理规定，按期足额履行付款义务，配合乙方完成项目实施、验收、交付等相关合规工作，不得设置无依据的履约门槛。</w:t>
      </w:r>
    </w:p>
    <w:p w14:paraId="500F3D2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（二）乙方权利与义务</w:t>
      </w:r>
    </w:p>
    <w:p w14:paraId="47AC3D8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1、合规履约义务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乙方须严格遵照国家现行行业标准、技术规范、政府采购要求及本合同约定开展项目实施，保质保量、按期完成全部服务内容，提交符合验收标准的履约成果，充分满足甲方采购需求；乙方可基于项目合规实施前提，向甲方提出合理化业务优化建议。</w:t>
      </w:r>
    </w:p>
    <w:p w14:paraId="31D01B6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2、服从监管与变更报批义务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乙方须主动接受甲方及政府采购监管部门的监督、检查与合规指导，全面落实合同约定的各项工作任务。项目实施内容、服务方案如需调整变更，乙方必须提前提交书面变更申请，详细说明变更理由及影响，经甲方书面批复同意后方可实施，严禁擅自变更合同实质性履约内容。</w:t>
      </w:r>
    </w:p>
    <w:p w14:paraId="7728E6C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3、人员管理与安全主体责任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乙方全面承担本项目工作人员的主体管理责任，须在合同签订后5日内，严格按照投标文件承诺足额组建项目团队、配齐岗位人员并全员到岗履职，确保人员资质、专业能力满足岗位履职要求。乙方负责全员安全教育、作业管控、车辆及设备工具安全管理，项目实施全过程发生的人员安全事故、管理纠纷、违规问题等，全部由乙方独立承担责任，甲方不承担任何连带责任。</w:t>
      </w:r>
    </w:p>
    <w:p w14:paraId="543B2B6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4、人员稳定与团队管理义务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乙方须向甲方报备完整的项目工作人员台账，保障一线服务人员、项目骨干人员相对稳定，不得随意更换核心岗位人员；确因特殊情况需要更换的，须提前书面报备甲方并征得甲方同意，确保项目实施连续性、稳定性。</w:t>
      </w:r>
    </w:p>
    <w:p w14:paraId="5D63207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5、合规履职与保密义务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乙方所有现场作业人员须严格遵守甲方现场管理、安全保卫、保密管理等各项规章制度，严格履行项目资料、数据信息保密义务，严禁泄露甲方涉密资料及项目信息。对甲方认定不适岗、不合格、违规履职的工作人员，乙方须无条件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及时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更换。</w:t>
      </w:r>
    </w:p>
    <w:p w14:paraId="59BB3D2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八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、技术支持与服务承诺</w:t>
      </w:r>
    </w:p>
    <w:p w14:paraId="341B4B0C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（一）技术资料交付</w:t>
      </w:r>
    </w:p>
    <w:p w14:paraId="153DE15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乙方须完整、真实、合规向甲方交付全套项目技术及合规资料，所有资料真实有效、手续齐全，具体包含：货物出厂合格证、中文官方使用说明书；进口货物须同步提供合法有效的商检证明、海关报关单；第三方权威机构出具的产品检验检测报告及项目配套佐证资料，所有资料均满足甲方归档、验收、运维及审计备查要求。</w:t>
      </w:r>
    </w:p>
    <w:p w14:paraId="47D928AF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（二）操作培训服务</w:t>
      </w:r>
    </w:p>
    <w:p w14:paraId="6A4B1D5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设备安装调试、试运行合格后，乙方须免费为甲方操作人员、管理人员提供全覆盖、专业化实操培训，内容包含设备操作、日常保养、基础故障排查、安全规范操作等内容，确保甲方人员熟练掌握设备使用技能。培训完成并经甲方确认合格，作为项目履约验收的必备条件，未完成培训或培训不合格的，不予通过验收。</w:t>
      </w:r>
    </w:p>
    <w:p w14:paraId="73FD9DE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（三）服务执行依据</w:t>
      </w:r>
    </w:p>
    <w:p w14:paraId="2DC474D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本项目全部技术服务、现场履约、售后保障、培训服务等所有服务事项，均严格以本合同、招标文件、投标文件、答疑澄清文件及官方配套技术文件为唯一合法执行依据，各方均不得作出违背采购文件实质性内容的约定。</w:t>
      </w:r>
    </w:p>
    <w:p w14:paraId="7EA53D0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九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、售后服务保障</w:t>
      </w:r>
    </w:p>
    <w:p w14:paraId="141DA41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（一）质保期内免费服务</w:t>
      </w:r>
    </w:p>
    <w:p w14:paraId="591857E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1、质保期内，乙方提供全程免费设备维护、故障维修、零部件更换服务，免收设备费、人工费、上门费、耗材费等一切费用，全面保障设备正常履约运行。</w:t>
      </w:r>
    </w:p>
    <w:p w14:paraId="0E6F2FE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2、质保期内乙方实行定期现场巡检制度，安排专业技术人员现场走访、设备排查、调试保养，提前消除运行隐患，降低设备故障风险，保障系统稳定运行。</w:t>
      </w:r>
    </w:p>
    <w:p w14:paraId="31AFA77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3、故障响应与处置时限：设备发生故障后，乙方须在48小时内完成故障响应、排查及修复。若乙方逾期未处置、处置不达标或无法修复，甲方有权自主委托第三方机构开展维修服务，由此产生的全部维修费用、人工费用、耗材费用、运维损失均由乙方全额承担，甲方有权从履约保证金或合同款项中直接抵扣。</w:t>
      </w:r>
    </w:p>
    <w:p w14:paraId="0B6E11AC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（二）质保期满前置维保</w:t>
      </w:r>
    </w:p>
    <w:p w14:paraId="3424236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项目设备质保期届满前15日内，乙方须对整套设备及系统开展全覆盖性能检测、深度保养、系统调试及隐患清零，完成全面维保工作并出具书面维保报告，确保设备、系统持续稳定正常运行，保障质保期满后设备可正常使用。</w:t>
      </w:r>
    </w:p>
    <w:p w14:paraId="6CABFB9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（三）软件免费维护升级</w:t>
      </w:r>
    </w:p>
    <w:p w14:paraId="5045B63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项目履约及质保周期内，乙方免费提供设备配套系统软件、应用软件的日常运维、漏洞修复、兼容性优化及官方版本升级服务（如有新版），全程免收软件服务费、升级费，保障软件系统适配设备运行、满足甲方使用需求。</w:t>
      </w:r>
    </w:p>
    <w:p w14:paraId="669F8E5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（四）质保期外备件与维修服务</w:t>
      </w:r>
    </w:p>
    <w:p w14:paraId="71A5AC8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乙方建立充足的设备备件储备机制，保障备件供应及时、型号匹配。质保期届满后，乙方为甲方提供厂家专属优惠维修及备件更换服务，收费标准低于市场通用价格。乙方须在项目履约初期向甲方提交正式、有效的厂家优惠备件价格表，价格公开透明、有据可查，作为后期运维收费依据，严禁乱收费、高价收费。</w:t>
      </w:r>
    </w:p>
    <w:p w14:paraId="3BECF05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十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验收组织与主体</w:t>
      </w:r>
    </w:p>
    <w:p w14:paraId="7455D17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本项目履约验收由采购人负责组织实施。采购人可根据项目规模及复杂程度，组建验收小组，可视情邀请行业专家、第三方专业机构参与验收。验收全程留痕存档，验收结论作为项目履约认定、资金支付、履约保证金退还的有效依据。</w:t>
      </w:r>
    </w:p>
    <w:p w14:paraId="0C4D06F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（一）验收费用</w:t>
      </w:r>
    </w:p>
    <w:p w14:paraId="2275C4C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本项目验收全过程产生的所有费用，含核验、检测、整改复检、第三方评审等相关费用，全部由中标供应商自行承担，采购人不另行支付任何费用。</w:t>
      </w:r>
    </w:p>
    <w:p w14:paraId="217B9EF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（二）验收程序</w:t>
      </w:r>
    </w:p>
    <w:p w14:paraId="360B4C0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本项目履约验收依次开展到货开箱验收、设备自检及验收申请、服务履约过程验收、最终履约验收，同步完成资料归集归档。项目履约完成、服务期满后，供应商向采购人提交验收申请及相关材料，采购人核查受理后组织正式验收。</w:t>
      </w:r>
    </w:p>
    <w:p w14:paraId="55EA85E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（三）到货开箱验收</w:t>
      </w:r>
    </w:p>
    <w:p w14:paraId="6FDB104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货物送达指定地点后，供需双方共同完成现场开箱核验，对照采购文件、投标文件及合同约定，核查货物品牌、规格型号、技术参数、数量、外观及出厂资料等内容，核对与投标承诺一致性。双方签署到货验收记录，作为后续履约验收的基础依据。</w:t>
      </w:r>
    </w:p>
    <w:p w14:paraId="6808A59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（四）设备自检与验收申请</w:t>
      </w:r>
    </w:p>
    <w:p w14:paraId="29A4D60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供应商完成货物安装、调试、试运行工作，确保设备及配套服务达标后，须完成全面自检并出具合规自检报告。自检合格的，向采购人提交书面验收申请及全套履约资料，申请启动最终验收。</w:t>
      </w:r>
    </w:p>
    <w:p w14:paraId="335B433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（五）政府采购服务专项验收</w:t>
      </w:r>
    </w:p>
    <w:p w14:paraId="5FC492A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1. 服务过程验收：履约期内，供应商须严格按照合同约定的服务标准、服务频次、响应时效、人员配置、值守机制开展服务。采购人对日常服务台账、巡检记录、工单处置、问题整改、在岗履职情况进行常态化核查，服务过程台账、现场佐证、沟通回执、整改闭环记录作为验收必备依据，缺项、漏项、无痕迹视为履约不到位。</w:t>
      </w:r>
    </w:p>
    <w:p w14:paraId="3157737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2. 服务人员验收：核查驻场/服务人员配置数量、岗位资质、在岗考勤、人员稳定性、培训情况，严禁擅自空岗、脱岗、私自换岗，人员履约不达标不予通过验收。</w:t>
      </w:r>
    </w:p>
    <w:p w14:paraId="6135072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3.服务质量与时效验收：对照合同约定响应时限、故障处置时长、巡检频次、报送周期、服务规范等量化指标逐项核验，超时处置、服务滞后、质量不达标、未按期提交成果资料的，视为履约瑕疵，供应商须限期整改。</w:t>
      </w:r>
    </w:p>
    <w:p w14:paraId="10468F1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4. 服务满意度与成效验收：采购人结合日常使用评价、科室反馈、服务台账完成综合考评，公共服务类项目可结合服务对象评价开展验收。履约期内存在有效投诉、服务事故、重复问题未闭环的，不予验收通过。</w:t>
      </w:r>
    </w:p>
    <w:p w14:paraId="472D9DD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5. 服务成果交付验收：供应商须按期提交工作总结、分析报告、运维台账、培训记录、技术文档、售后保障方案等全部服务成果，确保成果完整、规范、可溯源，满足归档及审计要求。</w:t>
      </w:r>
    </w:p>
    <w:p w14:paraId="1115A9F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6. 服务整改机制：服务验收发现的问题，供应商须无条件免费限期整改、闭环复验，产生的所有费用、工期延误及违约责任由供应商自行承担，直至服务履约全部达标。</w:t>
      </w:r>
    </w:p>
    <w:p w14:paraId="4544041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（六）最终履约验收</w:t>
      </w:r>
    </w:p>
    <w:p w14:paraId="23E623A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采购人核查履约资料齐全、设备运行正常、各项服务履约到位后，组织开展最终履约验收，验收内容涵盖货物质量、参数达标情况、设备运行状态、技术服务、培训交付、售后保障等全部合同履约事项。</w:t>
      </w:r>
    </w:p>
    <w:p w14:paraId="52BC1A4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验收合格的，采购人出具验收合格文书，确认项目履约完成，作为结算支付依据。验收不合格的，供应商须无条件限期免费整改、复检，直至验收合格，由此产生的全部费用、履约延误及违约责任由供应商自行承担。</w:t>
      </w:r>
    </w:p>
    <w:p w14:paraId="50BB021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（七）验收资料归档</w:t>
      </w:r>
    </w:p>
    <w:p w14:paraId="45B21184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供应商须完整归集整理项目全过程资料，按期向采购人提交到货记录、安装调试报告、试运行资料、自检报告、培训台账、设备资质证书、维保方案、服务台账、巡检记录、工单闭环资料、服务总结、满意度评价、人员履约佐证等全套履约资料。资料须真实完整、格式规范，满足政府采购归档、审计稽查、运维溯源的法定要求，资料不合格的，采购人可不予受理验收。</w:t>
      </w:r>
    </w:p>
    <w:p w14:paraId="6AF5BC9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（八）验收依据及优先级</w:t>
      </w:r>
    </w:p>
    <w:p w14:paraId="19D41C54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本项目验收严格依法依规执行，验收依据优先级依次为：</w:t>
      </w:r>
    </w:p>
    <w:p w14:paraId="318D736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1、本项目政府采购合同及全部附件、补充协议；</w:t>
      </w:r>
    </w:p>
    <w:p w14:paraId="018D3D0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2、国家及行业现行有效强制性标准、技术规范；</w:t>
      </w:r>
    </w:p>
    <w:p w14:paraId="5293F1C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3、本项目招标文件、投标文件、答疑澄清及更正文件；</w:t>
      </w:r>
    </w:p>
    <w:p w14:paraId="40AC335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4、政府采购现行管理办法、财政监管规范性文件。</w:t>
      </w:r>
    </w:p>
    <w:p w14:paraId="67AD0F1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项目验收严格依照上述标准执行，全程有据可依、留痕可溯，确保验收程序合规、结论公正规范。</w:t>
      </w:r>
    </w:p>
    <w:p w14:paraId="1589DF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十一、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其它事项</w:t>
      </w:r>
    </w:p>
    <w:p w14:paraId="56F9C20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（一）乙方不得将项目转让、分包给其它单位或个人。</w:t>
      </w:r>
    </w:p>
    <w:p w14:paraId="0E2DFA7F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beforeAutospacing="0" w:after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  <w:t>（二）乙方的</w:t>
      </w: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  <w:t>投标文件</w:t>
      </w: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  <w:t>和承诺等内容将列入合同。</w:t>
      </w:r>
    </w:p>
    <w:p w14:paraId="0E62892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十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、违约责任</w:t>
      </w:r>
    </w:p>
    <w:p w14:paraId="7B42083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（一）本合同违约责任适用《中华人民共和国政府采购法》《中华人民共和国民法典》相关法律法规条款执行。</w:t>
      </w:r>
    </w:p>
    <w:p w14:paraId="694C8C6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二）乙方未按合同要求提供货物、服务，或货物质量、服务标准无法满足本次招标文件技术及服务要求的，乙方须无条件整改，优化技术方案、完善产品质量及服务体系。若乙方拒不整改或整改后仍不达标，甲方有权单方解除合同，甲方出具的书面解除通知书送达乙方之日，即视为本合同正式解除，同时甲方有权追究乙方全部违约责任：</w:t>
      </w:r>
    </w:p>
    <w:p w14:paraId="0B3B818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1、乙方全额赔偿甲方因合同解除产生的全部损失，包括但不限于项目重新采购产生的各项费用、设备无法按期交付使用产生的租赁费用、甲方对第三方产生的违约赔偿金及其他一切关联损失；</w:t>
      </w:r>
    </w:p>
    <w:p w14:paraId="0840697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2、乙方需向甲方支付违约金，违约金以本合同总价款为基数，按合同总价的30%计算。同时，甲方有权将乙方的违约行为上报政府采购监管机构，依规对乙方进行行政处罚。</w:t>
      </w:r>
    </w:p>
    <w:p w14:paraId="568809E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三）合同履行期间，任何一方因不可抗力因素无法履行合同约定的，需第一时间书面通知对方，双方应积极采取补救措施减少损失。若不可抗力导致合同确实无法继续履行，双方可协商延期履行或解除合同，互不承担违约责任。</w:t>
      </w:r>
    </w:p>
    <w:p w14:paraId="030CCB1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四）甲乙双方任意一方违反本合同约定，未全面履行合同义务的，均需按照《中华人民共和国民法典》相关规定承担对应违约责任。同时，甲方可会同监督机构、采购代理机构对乙方违约行为进行核查追责，依据政府采购供应商相关管理办法实施对应处罚。</w:t>
      </w:r>
    </w:p>
    <w:p w14:paraId="2418F80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十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、合同争议解决方式</w:t>
      </w:r>
    </w:p>
    <w:p w14:paraId="15750BF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本合同在履行过程中产生的一切争议、纠纷，甲乙双方应首先友好协商解决；协商不成的，依法向</w:t>
      </w:r>
      <w:r>
        <w:rPr>
          <w:rStyle w:val="7"/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甲方所在地人民法院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提起诉讼。</w:t>
      </w:r>
    </w:p>
    <w:p w14:paraId="76A1C61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十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、合同生效</w:t>
      </w:r>
    </w:p>
    <w:p w14:paraId="0466F23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（一）本合同自甲乙双方法定代表人或授权代理人签字，并加盖双方单位公章后正式生效。</w:t>
      </w:r>
    </w:p>
    <w:p w14:paraId="4C6D3F7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（二）合同生效后，甲乙双方须严格恪守本合同全部条款，全面履行各自合同义务，违约方须依照《中华人民共和国民法典》承担相应法律责任。</w:t>
      </w:r>
    </w:p>
    <w:p w14:paraId="1A5A2C9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（三）本合同一式____份，甲方执____份，乙方执____份，具有同等法律效力。</w:t>
      </w:r>
    </w:p>
    <w:p w14:paraId="5BAEF9E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（四）本合同有效期至项目质保期届满后自动终止，但合同中约定的乙方终身服务、售后保障等服务承诺条款持续有效，不受合同终止影响。</w:t>
      </w:r>
    </w:p>
    <w:p w14:paraId="17428B4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十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、其他事项</w:t>
      </w:r>
    </w:p>
    <w:p w14:paraId="2675EC4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（一）财政主管部门有权在本合同履行期间及履行完毕后，随时核查项目执行情况、采购内容、执行标准等相关事项，对核查发现的问题有权依规处置，甲乙双方须积极配合。</w:t>
      </w:r>
    </w:p>
    <w:p w14:paraId="1DFF775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（二）本项目招标文件、乙方投标文件、答疑澄清表（函）、中标通知书、本合同所有附件，均为本合同不可分割的组成部分，与本合同正文具有同等法律效力。</w:t>
      </w:r>
    </w:p>
    <w:p w14:paraId="1C42E4C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（三）本合同未尽事宜，由甲乙双方友好协商一致后，签订书面补充协议。补充协议与本合同具有同等法律效力。</w:t>
      </w:r>
    </w:p>
    <w:p w14:paraId="742EB60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四）本合同签订后，甲乙双方不得擅自变更、中止或终止合同。确因客观原因需要变更、调整、中止或终止合同的，有明确法律规定的从其规定；无法律规定的，由甲乙双方另行协商，</w:t>
      </w:r>
      <w:r>
        <w:rPr>
          <w:rStyle w:val="7"/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协商达成一致前，原合同及对应条款持续有效，双方必须继续履行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。</w:t>
      </w:r>
    </w:p>
    <w:p w14:paraId="0C94176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（五）本合同的订立、效力、解释、履行及争议解决，均适用中华人民共和国现行有效法律。</w:t>
      </w:r>
    </w:p>
    <w:p w14:paraId="6AA76C3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2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（六）本合同所有附件均为本合同法定组成部分，与本合同正文具有同等法律效力。</w:t>
      </w:r>
    </w:p>
    <w:p w14:paraId="3B207A01">
      <w:pPr>
        <w:tabs>
          <w:tab w:val="left" w:pos="480"/>
        </w:tabs>
        <w:spacing w:line="360" w:lineRule="auto"/>
        <w:ind w:firstLine="340" w:firstLineChars="200"/>
        <w:rPr>
          <w:rFonts w:hint="eastAsia" w:ascii="宋体" w:hAnsi="宋体" w:eastAsia="宋体" w:cs="宋体"/>
          <w:spacing w:val="-20"/>
          <w:kern w:val="0"/>
          <w:sz w:val="21"/>
          <w:szCs w:val="21"/>
          <w:highlight w:val="none"/>
        </w:rPr>
      </w:pPr>
    </w:p>
    <w:tbl>
      <w:tblPr>
        <w:tblStyle w:val="5"/>
        <w:tblW w:w="883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8"/>
        <w:gridCol w:w="4481"/>
      </w:tblGrid>
      <w:tr w14:paraId="6C7B9E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4358" w:type="dxa"/>
            <w:noWrap w:val="0"/>
            <w:vAlign w:val="center"/>
          </w:tcPr>
          <w:p w14:paraId="70953A3A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甲  方</w:t>
            </w:r>
          </w:p>
        </w:tc>
        <w:tc>
          <w:tcPr>
            <w:tcW w:w="4481" w:type="dxa"/>
            <w:noWrap w:val="0"/>
            <w:vAlign w:val="center"/>
          </w:tcPr>
          <w:p w14:paraId="46D1BD11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乙  方</w:t>
            </w:r>
          </w:p>
        </w:tc>
      </w:tr>
      <w:tr w14:paraId="52FAB9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4358" w:type="dxa"/>
            <w:noWrap w:val="0"/>
            <w:vAlign w:val="center"/>
          </w:tcPr>
          <w:p w14:paraId="5C206372">
            <w:pPr>
              <w:autoSpaceDE w:val="0"/>
              <w:autoSpaceDN w:val="0"/>
              <w:adjustRightInd w:val="0"/>
              <w:spacing w:line="360" w:lineRule="auto"/>
              <w:ind w:firstLine="700" w:firstLineChars="350"/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（盖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章）</w:t>
            </w:r>
          </w:p>
        </w:tc>
        <w:tc>
          <w:tcPr>
            <w:tcW w:w="4481" w:type="dxa"/>
            <w:noWrap w:val="0"/>
            <w:vAlign w:val="center"/>
          </w:tcPr>
          <w:p w14:paraId="1522B326">
            <w:pPr>
              <w:autoSpaceDE w:val="0"/>
              <w:autoSpaceDN w:val="0"/>
              <w:adjustRightInd w:val="0"/>
              <w:spacing w:line="360" w:lineRule="auto"/>
              <w:ind w:firstLine="800" w:firstLineChars="400"/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（盖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章）</w:t>
            </w:r>
          </w:p>
        </w:tc>
      </w:tr>
      <w:tr w14:paraId="29E088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4358" w:type="dxa"/>
            <w:noWrap w:val="0"/>
            <w:vAlign w:val="center"/>
          </w:tcPr>
          <w:p w14:paraId="30F88F01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地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址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 xml:space="preserve">： </w:t>
            </w:r>
          </w:p>
        </w:tc>
        <w:tc>
          <w:tcPr>
            <w:tcW w:w="4481" w:type="dxa"/>
            <w:noWrap w:val="0"/>
            <w:vAlign w:val="center"/>
          </w:tcPr>
          <w:p w14:paraId="3F1971E0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地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址：</w:t>
            </w:r>
          </w:p>
        </w:tc>
      </w:tr>
      <w:tr w14:paraId="0EE9EA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4358" w:type="dxa"/>
            <w:noWrap w:val="0"/>
            <w:vAlign w:val="center"/>
          </w:tcPr>
          <w:p w14:paraId="411E7B29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邮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编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481" w:type="dxa"/>
            <w:noWrap w:val="0"/>
            <w:vAlign w:val="center"/>
          </w:tcPr>
          <w:p w14:paraId="0A525628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邮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编：</w:t>
            </w:r>
          </w:p>
        </w:tc>
      </w:tr>
      <w:tr w14:paraId="2B8216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4358" w:type="dxa"/>
            <w:noWrap w:val="0"/>
            <w:vAlign w:val="center"/>
          </w:tcPr>
          <w:p w14:paraId="1BB037CE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法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定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代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表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人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 xml:space="preserve">： </w:t>
            </w:r>
          </w:p>
        </w:tc>
        <w:tc>
          <w:tcPr>
            <w:tcW w:w="4481" w:type="dxa"/>
            <w:noWrap w:val="0"/>
            <w:vAlign w:val="center"/>
          </w:tcPr>
          <w:p w14:paraId="6487B232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法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定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代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表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人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：</w:t>
            </w:r>
          </w:p>
        </w:tc>
      </w:tr>
      <w:tr w14:paraId="065AF0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4358" w:type="dxa"/>
            <w:noWrap w:val="0"/>
            <w:vAlign w:val="center"/>
          </w:tcPr>
          <w:p w14:paraId="7B4C6608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被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授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权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代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表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481" w:type="dxa"/>
            <w:noWrap w:val="0"/>
            <w:vAlign w:val="center"/>
          </w:tcPr>
          <w:p w14:paraId="66755DA2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被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授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权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代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表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：</w:t>
            </w:r>
          </w:p>
        </w:tc>
      </w:tr>
      <w:tr w14:paraId="4218B2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4358" w:type="dxa"/>
            <w:noWrap w:val="0"/>
            <w:vAlign w:val="center"/>
          </w:tcPr>
          <w:p w14:paraId="033455DB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电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话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481" w:type="dxa"/>
            <w:noWrap w:val="0"/>
            <w:vAlign w:val="center"/>
          </w:tcPr>
          <w:p w14:paraId="24DEA0E3">
            <w:pPr>
              <w:autoSpaceDE w:val="0"/>
              <w:autoSpaceDN w:val="0"/>
              <w:adjustRightInd w:val="0"/>
              <w:spacing w:line="360" w:lineRule="auto"/>
              <w:ind w:left="840" w:hanging="600" w:hangingChars="300"/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电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话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：</w:t>
            </w:r>
          </w:p>
        </w:tc>
      </w:tr>
      <w:tr w14:paraId="061441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4358" w:type="dxa"/>
            <w:noWrap w:val="0"/>
            <w:vAlign w:val="center"/>
          </w:tcPr>
          <w:p w14:paraId="494E6441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传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真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481" w:type="dxa"/>
            <w:noWrap w:val="0"/>
            <w:vAlign w:val="center"/>
          </w:tcPr>
          <w:p w14:paraId="5E31107B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传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真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：</w:t>
            </w:r>
          </w:p>
        </w:tc>
      </w:tr>
      <w:tr w14:paraId="3D42F8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4358" w:type="dxa"/>
            <w:noWrap w:val="0"/>
            <w:vAlign w:val="center"/>
          </w:tcPr>
          <w:p w14:paraId="52DF3CD5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开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户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银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行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481" w:type="dxa"/>
            <w:noWrap w:val="0"/>
            <w:vAlign w:val="center"/>
          </w:tcPr>
          <w:p w14:paraId="0BB9C538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开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户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银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行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：</w:t>
            </w:r>
          </w:p>
        </w:tc>
      </w:tr>
      <w:tr w14:paraId="5675B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  <w:jc w:val="center"/>
        </w:trPr>
        <w:tc>
          <w:tcPr>
            <w:tcW w:w="4358" w:type="dxa"/>
            <w:noWrap w:val="0"/>
            <w:vAlign w:val="center"/>
          </w:tcPr>
          <w:p w14:paraId="1724CF34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日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期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481" w:type="dxa"/>
            <w:noWrap w:val="0"/>
            <w:vAlign w:val="center"/>
          </w:tcPr>
          <w:p w14:paraId="4AF787A5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日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期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highlight w:val="none"/>
              </w:rPr>
              <w:t>：</w:t>
            </w:r>
          </w:p>
        </w:tc>
      </w:tr>
    </w:tbl>
    <w:p w14:paraId="5DF41E91"/>
    <w:p w14:paraId="5A2934BA"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 w:eastAsia="宋体" w:cs="宋体"/>
          <w:b/>
          <w:sz w:val="21"/>
          <w:szCs w:val="21"/>
          <w:highlight w:val="none"/>
        </w:rPr>
      </w:pPr>
    </w:p>
    <w:p w14:paraId="50C0F568">
      <w:pPr>
        <w:spacing w:line="20" w:lineRule="exact"/>
        <w:jc w:val="left"/>
        <w:rPr>
          <w:rFonts w:ascii="Times New Roman" w:hAnsi="Times New Roman" w:eastAsiaTheme="minorEastAsia"/>
          <w:lang w:eastAsia="zh-Hans"/>
        </w:rPr>
      </w:pPr>
    </w:p>
    <w:p w14:paraId="2C5A58C0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0E9F89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DD3E30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DD3E30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55476B"/>
    <w:rsid w:val="79554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2026-08-11T09:07:00Z</dcterms:created>
  <dc:creator>仔细看看</dc:creator>
  <cp:lastModifiedBy>仔细看看</cp:lastModifiedBy>
  <dcterms:modified xsi:type="dcterms:W3CDTF">2026-08-11T09:08:13Z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916D7C648CFB411989CECDE121B7BC78_11</vt:lpwstr>
  </property>
  <property fmtid="{D5CDD505-2E9C-101B-9397-08002B2CF9AE}" pid="4" name="KSOTemplateDocerSaveRecord">
    <vt:lpwstr>eyJoZGlkIjoiNTMyNWYyZTkxNGVmNjRjZmZmMGNkMmVlZTMxOTdiMWMiLCJ1c2VySWQiOiIzNjk1NTMzNTYifQ==</vt:lpwstr>
  </property>
</Properties>
</file>