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EF2C9">
      <w:pPr>
        <w:pStyle w:val="2"/>
        <w:keepNext w:val="0"/>
        <w:spacing w:before="166" w:beforeLines="50" w:after="166" w:afterLines="50" w:line="360" w:lineRule="auto"/>
        <w:jc w:val="center"/>
        <w:rPr>
          <w:rFonts w:hint="eastAsia" w:ascii="宋体" w:hAnsi="宋体" w:eastAsia="宋体" w:cs="宋体"/>
          <w:bCs/>
          <w:color w:val="000000"/>
          <w:sz w:val="44"/>
          <w:szCs w:val="44"/>
          <w:lang w:val="en-US" w:eastAsia="zh-CN"/>
        </w:rPr>
      </w:pPr>
      <w:bookmarkStart w:id="0" w:name="_Toc31719"/>
    </w:p>
    <w:bookmarkEnd w:id="0"/>
    <w:p w14:paraId="254E1DA0">
      <w:pPr>
        <w:pStyle w:val="2"/>
        <w:keepNext w:val="0"/>
        <w:spacing w:before="166" w:beforeLines="50" w:after="166" w:afterLines="50" w:line="360" w:lineRule="auto"/>
        <w:jc w:val="center"/>
        <w:rPr>
          <w:rFonts w:hint="eastAsia" w:ascii="宋体" w:hAnsi="宋体" w:eastAsia="宋体" w:cs="宋体"/>
          <w:bCs/>
          <w:color w:val="000000"/>
          <w:sz w:val="36"/>
          <w:szCs w:val="36"/>
        </w:rPr>
      </w:pPr>
    </w:p>
    <w:p w14:paraId="7C773C0C">
      <w:pPr>
        <w:pStyle w:val="4"/>
        <w:rPr>
          <w:rFonts w:hint="eastAsia" w:ascii="宋体" w:hAnsi="宋体" w:eastAsia="宋体" w:cs="宋体"/>
        </w:rPr>
      </w:pPr>
    </w:p>
    <w:p w14:paraId="0F9AA5D0">
      <w:pPr>
        <w:spacing w:line="640" w:lineRule="exact"/>
        <w:jc w:val="center"/>
        <w:rPr>
          <w:rFonts w:ascii="仿宋" w:hAnsi="仿宋" w:eastAsia="仿宋" w:cs="宋体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color w:val="auto"/>
          <w:sz w:val="48"/>
          <w:szCs w:val="48"/>
          <w:highlight w:val="none"/>
          <w:lang w:eastAsia="zh-CN"/>
        </w:rPr>
        <w:t>大荔县林业局2025年中央财政森林草原防火</w:t>
      </w:r>
      <w:r>
        <w:rPr>
          <w:rFonts w:hint="eastAsia" w:ascii="宋体" w:hAnsi="宋体" w:eastAsia="宋体" w:cs="宋体"/>
          <w:b/>
          <w:bCs w:val="0"/>
          <w:color w:val="auto"/>
          <w:sz w:val="48"/>
          <w:szCs w:val="48"/>
          <w:highlight w:val="none"/>
          <w:lang w:val="en-US" w:eastAsia="zh-CN"/>
        </w:rPr>
        <w:t>补助</w:t>
      </w:r>
      <w:r>
        <w:rPr>
          <w:rFonts w:hint="eastAsia" w:ascii="宋体" w:hAnsi="宋体" w:eastAsia="宋体" w:cs="宋体"/>
          <w:b/>
          <w:bCs w:val="0"/>
          <w:color w:val="auto"/>
          <w:sz w:val="48"/>
          <w:szCs w:val="48"/>
          <w:highlight w:val="none"/>
          <w:lang w:eastAsia="zh-CN"/>
        </w:rPr>
        <w:t>项目</w:t>
      </w:r>
    </w:p>
    <w:p w14:paraId="1335CA5C">
      <w:pPr>
        <w:pStyle w:val="4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Cs/>
          <w:color w:val="000000"/>
          <w:sz w:val="36"/>
          <w:szCs w:val="36"/>
        </w:rPr>
        <w:t>（示范文本）</w:t>
      </w:r>
    </w:p>
    <w:p w14:paraId="1E0A8163">
      <w:pPr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 xml:space="preserve">      </w:t>
      </w:r>
    </w:p>
    <w:p w14:paraId="67100684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52"/>
          <w:szCs w:val="52"/>
        </w:rPr>
      </w:pPr>
    </w:p>
    <w:p w14:paraId="221F4F1A">
      <w:pPr>
        <w:pStyle w:val="4"/>
        <w:rPr>
          <w:rFonts w:hint="eastAsia" w:ascii="宋体" w:hAnsi="宋体" w:eastAsia="宋体" w:cs="宋体"/>
          <w:b/>
          <w:bCs/>
          <w:color w:val="000000"/>
          <w:sz w:val="52"/>
          <w:szCs w:val="52"/>
        </w:rPr>
      </w:pPr>
    </w:p>
    <w:p w14:paraId="34DD0835">
      <w:pPr>
        <w:pStyle w:val="4"/>
        <w:rPr>
          <w:rFonts w:hint="eastAsia" w:ascii="宋体" w:hAnsi="宋体" w:eastAsia="宋体" w:cs="宋体"/>
          <w:b/>
          <w:bCs/>
          <w:color w:val="000000"/>
          <w:sz w:val="52"/>
          <w:szCs w:val="52"/>
        </w:rPr>
      </w:pPr>
    </w:p>
    <w:p w14:paraId="60A68FA5">
      <w:pPr>
        <w:pStyle w:val="4"/>
        <w:rPr>
          <w:rFonts w:hint="eastAsia" w:ascii="宋体" w:hAnsi="宋体" w:eastAsia="宋体" w:cs="宋体"/>
          <w:b/>
          <w:bCs/>
          <w:color w:val="000000"/>
          <w:sz w:val="52"/>
          <w:szCs w:val="52"/>
        </w:rPr>
      </w:pPr>
    </w:p>
    <w:p w14:paraId="3E639D70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color w:val="000000"/>
          <w:sz w:val="52"/>
          <w:szCs w:val="52"/>
        </w:rPr>
        <w:t>采购合同</w:t>
      </w:r>
    </w:p>
    <w:p w14:paraId="508DA1CB">
      <w:pPr>
        <w:pStyle w:val="4"/>
        <w:jc w:val="both"/>
        <w:rPr>
          <w:rFonts w:hint="eastAsia" w:ascii="宋体" w:hAnsi="宋体" w:eastAsia="宋体" w:cs="宋体"/>
          <w:sz w:val="8"/>
          <w:szCs w:val="8"/>
          <w:lang w:eastAsia="zh-CN"/>
        </w:rPr>
      </w:pPr>
    </w:p>
    <w:p w14:paraId="1B71F668">
      <w:pPr>
        <w:jc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</w:pPr>
    </w:p>
    <w:p w14:paraId="3A9689F4">
      <w:pPr>
        <w:jc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</w:pPr>
    </w:p>
    <w:p w14:paraId="50E16238">
      <w:pPr>
        <w:jc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</w:pPr>
    </w:p>
    <w:p w14:paraId="208E2C33">
      <w:pPr>
        <w:rPr>
          <w:rFonts w:hint="eastAsia" w:ascii="宋体" w:hAnsi="宋体" w:eastAsia="宋体" w:cs="宋体"/>
          <w:color w:val="000000"/>
        </w:rPr>
      </w:pPr>
    </w:p>
    <w:p w14:paraId="4EE52737">
      <w:pPr>
        <w:pStyle w:val="3"/>
        <w:rPr>
          <w:rFonts w:hint="eastAsia"/>
        </w:rPr>
      </w:pPr>
    </w:p>
    <w:p w14:paraId="7EB16352">
      <w:pPr>
        <w:rPr>
          <w:rFonts w:hint="eastAsia" w:ascii="宋体" w:hAnsi="宋体" w:eastAsia="宋体" w:cs="宋体"/>
          <w:color w:val="000000"/>
        </w:rPr>
      </w:pPr>
    </w:p>
    <w:p w14:paraId="31DC4575">
      <w:pPr>
        <w:pStyle w:val="4"/>
        <w:rPr>
          <w:rFonts w:hint="eastAsia" w:ascii="宋体" w:hAnsi="宋体" w:eastAsia="宋体" w:cs="宋体"/>
          <w:color w:val="000000"/>
        </w:rPr>
      </w:pPr>
    </w:p>
    <w:p w14:paraId="0E1B334D">
      <w:pPr>
        <w:pStyle w:val="4"/>
        <w:rPr>
          <w:rFonts w:hint="eastAsia" w:ascii="宋体" w:hAnsi="宋体" w:eastAsia="宋体" w:cs="宋体"/>
          <w:color w:val="000000"/>
        </w:rPr>
      </w:pPr>
    </w:p>
    <w:p w14:paraId="1EFCE3A6">
      <w:pPr>
        <w:pStyle w:val="4"/>
        <w:rPr>
          <w:rFonts w:hint="eastAsia" w:ascii="宋体" w:hAnsi="宋体" w:eastAsia="宋体" w:cs="宋体"/>
          <w:color w:val="000000"/>
        </w:rPr>
      </w:pPr>
    </w:p>
    <w:p w14:paraId="1D1E0F6A">
      <w:pPr>
        <w:pStyle w:val="4"/>
        <w:rPr>
          <w:rFonts w:hint="eastAsia" w:ascii="宋体" w:hAnsi="宋体" w:eastAsia="宋体" w:cs="宋体"/>
          <w:color w:val="000000"/>
        </w:rPr>
      </w:pPr>
    </w:p>
    <w:p w14:paraId="65C02EF0">
      <w:pPr>
        <w:rPr>
          <w:rFonts w:hint="eastAsia" w:ascii="宋体" w:hAnsi="宋体" w:eastAsia="宋体" w:cs="宋体"/>
          <w:color w:val="000000"/>
        </w:rPr>
      </w:pPr>
    </w:p>
    <w:p w14:paraId="689F304A">
      <w:pPr>
        <w:rPr>
          <w:rFonts w:hint="eastAsia" w:ascii="宋体" w:hAnsi="宋体" w:eastAsia="宋体" w:cs="宋体"/>
          <w:color w:val="000000"/>
        </w:rPr>
      </w:pPr>
    </w:p>
    <w:p w14:paraId="462B665C">
      <w:pPr>
        <w:rPr>
          <w:rFonts w:hint="eastAsia" w:ascii="宋体" w:hAnsi="宋体" w:eastAsia="宋体" w:cs="宋体"/>
          <w:color w:val="000000"/>
        </w:rPr>
      </w:pPr>
    </w:p>
    <w:p w14:paraId="14C9F327">
      <w:pPr>
        <w:pStyle w:val="4"/>
        <w:rPr>
          <w:rFonts w:hint="eastAsia" w:ascii="宋体" w:hAnsi="宋体" w:eastAsia="宋体" w:cs="宋体"/>
        </w:rPr>
      </w:pPr>
    </w:p>
    <w:p w14:paraId="01EAF245">
      <w:pPr>
        <w:numPr>
          <w:ilvl w:val="0"/>
          <w:numId w:val="3"/>
        </w:numPr>
        <w:spacing w:before="166" w:beforeLines="50" w:line="360" w:lineRule="auto"/>
        <w:ind w:firstLine="3253" w:firstLineChars="90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 xml:space="preserve"> 协议书</w:t>
      </w:r>
    </w:p>
    <w:p w14:paraId="7E1D3C71">
      <w:pPr>
        <w:pStyle w:val="7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（仅供参考）</w:t>
      </w:r>
    </w:p>
    <w:p w14:paraId="39C7AB5F">
      <w:pPr>
        <w:pStyle w:val="9"/>
        <w:rPr>
          <w:rFonts w:hint="eastAsia" w:ascii="宋体" w:hAnsi="宋体" w:eastAsia="宋体" w:cs="宋体"/>
        </w:rPr>
      </w:pPr>
    </w:p>
    <w:p w14:paraId="41584379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采购人（全称）：</w:t>
      </w:r>
      <w:r>
        <w:rPr>
          <w:rFonts w:hint="eastAsia" w:ascii="宋体" w:hAnsi="宋体" w:eastAsia="宋体" w:cs="宋体"/>
          <w:b/>
          <w:color w:val="000000"/>
          <w:szCs w:val="24"/>
          <w:u w:val="single"/>
        </w:rPr>
        <w:t xml:space="preserve">                                      </w:t>
      </w:r>
    </w:p>
    <w:p w14:paraId="2B70F9C9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color w:val="000000"/>
          <w:szCs w:val="24"/>
          <w:u w:val="single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供应商（全称）：</w:t>
      </w:r>
      <w:r>
        <w:rPr>
          <w:rFonts w:hint="eastAsia" w:ascii="宋体" w:hAnsi="宋体" w:eastAsia="宋体" w:cs="宋体"/>
          <w:b/>
          <w:color w:val="000000"/>
          <w:szCs w:val="24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</w:t>
      </w:r>
    </w:p>
    <w:p w14:paraId="6B777764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Cs w:val="24"/>
        </w:rPr>
        <w:t>根据《中华人民共和国</w:t>
      </w: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民法典</w:t>
      </w:r>
      <w:r>
        <w:rPr>
          <w:rFonts w:hint="eastAsia" w:ascii="宋体" w:hAnsi="宋体" w:eastAsia="宋体" w:cs="宋体"/>
          <w:color w:val="000000"/>
          <w:szCs w:val="24"/>
        </w:rPr>
        <w:t>》及其他有关法律、法规，遵循平等、自愿、公平和诚信的原则，双方就下述项目范围与相关服务事项协商一致，订立本合同。</w:t>
      </w:r>
    </w:p>
    <w:p w14:paraId="07527AEA">
      <w:pPr>
        <w:spacing w:line="360" w:lineRule="auto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一、项目概况</w:t>
      </w:r>
    </w:p>
    <w:p w14:paraId="383AD742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1.项目名称：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                           ；</w:t>
      </w:r>
    </w:p>
    <w:p w14:paraId="2C4D0E9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2.项目地点：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                             </w:t>
      </w:r>
      <w:r>
        <w:rPr>
          <w:rFonts w:hint="eastAsia" w:ascii="宋体" w:hAnsi="宋体" w:eastAsia="宋体" w:cs="宋体"/>
          <w:color w:val="000000"/>
          <w:szCs w:val="24"/>
        </w:rPr>
        <w:t>；</w:t>
      </w:r>
    </w:p>
    <w:p w14:paraId="74BD2316">
      <w:pPr>
        <w:spacing w:line="360" w:lineRule="auto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二、组成本合同的文件</w:t>
      </w:r>
    </w:p>
    <w:p w14:paraId="626A6914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1.协议书；</w:t>
      </w:r>
    </w:p>
    <w:p w14:paraId="3C46692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2.中标通知书、投标文件、招标文件、澄清、投标补充文件（或委托书）；</w:t>
      </w:r>
    </w:p>
    <w:p w14:paraId="0EC9933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3.相关服务建议书；</w:t>
      </w:r>
    </w:p>
    <w:p w14:paraId="5BBDDA17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 xml:space="preserve">    4. 附录，即：附表内相关服务的范围和内容；</w:t>
      </w:r>
    </w:p>
    <w:p w14:paraId="4886956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本合同签订后，双方依法签订的补充协议也是本合同文件的组成部分。</w:t>
      </w:r>
    </w:p>
    <w:p w14:paraId="430F5B06">
      <w:pPr>
        <w:spacing w:line="360" w:lineRule="auto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三、签约金额</w:t>
      </w:r>
    </w:p>
    <w:p w14:paraId="4BE1B884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签约金额（大写）：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000000"/>
          <w:szCs w:val="24"/>
        </w:rPr>
        <w:t>（¥        ）。</w:t>
      </w:r>
    </w:p>
    <w:p w14:paraId="500B3B1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合同价格为含税价，供应商提供产品所发生的一切税费等都已包含于合同价款中。</w:t>
      </w:r>
    </w:p>
    <w:p w14:paraId="525C2EE2">
      <w:pPr>
        <w:spacing w:line="360" w:lineRule="auto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 xml:space="preserve">四、付款方式： </w:t>
      </w:r>
    </w:p>
    <w:p w14:paraId="4150F086">
      <w:pPr>
        <w:adjustRightInd w:val="0"/>
        <w:snapToGrid w:val="0"/>
        <w:spacing w:line="360" w:lineRule="auto"/>
        <w:ind w:firstLine="475" w:firstLineChars="198"/>
        <w:jc w:val="left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</w:rPr>
        <w:t>（一）支付方式：</w:t>
      </w: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完工验收后一次性付清</w:t>
      </w:r>
    </w:p>
    <w:p w14:paraId="4D497C96">
      <w:pPr>
        <w:adjustRightInd w:val="0"/>
        <w:snapToGrid w:val="0"/>
        <w:spacing w:line="360" w:lineRule="auto"/>
        <w:ind w:firstLine="475" w:firstLineChars="198"/>
        <w:jc w:val="left"/>
        <w:rPr>
          <w:rFonts w:hint="eastAsia" w:ascii="宋体" w:hAnsi="宋体" w:eastAsia="宋体" w:cs="宋体"/>
          <w:bCs/>
          <w:color w:val="000000"/>
        </w:rPr>
      </w:pPr>
      <w:r>
        <w:rPr>
          <w:rFonts w:hint="eastAsia" w:ascii="宋体" w:hAnsi="宋体" w:eastAsia="宋体" w:cs="宋体"/>
          <w:bCs/>
          <w:color w:val="000000"/>
        </w:rPr>
        <w:t>（二）结算方式：银行转帐。</w:t>
      </w:r>
    </w:p>
    <w:p w14:paraId="78FD3314">
      <w:pPr>
        <w:spacing w:line="450" w:lineRule="exact"/>
        <w:ind w:firstLine="480" w:firstLineChars="200"/>
        <w:rPr>
          <w:rFonts w:hint="eastAsia" w:ascii="宋体" w:hAnsi="宋体" w:eastAsia="宋体" w:cs="宋体"/>
          <w:bCs/>
          <w:color w:val="000000"/>
        </w:rPr>
      </w:pPr>
      <w:r>
        <w:rPr>
          <w:rFonts w:hint="eastAsia" w:ascii="宋体" w:hAnsi="宋体" w:eastAsia="宋体" w:cs="宋体"/>
          <w:bCs/>
          <w:color w:val="000000"/>
        </w:rPr>
        <w:t>（三）结算单位：采购人结算，在付款前，必须开具等额发票给采购人。</w:t>
      </w:r>
    </w:p>
    <w:p w14:paraId="3DCC2F40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五、期限</w:t>
      </w:r>
    </w:p>
    <w:p w14:paraId="32630755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000000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Cs w:val="24"/>
          <w:highlight w:val="none"/>
          <w:lang w:val="en-US" w:eastAsia="zh-CN"/>
        </w:rPr>
        <w:t>交货</w:t>
      </w:r>
      <w:r>
        <w:rPr>
          <w:rFonts w:hint="eastAsia" w:ascii="宋体" w:hAnsi="宋体" w:eastAsia="宋体" w:cs="宋体"/>
          <w:b/>
          <w:bCs/>
          <w:color w:val="000000"/>
          <w:szCs w:val="24"/>
          <w:highlight w:val="none"/>
        </w:rPr>
        <w:t>期：</w:t>
      </w:r>
      <w:r>
        <w:rPr>
          <w:rFonts w:hint="eastAsia" w:ascii="宋体" w:hAnsi="宋体" w:eastAsia="宋体" w:cs="宋体"/>
          <w:b/>
          <w:bCs/>
          <w:color w:val="000000"/>
          <w:szCs w:val="24"/>
          <w:highlight w:val="none"/>
          <w:u w:val="single"/>
          <w:lang w:val="en-US" w:eastAsia="zh-CN"/>
        </w:rPr>
        <w:t>合同签订生效后</w:t>
      </w:r>
      <w:r>
        <w:rPr>
          <w:rFonts w:hint="eastAsia" w:hAnsi="宋体" w:cs="宋体"/>
          <w:b/>
          <w:bCs/>
          <w:color w:val="000000"/>
          <w:szCs w:val="24"/>
          <w:highlight w:val="none"/>
          <w:u w:val="single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color w:val="000000"/>
          <w:szCs w:val="24"/>
          <w:highlight w:val="none"/>
          <w:u w:val="single"/>
          <w:lang w:val="en-US" w:eastAsia="zh-CN"/>
        </w:rPr>
        <w:t>天内需要交货完毕。</w:t>
      </w:r>
    </w:p>
    <w:p w14:paraId="2DF95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000000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Cs w:val="24"/>
          <w:highlight w:val="none"/>
        </w:rPr>
        <w:t>质保期：</w:t>
      </w:r>
      <w:r>
        <w:rPr>
          <w:rFonts w:hint="eastAsia" w:ascii="宋体" w:hAnsi="宋体" w:eastAsia="宋体" w:cs="宋体"/>
          <w:b/>
          <w:bCs/>
          <w:color w:val="000000"/>
          <w:szCs w:val="24"/>
          <w:highlight w:val="none"/>
          <w:u w:val="single"/>
          <w:lang w:val="en-US" w:eastAsia="zh-CN"/>
        </w:rPr>
        <w:t xml:space="preserve"> 质保期1年，中标人承诺的质保时间超过招标文件要求的，按其承诺时间质保。</w:t>
      </w:r>
    </w:p>
    <w:p w14:paraId="2EB64F22">
      <w:pPr>
        <w:spacing w:line="360" w:lineRule="auto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六、双方承诺</w:t>
      </w:r>
    </w:p>
    <w:p w14:paraId="34A67CB5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1．供应商向采购人承诺，按照本合同约定及招标文件、投标文件等所指明的货物及服务要求提供相关服务。</w:t>
      </w:r>
    </w:p>
    <w:p w14:paraId="116A527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</w:rPr>
        <w:t>2. 采购人向供应商承诺，按照本合同约定支付合同款项。</w:t>
      </w:r>
    </w:p>
    <w:p w14:paraId="0D6A75AC">
      <w:pPr>
        <w:tabs>
          <w:tab w:val="left" w:pos="840"/>
        </w:tabs>
        <w:spacing w:line="360" w:lineRule="auto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七、内容及要求：</w:t>
      </w:r>
    </w:p>
    <w:p w14:paraId="55AD14F1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即交付的产品、服务内容、数量与投标文件、招标文件等所指明的，或者与本合同所指明的产品、服务内容相一致。（附清单）</w:t>
      </w:r>
    </w:p>
    <w:p w14:paraId="48CA3EDC">
      <w:pPr>
        <w:spacing w:line="360" w:lineRule="auto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八、质量保证：</w:t>
      </w:r>
    </w:p>
    <w:p w14:paraId="6EB2777E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本次服务项目应符合国家有关规范，确保达到最佳状态。</w:t>
      </w:r>
    </w:p>
    <w:p w14:paraId="14361C27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成交人应根据服务方案规范及质量要求进行服务工作，并在质保期内、外应对项目质量问题负责，采购人在服务过程中起到配合、监督及管理的作用。</w:t>
      </w:r>
    </w:p>
    <w:p w14:paraId="20B70EA8"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验收：</w:t>
      </w:r>
    </w:p>
    <w:p w14:paraId="2E4350A3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（一）验收目的：确保采购货物符合合同约定的技术、质量、数量等要求，保障财政资金使用效益，维护采购双方合法权益。</w:t>
      </w:r>
    </w:p>
    <w:p w14:paraId="37454B03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（二）收依据：</w:t>
      </w:r>
    </w:p>
    <w:p w14:paraId="7C9B6177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《中华人民共和国政府采购法》及其实施条例；</w:t>
      </w:r>
    </w:p>
    <w:p w14:paraId="2BCF3C8C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《政府采购货物和服务招标投标管理办法》（财政部令第87号）；</w:t>
      </w:r>
    </w:p>
    <w:p w14:paraId="14D67C6A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采购合同及招标文件、投标文件；</w:t>
      </w:r>
    </w:p>
    <w:p w14:paraId="120C73D2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国家相关标准、行业规范及产品明示质量指标。</w:t>
      </w:r>
    </w:p>
    <w:p w14:paraId="6458E46E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（三）验收主体</w:t>
      </w:r>
    </w:p>
    <w:p w14:paraId="2CA85BD8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成立验收小组：由采购人代表、中标单位、使用部门代表等组成，人数为3人以上单数。职责分工：采购人代表负责组织协调；中标单位联合验收；使用部门代表负责货物使用功能验收。</w:t>
      </w:r>
    </w:p>
    <w:p w14:paraId="5484A873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（四）验收时间与地点</w:t>
      </w:r>
    </w:p>
    <w:p w14:paraId="632199B6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验收时间：供应商完成供货后提交验收申请，采购人应在收到申请后7日内组织验收。</w:t>
      </w:r>
    </w:p>
    <w:p w14:paraId="0DD8A0E3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验收地点：货物交付地点或采购人指定地点。</w:t>
      </w:r>
    </w:p>
    <w:p w14:paraId="000F3BB4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（五）验收内容</w:t>
      </w:r>
    </w:p>
    <w:p w14:paraId="298E79C6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1、货物数量：核对实际到货数量与合同约定数量是否一致。</w:t>
      </w:r>
    </w:p>
    <w:p w14:paraId="668034AC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2、货物规格型号：检查货物的规格、型号、配置等是否与合同及招标文件要求相符。</w:t>
      </w:r>
    </w:p>
    <w:p w14:paraId="39E15796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3、货物质量：依据国家相关标准、行业规范及合同约定的质量标准，对货物的外观、性能、安全性、可靠性等进行检验，可要求供应商提供出厂检测报告、质量合格证等证明材料。</w:t>
      </w:r>
    </w:p>
    <w:p w14:paraId="6B689FF6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4、技术指标：对货物的技术参数、功能特性等进行测试和验证，确保符合合同规定。</w:t>
      </w:r>
    </w:p>
    <w:p w14:paraId="194E5F11">
      <w:pPr>
        <w:spacing w:line="360" w:lineRule="auto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Cs w:val="24"/>
        </w:rPr>
        <w:t>十、技术</w:t>
      </w:r>
      <w:r>
        <w:rPr>
          <w:rFonts w:hint="eastAsia" w:ascii="宋体" w:hAnsi="宋体" w:eastAsia="宋体" w:cs="宋体"/>
          <w:b/>
          <w:bCs/>
          <w:color w:val="000000"/>
          <w:szCs w:val="24"/>
          <w:lang w:val="en-US" w:eastAsia="zh-CN"/>
        </w:rPr>
        <w:t>保障</w:t>
      </w:r>
      <w:r>
        <w:rPr>
          <w:rFonts w:hint="eastAsia" w:ascii="宋体" w:hAnsi="宋体" w:eastAsia="宋体" w:cs="宋体"/>
          <w:b/>
          <w:bCs/>
          <w:color w:val="000000"/>
          <w:szCs w:val="24"/>
        </w:rPr>
        <w:t>：</w:t>
      </w:r>
    </w:p>
    <w:p w14:paraId="3FE8AB2E">
      <w:pPr>
        <w:spacing w:line="500" w:lineRule="exact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成交人应随同货物提供相应的中文技术文件（包括产品合格证、装箱清单、操作手册、使用说明、检测报告、维护手册、服务指南等资料）。</w:t>
      </w:r>
    </w:p>
    <w:p w14:paraId="141C51F0">
      <w:pPr>
        <w:numPr>
          <w:ilvl w:val="0"/>
          <w:numId w:val="4"/>
        </w:numPr>
        <w:tabs>
          <w:tab w:val="left" w:pos="498"/>
        </w:tabs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  <w:lang w:val="en-US" w:eastAsia="zh-CN"/>
        </w:rPr>
        <w:t>售后及服务</w:t>
      </w:r>
      <w:r>
        <w:rPr>
          <w:rFonts w:hint="eastAsia" w:ascii="宋体" w:hAnsi="宋体" w:eastAsia="宋体" w:cs="宋体"/>
          <w:b/>
          <w:color w:val="000000"/>
          <w:szCs w:val="24"/>
        </w:rPr>
        <w:t>：</w:t>
      </w:r>
    </w:p>
    <w:p w14:paraId="058EED8E">
      <w:pPr>
        <w:spacing w:line="500" w:lineRule="exact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（1）本次服务项目应符合国家有关规范，确保达到最佳状态。</w:t>
      </w:r>
    </w:p>
    <w:p w14:paraId="7712729F">
      <w:pPr>
        <w:spacing w:line="500" w:lineRule="exact"/>
        <w:ind w:firstLine="480" w:firstLineChars="2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（2）中标人应根据服务方案规范及质量要求进行服务工作，并在质保期内、外应对项目质量问题负责，采购人在服务过程中起到配合、监督及管理的作用。</w:t>
      </w:r>
    </w:p>
    <w:p w14:paraId="14D02668">
      <w:pPr>
        <w:tabs>
          <w:tab w:val="left" w:pos="498"/>
        </w:tabs>
        <w:spacing w:line="360" w:lineRule="auto"/>
        <w:jc w:val="left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十二、合同争议的解决：</w:t>
      </w:r>
    </w:p>
    <w:p w14:paraId="1DA0DAE9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合同执行中发生争议的，当事人双方应协商解决，协商达不成一致时，可向采购人所在地人民法院提请诉讼。</w:t>
      </w:r>
    </w:p>
    <w:p w14:paraId="16595AD1">
      <w:pPr>
        <w:spacing w:line="520" w:lineRule="exact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十三、合同履行：</w:t>
      </w:r>
    </w:p>
    <w:p w14:paraId="5F9B82C0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合同一经签订，双方不得擅自变更、中止或者终止合同。</w:t>
      </w:r>
    </w:p>
    <w:p w14:paraId="3C685016">
      <w:pPr>
        <w:spacing w:line="360" w:lineRule="auto"/>
        <w:rPr>
          <w:rFonts w:hint="eastAsia" w:ascii="宋体" w:hAnsi="宋体" w:eastAsia="宋体" w:cs="宋体"/>
          <w:b/>
          <w:color w:val="000000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十四、违约责任：</w:t>
      </w:r>
    </w:p>
    <w:p w14:paraId="7E87B1C6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依据《中华人民共和国</w:t>
      </w:r>
      <w:r>
        <w:rPr>
          <w:rFonts w:hint="eastAsia" w:ascii="宋体" w:hAnsi="宋体" w:eastAsia="宋体" w:cs="宋体"/>
          <w:color w:val="000000"/>
          <w:szCs w:val="24"/>
          <w:lang w:val="en-US" w:eastAsia="zh-CN"/>
        </w:rPr>
        <w:t>民法典</w:t>
      </w:r>
      <w:r>
        <w:rPr>
          <w:rFonts w:hint="eastAsia" w:ascii="宋体" w:hAnsi="宋体" w:eastAsia="宋体" w:cs="宋体"/>
          <w:color w:val="000000"/>
          <w:szCs w:val="24"/>
        </w:rPr>
        <w:t>》、《中华人民共和国政府采购法》、《中华人民共和国政府采购法实施条例》的相关条款和本合同约定，成交供应商未全面履行合同义务或者发生违约，采购单位会同采购代理机构有权终止合同，依法向成交供应商进行经济索赔，并报请政府采购监督管理机关进行相应的行政处罚。</w:t>
      </w:r>
    </w:p>
    <w:p w14:paraId="7AB4EFAA">
      <w:pPr>
        <w:pStyle w:val="4"/>
        <w:rPr>
          <w:rFonts w:hint="eastAsia" w:ascii="宋体" w:hAnsi="宋体" w:eastAsia="宋体" w:cs="宋体"/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36"/>
        </w:rPr>
        <w:t>违约责任细则由采购人与中标单位签订合同时商议。</w:t>
      </w:r>
    </w:p>
    <w:p w14:paraId="2F081258">
      <w:pPr>
        <w:spacing w:line="360" w:lineRule="auto"/>
        <w:rPr>
          <w:rFonts w:hint="eastAsia" w:ascii="宋体" w:hAnsi="宋体" w:eastAsia="宋体" w:cs="宋体"/>
          <w:b/>
          <w:color w:val="000000"/>
          <w:szCs w:val="24"/>
        </w:rPr>
      </w:pPr>
      <w:r>
        <w:rPr>
          <w:rFonts w:hint="eastAsia" w:ascii="宋体" w:hAnsi="宋体" w:eastAsia="宋体" w:cs="宋体"/>
          <w:b/>
          <w:color w:val="000000"/>
          <w:szCs w:val="24"/>
        </w:rPr>
        <w:t>十五、合同订立</w:t>
      </w:r>
    </w:p>
    <w:p w14:paraId="719F5C0E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1. 订立时间：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Cs w:val="24"/>
        </w:rPr>
        <w:t>年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Cs w:val="24"/>
        </w:rPr>
        <w:t>月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Cs w:val="24"/>
        </w:rPr>
        <w:t>日。</w:t>
      </w:r>
    </w:p>
    <w:p w14:paraId="1FA22C0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2. 订立地点：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color w:val="000000"/>
          <w:szCs w:val="24"/>
        </w:rPr>
        <w:t>。</w:t>
      </w:r>
    </w:p>
    <w:p w14:paraId="748B7C56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3. 本合同一式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Cs w:val="24"/>
        </w:rPr>
        <w:t>份，具有同等法律效力，双方各执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Cs w:val="24"/>
        </w:rPr>
        <w:t>份，监管部门备案壹份、采购代理机构存档壹份。各方签字盖章后生效，合同执行完毕自动失效。（合同的服务承诺则长期有效）。</w:t>
      </w:r>
    </w:p>
    <w:p w14:paraId="5C0E98AA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</w:rPr>
      </w:pPr>
    </w:p>
    <w:p w14:paraId="7F60AED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采购人：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（盖章）     </w:t>
      </w:r>
      <w:r>
        <w:rPr>
          <w:rFonts w:hint="eastAsia" w:ascii="宋体" w:hAnsi="宋体" w:eastAsia="宋体" w:cs="宋体"/>
          <w:color w:val="000000"/>
          <w:szCs w:val="24"/>
        </w:rPr>
        <w:t xml:space="preserve">           供应商：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（盖章）    </w:t>
      </w:r>
    </w:p>
    <w:p w14:paraId="2934F7B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 xml:space="preserve">地址： 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Cs w:val="24"/>
        </w:rPr>
        <w:t xml:space="preserve">       地址： 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     </w:t>
      </w:r>
    </w:p>
    <w:p w14:paraId="5EA566A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法定代表人或其授权                 法定代表人或其授权</w:t>
      </w:r>
    </w:p>
    <w:p w14:paraId="0288E6C1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的代理人：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（签字）      </w:t>
      </w:r>
      <w:r>
        <w:rPr>
          <w:rFonts w:hint="eastAsia" w:ascii="宋体" w:hAnsi="宋体" w:eastAsia="宋体" w:cs="宋体"/>
          <w:color w:val="000000"/>
          <w:szCs w:val="24"/>
        </w:rPr>
        <w:t xml:space="preserve">           的代理人：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（签字）          </w:t>
      </w:r>
    </w:p>
    <w:p w14:paraId="26B1246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开户银行：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000000"/>
          <w:szCs w:val="24"/>
        </w:rPr>
        <w:t xml:space="preserve">        开户银行：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 </w:t>
      </w:r>
    </w:p>
    <w:p w14:paraId="6E4FB4F4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>账号：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Cs w:val="24"/>
        </w:rPr>
        <w:t xml:space="preserve">       账号：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      </w:t>
      </w:r>
    </w:p>
    <w:p w14:paraId="748B6433">
      <w:pPr>
        <w:ind w:firstLine="480" w:firstLineChars="200"/>
        <w:rPr>
          <w:rFonts w:hint="eastAsia" w:ascii="宋体" w:hAnsi="宋体" w:eastAsia="宋体" w:cs="宋体"/>
          <w:color w:val="000000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Cs w:val="24"/>
        </w:rPr>
        <w:t>电话：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Cs w:val="24"/>
        </w:rPr>
        <w:t xml:space="preserve">       电话：</w:t>
      </w:r>
      <w:r>
        <w:rPr>
          <w:rFonts w:hint="eastAsia" w:ascii="宋体" w:hAnsi="宋体" w:eastAsia="宋体" w:cs="宋体"/>
          <w:color w:val="000000"/>
          <w:szCs w:val="24"/>
          <w:u w:val="single"/>
        </w:rPr>
        <w:t xml:space="preserve">                       </w:t>
      </w:r>
    </w:p>
    <w:p w14:paraId="7B8A17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47E1C"/>
    <w:multiLevelType w:val="multilevel"/>
    <w:tmpl w:val="04247E1C"/>
    <w:lvl w:ilvl="0" w:tentative="0">
      <w:start w:val="1"/>
      <w:numFmt w:val="decimal"/>
      <w:lvlText w:val="（%1）"/>
      <w:lvlJc w:val="left"/>
      <w:pPr>
        <w:ind w:left="987" w:hanging="420"/>
      </w:pPr>
      <w:rPr>
        <w:rFonts w:hint="eastAsia" w:cs="Times New Roman"/>
      </w:rPr>
    </w:lvl>
    <w:lvl w:ilvl="1" w:tentative="0">
      <w:start w:val="1"/>
      <w:numFmt w:val="lowerLetter"/>
      <w:pStyle w:val="7"/>
      <w:lvlText w:val="%2)"/>
      <w:lvlJc w:val="left"/>
      <w:pPr>
        <w:ind w:left="1554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">
    <w:nsid w:val="0FD30D45"/>
    <w:multiLevelType w:val="singleLevel"/>
    <w:tmpl w:val="0FD30D45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730F673"/>
    <w:multiLevelType w:val="singleLevel"/>
    <w:tmpl w:val="2730F673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3">
    <w:nsid w:val="748D16CD"/>
    <w:multiLevelType w:val="multilevel"/>
    <w:tmpl w:val="748D16CD"/>
    <w:lvl w:ilvl="0" w:tentative="0">
      <w:start w:val="1"/>
      <w:numFmt w:val="decimal"/>
      <w:pStyle w:val="8"/>
      <w:lvlText w:val="（%1）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74002"/>
    <w:rsid w:val="2FB74EAC"/>
    <w:rsid w:val="32E7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spacing w:line="300" w:lineRule="auto"/>
      <w:ind w:firstLine="420" w:firstLineChars="200"/>
    </w:pPr>
    <w:rPr>
      <w:rFonts w:ascii="Calibri"/>
      <w:kern w:val="2"/>
      <w:sz w:val="21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/>
      <w:kern w:val="2"/>
      <w:sz w:val="18"/>
      <w:szCs w:val="18"/>
    </w:rPr>
  </w:style>
  <w:style w:type="paragraph" w:customStyle="1" w:styleId="7">
    <w:name w:val="引言二级条标题"/>
    <w:basedOn w:val="8"/>
    <w:next w:val="9"/>
    <w:qFormat/>
    <w:uiPriority w:val="0"/>
    <w:pPr>
      <w:widowControl/>
      <w:numPr>
        <w:ilvl w:val="1"/>
        <w:numId w:val="1"/>
      </w:numPr>
      <w:tabs>
        <w:tab w:val="left" w:pos="360"/>
        <w:tab w:val="left" w:pos="1200"/>
        <w:tab w:val="left" w:pos="1320"/>
      </w:tabs>
    </w:pPr>
    <w:rPr>
      <w:rFonts w:ascii="宋体" w:hAnsi="宋体" w:eastAsia="黑体"/>
      <w:b w:val="0"/>
      <w:sz w:val="22"/>
      <w:szCs w:val="20"/>
    </w:rPr>
  </w:style>
  <w:style w:type="paragraph" w:customStyle="1" w:styleId="8">
    <w:name w:val="引言一级条标题"/>
    <w:basedOn w:val="1"/>
    <w:next w:val="9"/>
    <w:qFormat/>
    <w:uiPriority w:val="0"/>
    <w:pPr>
      <w:widowControl/>
      <w:numPr>
        <w:ilvl w:val="0"/>
        <w:numId w:val="2"/>
      </w:numPr>
    </w:pPr>
    <w:rPr>
      <w:rFonts w:eastAsia="黑体"/>
      <w:b/>
    </w:rPr>
  </w:style>
  <w:style w:type="paragraph" w:customStyle="1" w:styleId="9">
    <w:name w:val="段"/>
    <w:next w:val="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1386</Words>
  <Characters>1402</Characters>
  <Lines>0</Lines>
  <Paragraphs>0</Paragraphs>
  <TotalTime>1</TotalTime>
  <ScaleCrop>false</ScaleCrop>
  <LinksUpToDate>false</LinksUpToDate>
  <CharactersWithSpaces>1956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2025-08-19T08:16:00Z</dcterms:created>
  <dc:creator>陌生</dc:creator>
  <cp:lastModifiedBy>可乐</cp:lastModifiedBy>
  <dcterms:modified xsi:type="dcterms:W3CDTF">2026-03-05T06:25:38Z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9E4D1441949245E59C08B841BDBC25E3_11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