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89D156">
      <w:pPr>
        <w:pStyle w:val="2"/>
        <w:rPr>
          <w:rFonts w:hint="eastAsia"/>
          <w:color w:val="auto"/>
          <w:highlight w:val="none"/>
        </w:rPr>
      </w:pPr>
      <w:r>
        <w:rPr>
          <w:rFonts w:hint="eastAsia"/>
          <w:color w:val="auto"/>
          <w:highlight w:val="none"/>
        </w:rPr>
        <w:t>采购内容及要求</w:t>
      </w:r>
    </w:p>
    <w:p w14:paraId="4B5E0CF0">
      <w:pPr>
        <w:pStyle w:val="3"/>
        <w:jc w:val="left"/>
        <w:rPr>
          <w:rFonts w:hint="eastAsia"/>
          <w:color w:val="auto"/>
          <w:highlight w:val="none"/>
          <w:lang w:val="en-US" w:eastAsia="zh-CN"/>
        </w:rPr>
      </w:pPr>
      <w:bookmarkStart w:id="0" w:name="_Toc6443"/>
      <w:r>
        <w:rPr>
          <w:rFonts w:hint="eastAsia"/>
          <w:color w:val="auto"/>
          <w:highlight w:val="none"/>
          <w:lang w:eastAsia="zh-CN"/>
        </w:rPr>
        <w:t>一、</w:t>
      </w:r>
      <w:r>
        <w:rPr>
          <w:rFonts w:hint="eastAsia"/>
          <w:color w:val="auto"/>
          <w:highlight w:val="none"/>
          <w:lang w:val="en-US" w:eastAsia="zh-CN"/>
        </w:rPr>
        <w:t>项目概况</w:t>
      </w:r>
      <w:bookmarkEnd w:id="0"/>
    </w:p>
    <w:p w14:paraId="3249B8EA">
      <w:pPr>
        <w:pStyle w:val="10"/>
        <w:rPr>
          <w:rFonts w:hint="eastAsia"/>
          <w:color w:val="auto"/>
          <w:highlight w:val="none"/>
          <w:lang w:eastAsia="zh-CN"/>
        </w:rPr>
      </w:pPr>
      <w:r>
        <w:rPr>
          <w:rFonts w:hint="eastAsia"/>
          <w:color w:val="auto"/>
          <w:highlight w:val="none"/>
          <w:lang w:eastAsia="zh-CN"/>
        </w:rPr>
        <w:t>为全校有学籍的在校生购买一年期校方责任保险，对各类突发事件提供基础的保险服务。</w:t>
      </w:r>
    </w:p>
    <w:p w14:paraId="03772DEB">
      <w:pPr>
        <w:pStyle w:val="3"/>
        <w:numPr>
          <w:ilvl w:val="0"/>
          <w:numId w:val="2"/>
        </w:numPr>
        <w:jc w:val="left"/>
        <w:rPr>
          <w:rFonts w:hint="eastAsia"/>
          <w:color w:val="auto"/>
          <w:highlight w:val="none"/>
          <w:lang w:eastAsia="zh-CN"/>
        </w:rPr>
      </w:pPr>
      <w:bookmarkStart w:id="1" w:name="_Toc16074"/>
      <w:r>
        <w:rPr>
          <w:rFonts w:hint="eastAsia"/>
          <w:color w:val="auto"/>
          <w:highlight w:val="none"/>
          <w:lang w:eastAsia="zh-CN"/>
        </w:rPr>
        <w:t>服务范围</w:t>
      </w:r>
      <w:bookmarkEnd w:id="1"/>
    </w:p>
    <w:p w14:paraId="53BE6B46">
      <w:pPr>
        <w:pStyle w:val="10"/>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val="en-US" w:eastAsia="zh-CN"/>
        </w:rPr>
        <w:t>1、</w:t>
      </w:r>
      <w:r>
        <w:rPr>
          <w:rFonts w:hint="eastAsia" w:ascii="宋体" w:hAnsi="Times New Roman" w:eastAsia="宋体" w:cs="Times New Roman"/>
          <w:color w:val="auto"/>
          <w:highlight w:val="none"/>
          <w:lang w:eastAsia="zh-CN"/>
        </w:rPr>
        <w:t>2026年9月1日--2027年8月31日期限内对全校有学籍的在校生提供校方责任保险。</w:t>
      </w:r>
    </w:p>
    <w:p w14:paraId="38E9410D">
      <w:pPr>
        <w:pStyle w:val="10"/>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2、202</w:t>
      </w:r>
      <w:r>
        <w:rPr>
          <w:rFonts w:hint="eastAsia" w:ascii="宋体" w:hAnsi="Times New Roman" w:eastAsia="宋体" w:cs="Times New Roman"/>
          <w:color w:val="auto"/>
          <w:highlight w:val="none"/>
          <w:lang w:eastAsia="zh-CN"/>
        </w:rPr>
        <w:t>6年9月1日--2027年8月31日</w:t>
      </w:r>
      <w:r>
        <w:rPr>
          <w:rFonts w:hint="eastAsia" w:ascii="宋体" w:hAnsi="Times New Roman" w:eastAsia="宋体" w:cs="Times New Roman"/>
          <w:color w:val="auto"/>
          <w:highlight w:val="none"/>
          <w:lang w:val="en-US" w:eastAsia="zh-CN"/>
        </w:rPr>
        <w:t>期限内全校有学籍的在校生约21000人。</w:t>
      </w:r>
    </w:p>
    <w:p w14:paraId="715239BE">
      <w:pPr>
        <w:pStyle w:val="3"/>
        <w:jc w:val="left"/>
        <w:rPr>
          <w:rFonts w:hint="eastAsia" w:eastAsia="宋体"/>
          <w:color w:val="auto"/>
          <w:highlight w:val="none"/>
          <w:lang w:eastAsia="zh-CN"/>
        </w:rPr>
      </w:pPr>
      <w:bookmarkStart w:id="2" w:name="_Toc1406"/>
      <w:r>
        <w:rPr>
          <w:rFonts w:hint="eastAsia"/>
          <w:color w:val="auto"/>
          <w:highlight w:val="none"/>
          <w:lang w:eastAsia="zh-CN"/>
        </w:rPr>
        <w:t>三</w:t>
      </w:r>
      <w:r>
        <w:rPr>
          <w:rFonts w:hint="eastAsia"/>
          <w:color w:val="auto"/>
          <w:highlight w:val="none"/>
        </w:rPr>
        <w:t>、服务内容</w:t>
      </w:r>
      <w:r>
        <w:rPr>
          <w:rFonts w:hint="eastAsia"/>
          <w:color w:val="auto"/>
          <w:highlight w:val="none"/>
          <w:lang w:eastAsia="zh-CN"/>
        </w:rPr>
        <w:t>及标准要求</w:t>
      </w:r>
      <w:bookmarkEnd w:id="2"/>
    </w:p>
    <w:p w14:paraId="761FCA3B">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1、保险险种：校园方责任保险</w:t>
      </w:r>
    </w:p>
    <w:p w14:paraId="06706E4A">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2、基本条款：根据承保公司关于校方责任险的条款和合同的有关内容</w:t>
      </w:r>
    </w:p>
    <w:p w14:paraId="3B37265F">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3、特别约定</w:t>
      </w:r>
    </w:p>
    <w:p w14:paraId="799D8B8F">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1）在本保险期限和本保单明细表中列明的保险区域范围内，被保险人在其校（园）内或由其统一组织并带领下的校（园）外活动中（限中国境内，港澳台地区除外），由于疏忽或过失造成下列依法应由被保险人承担的经济赔偿责任，保险人负责赔偿：</w:t>
      </w:r>
    </w:p>
    <w:p w14:paraId="04B3BC3C">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（一）校方责任范围的疾病以及意外伤害造成的人身伤亡；</w:t>
      </w:r>
    </w:p>
    <w:p w14:paraId="1EFB51AE">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（二）校方责任范围的被盗、火灾以及其他意外事故造成的财产损失；</w:t>
      </w:r>
    </w:p>
    <w:p w14:paraId="4BF2F9C1">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（三）事先经保险人书面同意的仲裁或诉讼费用；</w:t>
      </w:r>
    </w:p>
    <w:p w14:paraId="22E88C7A">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上述第（一）、第（二）项与第（三）项每次事故赔偿总金额不得超过本保险单明细表中列明的每次事故赔偿限额，对每次事故每人人身伤亡的赔偿金额不超过每人人身伤亡赔偿限额。</w:t>
      </w:r>
    </w:p>
    <w:p w14:paraId="0DEE9DC8">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发生保险责任事故后，被保险人为缩小或减少对注册学生的人身伤亡或财产损失的赔偿责任所支付必要的、合理的费用，保险人也负责赔偿。</w:t>
      </w:r>
    </w:p>
    <w:p w14:paraId="3968262C">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根据《职业学校学生实习管理规定》，在学校组织的学生实习活动中（包括认知实习和岗位实习），学生出现的意外，由校方责任险进行赔付和保障。</w:t>
      </w:r>
    </w:p>
    <w:p w14:paraId="0451C5B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3）本协议生效期内，学校所有在校生的宿舍财产由校方责任险保障。</w:t>
      </w:r>
    </w:p>
    <w:p w14:paraId="2257EAB8">
      <w:pPr>
        <w:spacing w:line="360" w:lineRule="auto"/>
        <w:ind w:firstLine="480" w:firstLineChars="200"/>
        <w:rPr>
          <w:rFonts w:hint="eastAsia" w:ascii="宋体" w:hAnsi="Times New Roman" w:eastAsia="宋体" w:cs="Times New Roman"/>
          <w:b w:val="0"/>
          <w:bCs w:val="0"/>
          <w:color w:val="auto"/>
          <w:kern w:val="0"/>
          <w:sz w:val="24"/>
          <w:szCs w:val="20"/>
          <w:highlight w:val="none"/>
          <w:lang w:val="en-US" w:eastAsia="zh-CN" w:bidi="ar-SA"/>
        </w:rPr>
      </w:pPr>
      <w:r>
        <w:rPr>
          <w:rFonts w:hint="eastAsia" w:ascii="宋体" w:hAnsi="Times New Roman" w:eastAsia="宋体" w:cs="Times New Roman"/>
          <w:b w:val="0"/>
          <w:bCs w:val="0"/>
          <w:color w:val="auto"/>
          <w:kern w:val="0"/>
          <w:sz w:val="24"/>
          <w:szCs w:val="20"/>
          <w:highlight w:val="none"/>
          <w:lang w:val="en-US" w:eastAsia="zh-CN" w:bidi="ar-SA"/>
        </w:rPr>
        <w:t>4、赔偿限额</w:t>
      </w:r>
    </w:p>
    <w:p w14:paraId="543A9421">
      <w:pPr>
        <w:keepNext w:val="0"/>
        <w:keepLines w:val="0"/>
        <w:pageBreakBefore w:val="0"/>
        <w:widowControl w:val="0"/>
        <w:kinsoku/>
        <w:wordWrap/>
        <w:overflowPunct/>
        <w:topLinePunct w:val="0"/>
        <w:autoSpaceDE/>
        <w:autoSpaceDN/>
        <w:bidi w:val="0"/>
        <w:adjustRightInd/>
        <w:snapToGrid/>
        <w:spacing w:line="360" w:lineRule="auto"/>
        <w:ind w:left="182" w:leftChars="76" w:firstLine="360" w:firstLineChars="150"/>
        <w:textAlignment w:val="auto"/>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1)校园方责任险主险：每校每年累计责任赔偿限额2000万；每校每次事故赔偿限额1000万；每生每年赔偿限额60万；每次事故财产损失责任限额10万。</w:t>
      </w:r>
      <w:bookmarkStart w:id="3" w:name="_GoBack"/>
      <w:bookmarkEnd w:id="3"/>
    </w:p>
    <w:p w14:paraId="0664B32B">
      <w:pPr>
        <w:keepNext w:val="0"/>
        <w:keepLines w:val="0"/>
        <w:pageBreakBefore w:val="0"/>
        <w:widowControl w:val="0"/>
        <w:kinsoku/>
        <w:wordWrap/>
        <w:overflowPunct/>
        <w:topLinePunct w:val="0"/>
        <w:autoSpaceDE/>
        <w:autoSpaceDN/>
        <w:bidi w:val="0"/>
        <w:adjustRightInd/>
        <w:snapToGrid/>
        <w:spacing w:line="360" w:lineRule="auto"/>
        <w:ind w:left="182" w:leftChars="76" w:firstLine="360" w:firstLineChars="150"/>
        <w:textAlignment w:val="auto"/>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2)附加无过失险：每校每年累计责任赔偿限额600万；每校每次事故赔偿限额150万；每生每年赔偿限额18万。</w:t>
      </w:r>
    </w:p>
    <w:p w14:paraId="1ACF1252">
      <w:pPr>
        <w:spacing w:line="360" w:lineRule="auto"/>
        <w:ind w:left="182" w:leftChars="76" w:firstLine="360" w:firstLineChars="15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3)附加学生实习责任保险（包括认知实习和岗位实习）：每校每次事故赔偿限额1200万；每生每年赔偿限额60万。</w:t>
      </w:r>
    </w:p>
    <w:p w14:paraId="39FCD567">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4)在校生的宿舍财产由校方责任险保障，保额为每生每年7000元。</w:t>
      </w:r>
    </w:p>
    <w:p w14:paraId="2004D226">
      <w:pPr>
        <w:spacing w:line="360" w:lineRule="auto"/>
        <w:ind w:firstLine="480" w:firstLineChars="200"/>
        <w:rPr>
          <w:rFonts w:hint="eastAsia" w:ascii="宋体" w:hAnsi="Times New Roman" w:eastAsia="宋体" w:cs="Times New Roman"/>
          <w:b w:val="0"/>
          <w:bCs w:val="0"/>
          <w:color w:val="auto"/>
          <w:kern w:val="0"/>
          <w:sz w:val="24"/>
          <w:szCs w:val="20"/>
          <w:highlight w:val="none"/>
          <w:lang w:val="en-US" w:eastAsia="zh-CN" w:bidi="ar-SA"/>
        </w:rPr>
      </w:pPr>
      <w:r>
        <w:rPr>
          <w:rFonts w:hint="eastAsia" w:ascii="宋体" w:hAnsi="Times New Roman" w:eastAsia="宋体" w:cs="Times New Roman"/>
          <w:b w:val="0"/>
          <w:bCs w:val="0"/>
          <w:color w:val="auto"/>
          <w:kern w:val="0"/>
          <w:sz w:val="24"/>
          <w:szCs w:val="20"/>
          <w:highlight w:val="none"/>
          <w:lang w:val="en-US" w:eastAsia="zh-CN" w:bidi="ar-SA"/>
        </w:rPr>
        <w:t>5、免赔额：人身伤亡无免赔，财产损失每次免赔额为100元。</w:t>
      </w:r>
    </w:p>
    <w:p w14:paraId="006D0296">
      <w:pPr>
        <w:spacing w:line="360" w:lineRule="auto"/>
        <w:ind w:firstLine="480" w:firstLineChars="200"/>
        <w:rPr>
          <w:rFonts w:hint="eastAsia" w:ascii="宋体" w:hAnsi="Times New Roman" w:eastAsia="宋体" w:cs="Times New Roman"/>
          <w:b w:val="0"/>
          <w:bCs w:val="0"/>
          <w:color w:val="auto"/>
          <w:kern w:val="0"/>
          <w:sz w:val="24"/>
          <w:szCs w:val="20"/>
          <w:highlight w:val="none"/>
          <w:lang w:val="en-US" w:eastAsia="zh-CN" w:bidi="ar-SA"/>
        </w:rPr>
      </w:pPr>
      <w:r>
        <w:rPr>
          <w:rFonts w:hint="eastAsia" w:ascii="宋体" w:hAnsi="Times New Roman" w:eastAsia="宋体" w:cs="Times New Roman"/>
          <w:b w:val="0"/>
          <w:bCs w:val="0"/>
          <w:color w:val="auto"/>
          <w:kern w:val="0"/>
          <w:sz w:val="24"/>
          <w:szCs w:val="20"/>
          <w:highlight w:val="none"/>
          <w:lang w:val="en-US" w:eastAsia="zh-CN" w:bidi="ar-SA"/>
        </w:rPr>
        <w:t>6、保险费：</w:t>
      </w:r>
    </w:p>
    <w:p w14:paraId="537E06D0">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1)保险费不高于15元／人／年</w:t>
      </w:r>
    </w:p>
    <w:p w14:paraId="0E124BB9">
      <w:pPr>
        <w:spacing w:line="360" w:lineRule="auto"/>
        <w:ind w:firstLine="480" w:firstLineChars="200"/>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2)保险费由采购人一次性缴纳。</w:t>
      </w:r>
    </w:p>
    <w:p w14:paraId="743CBD9A">
      <w:pPr>
        <w:keepNext w:val="0"/>
        <w:keepLines w:val="0"/>
        <w:pageBreakBefore w:val="0"/>
        <w:widowControl w:val="0"/>
        <w:kinsoku/>
        <w:wordWrap/>
        <w:overflowPunct/>
        <w:topLinePunct w:val="0"/>
        <w:autoSpaceDE/>
        <w:autoSpaceDN/>
        <w:bidi w:val="0"/>
        <w:adjustRightInd/>
        <w:snapToGrid/>
        <w:spacing w:line="360" w:lineRule="auto"/>
        <w:ind w:left="182" w:leftChars="76" w:firstLine="360" w:firstLineChars="150"/>
        <w:textAlignment w:val="auto"/>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 xml:space="preserve">7、服务人员配备 </w:t>
      </w:r>
    </w:p>
    <w:p w14:paraId="4EB0D0B4">
      <w:pPr>
        <w:keepNext w:val="0"/>
        <w:keepLines w:val="0"/>
        <w:pageBreakBefore w:val="0"/>
        <w:widowControl w:val="0"/>
        <w:kinsoku/>
        <w:wordWrap/>
        <w:overflowPunct/>
        <w:topLinePunct w:val="0"/>
        <w:autoSpaceDE/>
        <w:autoSpaceDN/>
        <w:bidi w:val="0"/>
        <w:adjustRightInd/>
        <w:snapToGrid/>
        <w:spacing w:line="360" w:lineRule="auto"/>
        <w:ind w:left="182" w:leftChars="76" w:firstLine="360" w:firstLineChars="150"/>
        <w:textAlignment w:val="auto"/>
        <w:rPr>
          <w:rFonts w:hint="eastAsia" w:ascii="宋体" w:hAnsi="Times New Roman" w:eastAsia="宋体" w:cs="Times New Roman"/>
          <w:color w:val="auto"/>
          <w:kern w:val="0"/>
          <w:sz w:val="24"/>
          <w:szCs w:val="20"/>
          <w:highlight w:val="none"/>
          <w:lang w:val="en-US" w:eastAsia="zh-CN" w:bidi="ar-SA"/>
        </w:rPr>
      </w:pPr>
      <w:r>
        <w:rPr>
          <w:rFonts w:hint="eastAsia" w:ascii="宋体" w:hAnsi="Times New Roman" w:eastAsia="宋体" w:cs="Times New Roman"/>
          <w:color w:val="auto"/>
          <w:kern w:val="0"/>
          <w:sz w:val="24"/>
          <w:szCs w:val="20"/>
          <w:highlight w:val="none"/>
          <w:lang w:val="en-US" w:eastAsia="zh-CN" w:bidi="ar-SA"/>
        </w:rPr>
        <w:t>1）配备项目负责人1名；专责理赔员1名</w:t>
      </w:r>
    </w:p>
    <w:p w14:paraId="2153168E">
      <w:r>
        <w:rPr>
          <w:rFonts w:hint="eastAsia" w:ascii="宋体" w:hAnsi="Times New Roman" w:eastAsia="宋体" w:cs="Times New Roman"/>
          <w:color w:val="auto"/>
          <w:kern w:val="0"/>
          <w:sz w:val="24"/>
          <w:szCs w:val="20"/>
          <w:highlight w:val="none"/>
          <w:lang w:val="en-US" w:eastAsia="zh-CN" w:bidi="ar-SA"/>
        </w:rPr>
        <w:t>2）项目负责人为承保公司部门负责人或以上级别人员，对该保险项目负专责，定期到学校联系业务工作，出险后提供及时有力的专业服务。</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322983"/>
    <w:multiLevelType w:val="singleLevel"/>
    <w:tmpl w:val="F7322983"/>
    <w:lvl w:ilvl="0" w:tentative="0">
      <w:start w:val="2"/>
      <w:numFmt w:val="decimal"/>
      <w:suff w:val="nothing"/>
      <w:lvlText w:val="%1）"/>
      <w:lvlJc w:val="left"/>
    </w:lvl>
  </w:abstractNum>
  <w:abstractNum w:abstractNumId="1">
    <w:nsid w:val="3A8CB4E3"/>
    <w:multiLevelType w:val="singleLevel"/>
    <w:tmpl w:val="3A8CB4E3"/>
    <w:lvl w:ilvl="0" w:tentative="0">
      <w:start w:val="2"/>
      <w:numFmt w:val="chineseCounting"/>
      <w:suff w:val="nothing"/>
      <w:lvlText w:val="%1、"/>
      <w:lvlJc w:val="left"/>
      <w:rPr>
        <w:rFonts w:hint="eastAsia"/>
      </w:rPr>
    </w:lvl>
  </w:abstractNum>
  <w:abstractNum w:abstractNumId="2">
    <w:nsid w:val="55D462AD"/>
    <w:multiLevelType w:val="multilevel"/>
    <w:tmpl w:val="55D462AD"/>
    <w:lvl w:ilvl="0" w:tentative="0">
      <w:start w:val="1"/>
      <w:numFmt w:val="decimal"/>
      <w:pStyle w:val="2"/>
      <w:lvlText w:val="%1."/>
      <w:lvlJc w:val="left"/>
      <w:pPr>
        <w:tabs>
          <w:tab w:val="left" w:pos="425"/>
        </w:tabs>
        <w:ind w:left="425" w:hanging="425"/>
      </w:pPr>
      <w:rPr>
        <w:rFonts w:hint="eastAsia" w:eastAsia="宋体"/>
        <w:b/>
        <w:i w:val="0"/>
        <w:sz w:val="24"/>
        <w:szCs w:val="24"/>
      </w:rPr>
    </w:lvl>
    <w:lvl w:ilvl="1" w:tentative="0">
      <w:start w:val="1"/>
      <w:numFmt w:val="decimal"/>
      <w:lvlText w:val="%1.%2."/>
      <w:lvlJc w:val="left"/>
      <w:pPr>
        <w:tabs>
          <w:tab w:val="left" w:pos="567"/>
        </w:tabs>
        <w:ind w:left="567" w:hanging="567"/>
      </w:pPr>
      <w:rPr>
        <w:rFonts w:hint="eastAsia" w:ascii="宋体" w:hAnsi="宋体" w:eastAsia="宋体"/>
        <w:b/>
        <w:i w:val="0"/>
        <w:color w:val="auto"/>
        <w:sz w:val="24"/>
        <w:szCs w:val="24"/>
        <w:u w:val="none"/>
      </w:rPr>
    </w:lvl>
    <w:lvl w:ilvl="2" w:tentative="0">
      <w:start w:val="1"/>
      <w:numFmt w:val="decimal"/>
      <w:lvlText w:val="%1.%2.%3."/>
      <w:lvlJc w:val="left"/>
      <w:pPr>
        <w:tabs>
          <w:tab w:val="left" w:pos="709"/>
        </w:tabs>
        <w:ind w:left="709" w:hanging="709"/>
      </w:pPr>
      <w:rPr>
        <w:rFonts w:hint="eastAsia" w:ascii="宋体" w:hAnsi="宋体" w:eastAsia="宋体"/>
        <w:caps w:val="0"/>
        <w:strike w:val="0"/>
        <w:dstrike w:val="0"/>
        <w:shadow w:val="0"/>
        <w:emboss w:val="0"/>
        <w:imprint w:val="0"/>
        <w:vanish w:val="0"/>
        <w:vertAlign w:val="baseline"/>
      </w:rPr>
    </w:lvl>
    <w:lvl w:ilvl="3" w:tentative="0">
      <w:start w:val="1"/>
      <w:numFmt w:val="decimal"/>
      <w:lvlText w:val="%1.%2.%3.%4."/>
      <w:lvlJc w:val="left"/>
      <w:pPr>
        <w:tabs>
          <w:tab w:val="left" w:pos="851"/>
        </w:tabs>
        <w:ind w:left="851" w:hanging="851"/>
      </w:pPr>
      <w:rPr>
        <w:rFonts w:hint="eastAsia" w:ascii="宋体" w:hAnsi="宋体" w:eastAsia="宋体"/>
        <w:b/>
        <w:sz w:val="24"/>
        <w:szCs w:val="24"/>
      </w:rPr>
    </w:lvl>
    <w:lvl w:ilvl="4" w:tentative="0">
      <w:start w:val="1"/>
      <w:numFmt w:val="decimal"/>
      <w:pStyle w:val="5"/>
      <w:lvlText w:val="%1.%2.%3.%4.%5."/>
      <w:lvlJc w:val="left"/>
      <w:pPr>
        <w:tabs>
          <w:tab w:val="left" w:pos="992"/>
        </w:tabs>
        <w:ind w:left="992" w:hanging="992"/>
      </w:pPr>
      <w:rPr>
        <w:rFonts w:hint="eastAsia"/>
        <w:b/>
        <w:i w:val="0"/>
        <w:sz w:val="24"/>
        <w:szCs w:val="24"/>
      </w:rPr>
    </w:lvl>
    <w:lvl w:ilvl="5" w:tentative="0">
      <w:start w:val="1"/>
      <w:numFmt w:val="decimal"/>
      <w:pStyle w:val="6"/>
      <w:lvlText w:val="%1.%2.%3.%4.%5.%6."/>
      <w:lvlJc w:val="left"/>
      <w:pPr>
        <w:tabs>
          <w:tab w:val="left" w:pos="1134"/>
        </w:tabs>
        <w:ind w:left="1134" w:hanging="1134"/>
      </w:pPr>
      <w:rPr>
        <w:rFonts w:hint="eastAsia" w:ascii="宋体" w:hAnsi="宋体" w:eastAsia="宋体"/>
      </w:rPr>
    </w:lvl>
    <w:lvl w:ilvl="6" w:tentative="0">
      <w:start w:val="1"/>
      <w:numFmt w:val="decimal"/>
      <w:pStyle w:val="7"/>
      <w:lvlText w:val="%1.%2.%3.%4.%5.%6.%7."/>
      <w:lvlJc w:val="left"/>
      <w:pPr>
        <w:tabs>
          <w:tab w:val="left" w:pos="1276"/>
        </w:tabs>
        <w:ind w:left="1276" w:hanging="1276"/>
      </w:pPr>
      <w:rPr>
        <w:rFonts w:hint="eastAsia" w:ascii="宋体" w:hAnsi="宋体" w:eastAsia="宋体"/>
      </w:rPr>
    </w:lvl>
    <w:lvl w:ilvl="7" w:tentative="0">
      <w:start w:val="1"/>
      <w:numFmt w:val="decimal"/>
      <w:pStyle w:val="8"/>
      <w:lvlText w:val="%1.%2.%3.%4.%5.%6.%7.%8."/>
      <w:lvlJc w:val="left"/>
      <w:pPr>
        <w:tabs>
          <w:tab w:val="left" w:pos="1418"/>
        </w:tabs>
        <w:ind w:left="1418" w:hanging="1418"/>
      </w:pPr>
      <w:rPr>
        <w:rFonts w:hint="eastAsia"/>
      </w:rPr>
    </w:lvl>
    <w:lvl w:ilvl="8" w:tentative="0">
      <w:start w:val="1"/>
      <w:numFmt w:val="decimal"/>
      <w:pStyle w:val="9"/>
      <w:lvlText w:val="%1.%2.%3.%4.%5.%6.%7.%8.%9."/>
      <w:lvlJc w:val="left"/>
      <w:pPr>
        <w:tabs>
          <w:tab w:val="left" w:pos="1559"/>
        </w:tabs>
        <w:ind w:left="1559" w:hanging="1559"/>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7A00955"/>
    <w:rsid w:val="60CF045C"/>
    <w:rsid w:val="67C14DF2"/>
    <w:rsid w:val="7CDE0A9C"/>
    <w:rsid w:val="7D253F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25" w:hanging="425"/>
      <w:outlineLvl w:val="0"/>
    </w:pPr>
    <w:rPr>
      <w:b/>
      <w:kern w:val="44"/>
      <w:sz w:val="44"/>
    </w:rPr>
  </w:style>
  <w:style w:type="paragraph" w:styleId="3">
    <w:name w:val="heading 2"/>
    <w:basedOn w:val="1"/>
    <w:next w:val="1"/>
    <w:link w:val="13"/>
    <w:semiHidden/>
    <w:unhideWhenUsed/>
    <w:qFormat/>
    <w:uiPriority w:val="0"/>
    <w:pPr>
      <w:keepNext/>
      <w:keepLines/>
      <w:spacing w:before="260" w:after="260" w:line="360" w:lineRule="auto"/>
      <w:outlineLvl w:val="1"/>
    </w:pPr>
    <w:rPr>
      <w:rFonts w:ascii="宋体" w:hAnsi="宋体" w:eastAsia="宋体"/>
      <w:b/>
      <w:bCs/>
      <w:sz w:val="24"/>
      <w:szCs w:val="18"/>
    </w:rPr>
  </w:style>
  <w:style w:type="paragraph" w:styleId="4">
    <w:name w:val="heading 3"/>
    <w:basedOn w:val="1"/>
    <w:next w:val="1"/>
    <w:link w:val="14"/>
    <w:semiHidden/>
    <w:unhideWhenUsed/>
    <w:qFormat/>
    <w:uiPriority w:val="0"/>
    <w:pPr>
      <w:keepNext/>
      <w:keepLines/>
      <w:spacing w:before="260" w:after="260" w:line="360" w:lineRule="auto"/>
      <w:ind w:left="0" w:firstLine="0"/>
      <w:outlineLvl w:val="2"/>
    </w:pPr>
    <w:rPr>
      <w:rFonts w:ascii="Times New Roman" w:hAnsi="Times New Roman" w:eastAsia="宋体"/>
      <w:b/>
      <w:bCs/>
      <w:sz w:val="24"/>
      <w:szCs w:val="32"/>
    </w:rPr>
  </w:style>
  <w:style w:type="paragraph" w:styleId="5">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992" w:hanging="992"/>
      <w:outlineLvl w:val="4"/>
    </w:pPr>
    <w:rPr>
      <w:b/>
      <w:sz w:val="28"/>
    </w:rPr>
  </w:style>
  <w:style w:type="paragraph" w:styleId="6">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34" w:hanging="1134"/>
      <w:outlineLvl w:val="5"/>
    </w:pPr>
    <w:rPr>
      <w:rFonts w:ascii="Arial" w:hAnsi="Arial" w:eastAsia="黑体"/>
      <w:b/>
      <w:sz w:val="24"/>
    </w:rPr>
  </w:style>
  <w:style w:type="paragraph" w:styleId="7">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76" w:hanging="1276"/>
      <w:outlineLvl w:val="6"/>
    </w:pPr>
    <w:rPr>
      <w:b/>
      <w:sz w:val="24"/>
    </w:rPr>
  </w:style>
  <w:style w:type="paragraph" w:styleId="8">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18" w:hanging="1418"/>
      <w:outlineLvl w:val="7"/>
    </w:pPr>
    <w:rPr>
      <w:rFonts w:ascii="Arial" w:hAnsi="Arial" w:eastAsia="黑体"/>
      <w:sz w:val="24"/>
    </w:rPr>
  </w:style>
  <w:style w:type="paragraph" w:styleId="9">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59" w:hanging="1559"/>
      <w:outlineLvl w:val="8"/>
    </w:pPr>
    <w:rPr>
      <w:rFonts w:ascii="Arial" w:hAnsi="Arial" w:eastAsia="黑体"/>
      <w:sz w:val="21"/>
    </w:rPr>
  </w:style>
  <w:style w:type="character" w:default="1" w:styleId="12">
    <w:name w:val="Default Paragraph Font"/>
    <w:semiHidden/>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10">
    <w:name w:val="Normal Indent"/>
    <w:basedOn w:val="1"/>
    <w:qFormat/>
    <w:uiPriority w:val="0"/>
    <w:pPr>
      <w:autoSpaceDE w:val="0"/>
      <w:autoSpaceDN w:val="0"/>
      <w:adjustRightInd w:val="0"/>
      <w:ind w:firstLine="420"/>
      <w:jc w:val="left"/>
    </w:pPr>
    <w:rPr>
      <w:rFonts w:ascii="宋体"/>
      <w:kern w:val="0"/>
      <w:szCs w:val="20"/>
    </w:rPr>
  </w:style>
  <w:style w:type="character" w:customStyle="1" w:styleId="13">
    <w:name w:val="标题 2 Char"/>
    <w:link w:val="3"/>
    <w:uiPriority w:val="0"/>
    <w:rPr>
      <w:rFonts w:ascii="宋体" w:hAnsi="宋体" w:eastAsia="宋体"/>
      <w:b/>
      <w:bCs/>
      <w:kern w:val="2"/>
      <w:sz w:val="24"/>
      <w:szCs w:val="18"/>
    </w:rPr>
  </w:style>
  <w:style w:type="character" w:customStyle="1" w:styleId="14">
    <w:name w:val="标题 3 Char"/>
    <w:link w:val="4"/>
    <w:uiPriority w:val="0"/>
    <w:rPr>
      <w:rFonts w:ascii="Times New Roman" w:hAnsi="Times New Roman" w:eastAsia="宋体"/>
      <w:b/>
      <w:bCs/>
      <w:kern w:val="2"/>
      <w:sz w:val="24"/>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2022-09-07T05:52:00Z</dcterms:created>
  <dc:creator>Administrator</dc:creator>
  <cp:lastModifiedBy>起点</cp:lastModifiedBy>
  <dcterms:modified xsi:type="dcterms:W3CDTF">2026-07-08T08:43:53Z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466DA3339AB84D6DADD071CF891D7CBE</vt:lpwstr>
  </property>
  <property fmtid="{D5CDD505-2E9C-101B-9397-08002B2CF9AE}" pid="4" name="KSOTemplateDocerSaveRecord">
    <vt:lpwstr>eyJoZGlkIjoiNzQ2Y2ZmOTBkMTUyODBhYTJmYzM2MWM5NGIxYjkxMDYiLCJ1c2VySWQiOiI2Mjk5OTE3MzAifQ==</vt:lpwstr>
  </property>
</Properties>
</file>