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版本号：2026-HZZB-028.1B120260709001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机房核心及网络安全设备维保服务(二次)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2026-HZZB-028.1B1</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机房核心及网络安全设备维保服务(二次)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2026-HZZB-028.1B1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机房核心及网络安全设备维保服务(二次)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妇女儿童医院数据中心承载着核心业务系统的稳定运行任务，为保障数据中心硬件设备、配套软件及业务系统的高可用性、高安全性、高稳定性，防范设备故障、系统漏洞、数据安全等风险，由成交供应商提供全流程、全周期的硬件维修、软件维护、技术支持、应急保障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采购包1（机房核心及网络安全设备维保服务）：属于专门面向中小企业采购。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1、供应商应授权合法的人员参加投标全过程：法定代表人直接参加投标的，须出具法定代表人身份证，并与营业执照上信息一致；法定代表人授权代表参加投标的，须出具法定代表人授权书</w:t>
      </w:r>
    </w:p>
    <w:p>
      <w:pPr>
        <w:pStyle w:val="null3"/>
      </w:pPr>
      <w:r>
        <w:rPr>
          <w:rFonts w:ascii="仿宋_GB2312" w:hAnsi="仿宋_GB2312" w:cs="仿宋_GB2312" w:eastAsia="仿宋_GB2312"/>
        </w:rPr>
        <w:t>2、未被“信用中国”网站（www.creditchina.gov.cn）列入失信被执行人、重大税收违法失信主体名单，在中国政府采购网（www.ccgp.gov.cn）查询无政府采购严重违法失信行为记录：以现场查询结果为准</w:t>
      </w:r>
    </w:p>
    <w:p>
      <w:pPr>
        <w:pStyle w:val="null3"/>
      </w:pPr>
      <w:r>
        <w:rPr>
          <w:rFonts w:ascii="仿宋_GB2312" w:hAnsi="仿宋_GB2312" w:cs="仿宋_GB2312" w:eastAsia="仿宋_GB2312"/>
        </w:rPr>
        <w:t>3、控股关系：单位负责人为同一人或者存在直接控股、管理关系的不同投标供应商，不得参加同一合同项下的政府采购活动</w:t>
      </w:r>
    </w:p>
    <w:p>
      <w:pPr>
        <w:pStyle w:val="null3"/>
      </w:pPr>
      <w:r>
        <w:rPr>
          <w:rFonts w:ascii="仿宋_GB2312" w:hAnsi="仿宋_GB2312" w:cs="仿宋_GB2312" w:eastAsia="仿宋_GB2312"/>
        </w:rPr>
        <w:t>4、不允许联合体投标：不允许联合体投标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寇祎祎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陕西省西安市雁塔区科技西路绿地博海大厦1603室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杨旭、仵严佳、张进花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029-88720501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开户名称：衡正国际工程咨询有限公司</w:t>
            </w:r>
          </w:p>
          <w:p>
            <w:pPr>
              <w:pStyle w:val="null3"/>
            </w:pPr>
            <w:r>
              <w:rPr>
                <w:rFonts w:ascii="仿宋_GB2312" w:hAnsi="仿宋_GB2312" w:cs="仿宋_GB2312" w:eastAsia="仿宋_GB2312"/>
              </w:rPr>
              <w:t>开户银行：中国银行西安科技路西段支行</w:t>
            </w:r>
          </w:p>
          <w:p>
            <w:pPr>
              <w:pStyle w:val="null3"/>
            </w:pPr>
            <w:r>
              <w:rPr>
                <w:rFonts w:ascii="仿宋_GB2312" w:hAnsi="仿宋_GB2312" w:cs="仿宋_GB2312" w:eastAsia="仿宋_GB2312"/>
              </w:rPr>
              <w:t>银行账号：103674378316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代理服务费收费标准：参照按国家计委颁发的《招标代理服务收费管理暂行办法》（计价格[2002]1980号）的规定标准下浮20%，成交单位在领取成交通知书时向代理机构支付代理服务费。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1.验收依据：招标文件、成交供应商投标文件、合同约定、国家及行业相关规范、维保服务技术参数要求。 2.最终验收：服务期满，成交供应商完成全年度所有服务内容，提交年度服务总结报告、全套服务档案（巡检报告、演练报告、培训记录、故障处理台账等），采购人根据合同约定、全年维保服务达标情况、日常考核结果进行最终验收，验收合格的出具最终验收合格证明。 3.验收不合格的，采购人有权扣除相应合同款项，直至验收合格；整改后仍不合格的，采购人有权解除合同，成交供应商承担相应违约责任。详见采购内容及要求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联系人：杨旭</w:t>
      </w:r>
    </w:p>
    <w:p>
      <w:pPr>
        <w:pStyle w:val="null3"/>
      </w:pPr>
      <w:r>
        <w:rPr>
          <w:rFonts w:ascii="仿宋_GB2312" w:hAnsi="仿宋_GB2312" w:cs="仿宋_GB2312" w:eastAsia="仿宋_GB2312"/>
        </w:rPr>
        <w:t>联系电话：029-88720501</w:t>
      </w:r>
    </w:p>
    <w:p>
      <w:pPr>
        <w:pStyle w:val="null3"/>
      </w:pPr>
      <w:r>
        <w:rPr>
          <w:rFonts w:ascii="仿宋_GB2312" w:hAnsi="仿宋_GB2312" w:cs="仿宋_GB2312" w:eastAsia="仿宋_GB2312"/>
        </w:rPr>
        <w:t>地址：陕西省西安市雁塔区科技西路绿地博海大厦1603室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妇女儿童医院数据中心承载着核心业务系统的稳定运行任务，为保障数据中心硬件设备、配套软件及业务系统的高可用性、高安全性、高稳定性，防范设备故障、系统漏洞、数据安全等风险采购专业的维保服务，由成交供应商提供全流程、全周期的硬件维修、软件维护、技术支持、应急保障等服务。具体见参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机房核心及网络安全设备维保服务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标的名称：机房核心及网络安全设备维保服务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本项目维保服务覆盖以下全部硬件设备及配套软件，具体清单如下：</w:t>
            </w:r>
          </w:p>
          <w:p>
            <w:pPr>
              <w:pStyle w:val="null3"/>
              <w:ind w:firstLine="400"/>
              <w:jc w:val="both"/>
            </w:pPr>
            <w:r>
              <w:rPr>
                <w:rFonts w:ascii="仿宋_GB2312" w:hAnsi="仿宋_GB2312" w:cs="仿宋_GB2312" w:eastAsia="仿宋_GB2312"/>
                <w:sz w:val="20"/>
              </w:rPr>
              <w:t>（一）核心设备</w:t>
            </w:r>
          </w:p>
          <w:tbl>
            <w:tblPr>
              <w:tblInd w:type="dxa" w:w="135"/>
              <w:tblBorders>
                <w:top w:val="none" w:color="000000" w:sz="4"/>
                <w:left w:val="none" w:color="000000" w:sz="4"/>
                <w:bottom w:val="none" w:color="000000" w:sz="4"/>
                <w:right w:val="none" w:color="000000" w:sz="4"/>
                <w:insideH w:val="none"/>
                <w:insideV w:val="none"/>
              </w:tblBorders>
            </w:tblPr>
            <w:tblGrid>
              <w:gridCol w:w="113"/>
              <w:gridCol w:w="293"/>
              <w:gridCol w:w="279"/>
              <w:gridCol w:w="911"/>
              <w:gridCol w:w="239"/>
              <w:gridCol w:w="523"/>
            </w:tblGrid>
            <w:tr>
              <w:tc>
                <w:tcPr>
                  <w:tcW w:type="dxa" w:w="11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序号</w:t>
                  </w:r>
                </w:p>
              </w:tc>
              <w:tc>
                <w:tcPr>
                  <w:tcW w:type="dxa" w:w="29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设备</w:t>
                  </w:r>
                </w:p>
                <w:p>
                  <w:pPr>
                    <w:pStyle w:val="null3"/>
                    <w:jc w:val="center"/>
                  </w:pPr>
                  <w:r>
                    <w:rPr>
                      <w:rFonts w:ascii="仿宋_GB2312" w:hAnsi="仿宋_GB2312" w:cs="仿宋_GB2312" w:eastAsia="仿宋_GB2312"/>
                      <w:sz w:val="20"/>
                    </w:rPr>
                    <w:t>大类</w:t>
                  </w:r>
                </w:p>
              </w:tc>
              <w:tc>
                <w:tcPr>
                  <w:tcW w:type="dxa" w:w="27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设备品类</w:t>
                  </w:r>
                </w:p>
              </w:tc>
              <w:tc>
                <w:tcPr>
                  <w:tcW w:type="dxa" w:w="91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品牌型号</w:t>
                  </w:r>
                </w:p>
              </w:tc>
              <w:tc>
                <w:tcPr>
                  <w:tcW w:type="dxa" w:w="23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数量</w:t>
                  </w:r>
                </w:p>
              </w:tc>
              <w:tc>
                <w:tcPr>
                  <w:tcW w:type="dxa" w:w="52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备注</w:t>
                  </w: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服务器设备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物理机</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SR850V2 2U机架式服务器（配置详见原清单）</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服务器设备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物理机</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SR650V2 2U机架式服务器（配置详见原清单）</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7台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服务器设备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虚拟化服务器</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SR850V2 2U机架式服务器（配置详见原清单）</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14台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含硬件全部件、</w:t>
                  </w:r>
                  <w:r>
                    <w:rPr>
                      <w:rFonts w:ascii="仿宋_GB2312" w:hAnsi="仿宋_GB2312" w:cs="仿宋_GB2312" w:eastAsia="仿宋_GB2312"/>
                      <w:sz w:val="20"/>
                    </w:rPr>
                    <w:t>vSphere7.0、vCenter7.0软件</w:t>
                  </w: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存储设备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虚拟化存储</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OceanStorDorado5300V6全闪存存储（配置详见原清单）</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存储设备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内网物理机存储</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OceanStorDorado5300V6全闪存存储（配置详见原清单）</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6</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存储设备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PACS影像归档存储</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华为</w:t>
                  </w:r>
                  <w:r>
                    <w:rPr>
                      <w:rFonts w:ascii="仿宋_GB2312" w:hAnsi="仿宋_GB2312" w:cs="仿宋_GB2312" w:eastAsia="仿宋_GB2312"/>
                      <w:sz w:val="20"/>
                    </w:rPr>
                    <w:t>OceanStor5210V5存储（配置详见原清单）</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7</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网络设备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存储</w:t>
                  </w:r>
                  <w:r>
                    <w:rPr>
                      <w:rFonts w:ascii="仿宋_GB2312" w:hAnsi="仿宋_GB2312" w:cs="仿宋_GB2312" w:eastAsia="仿宋_GB2312"/>
                      <w:sz w:val="20"/>
                    </w:rPr>
                    <w:t>SAN交换机</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H3CCN6670BFC交换机</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8</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超融合设备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前置区超融合资源池</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VX7530超融合一体机（配置详见原清单）</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8台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含</w:t>
                  </w:r>
                  <w:r>
                    <w:rPr>
                      <w:rFonts w:ascii="仿宋_GB2312" w:hAnsi="仿宋_GB2312" w:cs="仿宋_GB2312" w:eastAsia="仿宋_GB2312"/>
                      <w:sz w:val="20"/>
                    </w:rPr>
                    <w:t>vSphere7.0、vSAN7.0、vCenter7.0软件</w:t>
                  </w: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9</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网络设备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汇聚交换机</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H3CS6520X-54QC-EI三层交换机</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10</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网络设备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汇聚交换机</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H3CS6520X-30QC-EI三层交换机</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6台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11</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网络设备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内网核心交换机</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H3CS10510X核心交换机</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12</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网络设备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前置核心交换机</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H3CS10508X核心交换机</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13</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备份设备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外网前置备份一体机</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H3CUniServerR4300G5+AnyBackup备份一体机</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含</w:t>
                  </w:r>
                  <w:r>
                    <w:rPr>
                      <w:rFonts w:ascii="仿宋_GB2312" w:hAnsi="仿宋_GB2312" w:cs="仿宋_GB2312" w:eastAsia="仿宋_GB2312"/>
                      <w:sz w:val="20"/>
                    </w:rPr>
                    <w:t>AnyBackup灾备软件</w:t>
                  </w: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14</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备份设备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内网备份一体机</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H3CUniServerR4300G5+AnyBackup备份一体机</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含</w:t>
                  </w:r>
                  <w:r>
                    <w:rPr>
                      <w:rFonts w:ascii="仿宋_GB2312" w:hAnsi="仿宋_GB2312" w:cs="仿宋_GB2312" w:eastAsia="仿宋_GB2312"/>
                      <w:sz w:val="20"/>
                    </w:rPr>
                    <w:t>AnyBackup灾备软件</w:t>
                  </w: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15</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安全负载设备</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应用负载均衡</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神州云科</w:t>
                  </w:r>
                  <w:r>
                    <w:rPr>
                      <w:rFonts w:ascii="仿宋_GB2312" w:hAnsi="仿宋_GB2312" w:cs="仿宋_GB2312" w:eastAsia="仿宋_GB2312"/>
                      <w:sz w:val="20"/>
                    </w:rPr>
                    <w:t>YK-BIG-BR-I4600负载均衡设备</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16</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机房基础设施</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数据中心机柜及冷通道配套</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维谛</w:t>
                  </w:r>
                  <w:r>
                    <w:rPr>
                      <w:rFonts w:ascii="仿宋_GB2312" w:hAnsi="仿宋_GB2312" w:cs="仿宋_GB2312" w:eastAsia="仿宋_GB2312"/>
                      <w:sz w:val="20"/>
                    </w:rPr>
                    <w:t>SR-V061120B机柜及配套组件</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10台</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含柜体、</w:t>
                  </w:r>
                  <w:r>
                    <w:rPr>
                      <w:rFonts w:ascii="仿宋_GB2312" w:hAnsi="仿宋_GB2312" w:cs="仿宋_GB2312" w:eastAsia="仿宋_GB2312"/>
                      <w:sz w:val="20"/>
                    </w:rPr>
                    <w:t>PDU、冷通道、KVM套件、管控屏、传感器等全部配件</w:t>
                  </w:r>
                </w:p>
              </w:tc>
            </w:tr>
            <w:tr>
              <w:tc>
                <w:tcPr>
                  <w:tcW w:type="dxa" w:w="1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17</w:t>
                  </w:r>
                </w:p>
              </w:tc>
              <w:tc>
                <w:tcPr>
                  <w:tcW w:type="dxa" w:w="29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运维软件</w:t>
                  </w:r>
                </w:p>
              </w:tc>
              <w:tc>
                <w:tcPr>
                  <w:tcW w:type="dxa" w:w="2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数据中心运维管理系统</w:t>
                  </w:r>
                </w:p>
              </w:tc>
              <w:tc>
                <w:tcPr>
                  <w:tcW w:type="dxa" w:w="91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H3CUCenter运维管理系统</w:t>
                  </w:r>
                </w:p>
              </w:tc>
              <w:tc>
                <w:tcPr>
                  <w:tcW w:type="dxa" w:w="23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1套</w:t>
                  </w:r>
                </w:p>
              </w:tc>
              <w:tc>
                <w:tcPr>
                  <w:tcW w:type="dxa" w:w="52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）安全设备</w:t>
            </w:r>
          </w:p>
          <w:tbl>
            <w:tblPr>
              <w:tblInd w:type="dxa" w:w="135"/>
              <w:tblBorders>
                <w:top w:val="none" w:color="000000" w:sz="4"/>
                <w:left w:val="none" w:color="000000" w:sz="4"/>
                <w:bottom w:val="none" w:color="000000" w:sz="4"/>
                <w:right w:val="none" w:color="000000" w:sz="4"/>
                <w:insideH w:val="none"/>
                <w:insideV w:val="none"/>
              </w:tblBorders>
            </w:tblPr>
            <w:tblGrid>
              <w:gridCol w:w="167"/>
              <w:gridCol w:w="311"/>
              <w:gridCol w:w="519"/>
              <w:gridCol w:w="604"/>
              <w:gridCol w:w="235"/>
              <w:gridCol w:w="528"/>
            </w:tblGrid>
            <w:tr>
              <w:tc>
                <w:tcPr>
                  <w:tcW w:type="dxa" w:w="167"/>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序号</w:t>
                  </w:r>
                </w:p>
              </w:tc>
              <w:tc>
                <w:tcPr>
                  <w:tcW w:type="dxa" w:w="31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设备</w:t>
                  </w:r>
                </w:p>
                <w:p>
                  <w:pPr>
                    <w:pStyle w:val="null3"/>
                    <w:jc w:val="center"/>
                  </w:pPr>
                  <w:r>
                    <w:rPr>
                      <w:rFonts w:ascii="仿宋_GB2312" w:hAnsi="仿宋_GB2312" w:cs="仿宋_GB2312" w:eastAsia="仿宋_GB2312"/>
                      <w:sz w:val="20"/>
                    </w:rPr>
                    <w:t>大类</w:t>
                  </w:r>
                </w:p>
              </w:tc>
              <w:tc>
                <w:tcPr>
                  <w:tcW w:type="dxa" w:w="51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设备品类</w:t>
                  </w:r>
                </w:p>
              </w:tc>
              <w:tc>
                <w:tcPr>
                  <w:tcW w:type="dxa" w:w="604"/>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品牌型号</w:t>
                  </w:r>
                </w:p>
              </w:tc>
              <w:tc>
                <w:tcPr>
                  <w:tcW w:type="dxa" w:w="235"/>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数量</w:t>
                  </w:r>
                </w:p>
              </w:tc>
              <w:tc>
                <w:tcPr>
                  <w:tcW w:type="dxa" w:w="52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备注</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311"/>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互联网边界安全设备</w:t>
                  </w: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深信服全网行为管理</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AC-1000-B2100-L9</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管理软件规则库及硬件质保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深信服</w:t>
                  </w:r>
                  <w:r>
                    <w:rPr>
                      <w:rFonts w:ascii="仿宋_GB2312" w:hAnsi="仿宋_GB2312" w:cs="仿宋_GB2312" w:eastAsia="仿宋_GB2312"/>
                      <w:sz w:val="20"/>
                    </w:rPr>
                    <w:t>Web应用防火墙</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WAF-2000-B2100-L9</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规则库及硬件质保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深信服下一代入侵防御系统</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NIPS-2000-B2100-L9</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规则库及硬件质保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深信服潜伏威胁探针系统</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STA-100-B2100-L9</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规则库及硬件质保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深信服安全感知平台</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SIP-1000-B400</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规则库及硬件质保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6</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深信服运维安全管理系统</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OSM-1000-B2100-L9</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软件升级及硬件质保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7</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深信服下一代防火墙</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AF-1000-B1510-L9</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规则库及硬件质保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8</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深信服应用交付</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AD-1000-B1800-L9</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软件升级及硬件质保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9</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深信服下一代防火墙</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AF-2000-B2132-L9</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全量规则库及硬件质保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10</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深信服日志审计分析管理系统</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SIP-Logger-C600-L9</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软件升级及硬件质</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11</w:t>
                  </w:r>
                </w:p>
              </w:tc>
              <w:tc>
                <w:tcPr>
                  <w:tcW w:type="dxa" w:w="311"/>
                  <w:vMerge w:val="restart"/>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内网安全设备</w:t>
                  </w:r>
                </w:p>
                <w:p>
                  <w:pPr>
                    <w:pStyle w:val="null3"/>
                    <w:jc w:val="center"/>
                  </w:p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网神</w:t>
                  </w:r>
                  <w:r>
                    <w:rPr>
                      <w:rFonts w:ascii="仿宋_GB2312" w:hAnsi="仿宋_GB2312" w:cs="仿宋_GB2312" w:eastAsia="仿宋_GB2312"/>
                      <w:sz w:val="20"/>
                    </w:rPr>
                    <w:t>SecGate3600防火墙系统V3.6.6.0</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NSG5000-TG35M</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软件特征库及硬件质保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12</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网神</w:t>
                  </w:r>
                  <w:r>
                    <w:rPr>
                      <w:rFonts w:ascii="仿宋_GB2312" w:hAnsi="仿宋_GB2312" w:cs="仿宋_GB2312" w:eastAsia="仿宋_GB2312"/>
                      <w:sz w:val="20"/>
                    </w:rPr>
                    <w:t>SecIPS3600入侵防御系统V1.1</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P5000-U004M</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软件特征库及硬件质保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13</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网神</w:t>
                  </w:r>
                  <w:r>
                    <w:rPr>
                      <w:rFonts w:ascii="仿宋_GB2312" w:hAnsi="仿宋_GB2312" w:cs="仿宋_GB2312" w:eastAsia="仿宋_GB2312"/>
                      <w:sz w:val="20"/>
                    </w:rPr>
                    <w:t>SecSIS3600安全隔离与信息交换系统V2.0</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G9500-TH20M</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内外网隔离网闸硬件质保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14</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奇安信网神网络安全准入系统</w:t>
                  </w:r>
                  <w:r>
                    <w:rPr>
                      <w:rFonts w:ascii="仿宋_GB2312" w:hAnsi="仿宋_GB2312" w:cs="仿宋_GB2312" w:eastAsia="仿宋_GB2312"/>
                      <w:sz w:val="20"/>
                    </w:rPr>
                    <w:t>V8.0</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NAC-V3300</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2000</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内网准入客户端授权</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15</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网神</w:t>
                  </w:r>
                  <w:r>
                    <w:rPr>
                      <w:rFonts w:ascii="仿宋_GB2312" w:hAnsi="仿宋_GB2312" w:cs="仿宋_GB2312" w:eastAsia="仿宋_GB2312"/>
                      <w:sz w:val="20"/>
                    </w:rPr>
                    <w:t>SecVSS3600漏洞扫描系统V3.0</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S5000-W020P</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内网准入硬件质保续服</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16</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奇安信网神安全分析与管理系统</w:t>
                  </w:r>
                  <w:r>
                    <w:rPr>
                      <w:rFonts w:ascii="仿宋_GB2312" w:hAnsi="仿宋_GB2312" w:cs="仿宋_GB2312" w:eastAsia="仿宋_GB2312"/>
                      <w:sz w:val="20"/>
                    </w:rPr>
                    <w:t>V4.0</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NGSOC-LV-JL</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内网漏扫软件特征库及硬件质保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17</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奇安信网神安全分析与管理系统</w:t>
                  </w:r>
                  <w:r>
                    <w:rPr>
                      <w:rFonts w:ascii="仿宋_GB2312" w:hAnsi="仿宋_GB2312" w:cs="仿宋_GB2312" w:eastAsia="仿宋_GB2312"/>
                      <w:sz w:val="20"/>
                    </w:rPr>
                    <w:t>V4.0-探针</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NGSOC-NDS5000-TG15</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内网态势感知软件特征库及硬件质保</w:t>
                  </w:r>
                </w:p>
              </w:tc>
            </w:tr>
            <w:tr>
              <w:tc>
                <w:tcPr>
                  <w:tcW w:type="dxa" w:w="16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18</w:t>
                  </w:r>
                </w:p>
              </w:tc>
              <w:tc>
                <w:tcPr>
                  <w:tcW w:type="dxa" w:w="311"/>
                  <w:vMerge/>
                  <w:tcBorders>
                    <w:top w:val="none" w:color="000000" w:sz="4"/>
                    <w:left w:val="single" w:color="000000" w:sz="4"/>
                    <w:bottom w:val="single" w:color="000000" w:sz="4"/>
                    <w:right w:val="single" w:color="000000" w:sz="4"/>
                  </w:tcBorders>
                </w:tcPr>
                <w:p/>
              </w:tc>
              <w:tc>
                <w:tcPr>
                  <w:tcW w:type="dxa" w:w="51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奇安信网神云锁服务器安全管理系统</w:t>
                  </w:r>
                  <w:r>
                    <w:rPr>
                      <w:rFonts w:ascii="仿宋_GB2312" w:hAnsi="仿宋_GB2312" w:cs="仿宋_GB2312" w:eastAsia="仿宋_GB2312"/>
                      <w:sz w:val="20"/>
                    </w:rPr>
                    <w:t>V8.0.5-SP2</w:t>
                  </w:r>
                </w:p>
              </w:tc>
              <w:tc>
                <w:tcPr>
                  <w:tcW w:type="dxa" w:w="6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805SP2</w:t>
                  </w:r>
                </w:p>
              </w:tc>
              <w:tc>
                <w:tcPr>
                  <w:tcW w:type="dxa" w:w="23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52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内网流量探针软件特征库及硬件质保</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核心维保服务内容</w:t>
            </w:r>
          </w:p>
          <w:p>
            <w:pPr>
              <w:pStyle w:val="null3"/>
              <w:ind w:firstLine="420"/>
            </w:pPr>
            <w:r>
              <w:rPr>
                <w:rFonts w:ascii="仿宋_GB2312" w:hAnsi="仿宋_GB2312" w:cs="仿宋_GB2312" w:eastAsia="仿宋_GB2312"/>
                <w:sz w:val="20"/>
              </w:rPr>
              <w:t>（一）硬件维保服务</w:t>
            </w:r>
          </w:p>
          <w:p>
            <w:pPr>
              <w:pStyle w:val="null3"/>
              <w:ind w:firstLine="420"/>
            </w:pPr>
            <w:r>
              <w:rPr>
                <w:rFonts w:ascii="仿宋_GB2312" w:hAnsi="仿宋_GB2312" w:cs="仿宋_GB2312" w:eastAsia="仿宋_GB2312"/>
                <w:sz w:val="20"/>
              </w:rPr>
              <w:t>1.7*24小时故障诊断与维修：提供全年无休的远程技术支持，快速完成故障诊断定位；针对硬件故障，提供原厂全新备件更换、维修、调试服务，所有更换备件与原设备型号、规格一致，性能不低于原部件；故障硬盘更换后，故障硬盘归采购人所有，不返还厂商。</w:t>
            </w:r>
          </w:p>
          <w:p>
            <w:pPr>
              <w:pStyle w:val="null3"/>
              <w:ind w:firstLine="420"/>
            </w:pPr>
            <w:r>
              <w:rPr>
                <w:rFonts w:ascii="仿宋_GB2312" w:hAnsi="仿宋_GB2312" w:cs="仿宋_GB2312" w:eastAsia="仿宋_GB2312"/>
                <w:sz w:val="20"/>
              </w:rPr>
              <w:t>2. 远程响应服务：接到采购人故障申报后，15分钟内必须响应，安排专业工程师远程诊断，给出初步解决方案。</w:t>
            </w:r>
          </w:p>
          <w:p>
            <w:pPr>
              <w:pStyle w:val="null3"/>
              <w:ind w:firstLine="420"/>
            </w:pPr>
            <w:r>
              <w:rPr>
                <w:rFonts w:ascii="仿宋_GB2312" w:hAnsi="仿宋_GB2312" w:cs="仿宋_GB2312" w:eastAsia="仿宋_GB2312"/>
                <w:sz w:val="20"/>
              </w:rPr>
              <w:t>3. 现场技术服务：针对远程无法解决的故障、硬件更换、设备调试等场景，提供7*24小时现场技术服务，完成设备维修、更换、调试、业务恢复全流程工作。</w:t>
            </w:r>
          </w:p>
          <w:p>
            <w:pPr>
              <w:pStyle w:val="null3"/>
              <w:ind w:firstLine="420"/>
            </w:pPr>
            <w:r>
              <w:rPr>
                <w:rFonts w:ascii="仿宋_GB2312" w:hAnsi="仿宋_GB2312" w:cs="仿宋_GB2312" w:eastAsia="仿宋_GB2312"/>
                <w:sz w:val="20"/>
              </w:rPr>
              <w:t>故障分为三个等级：</w:t>
            </w:r>
          </w:p>
          <w:p>
            <w:pPr>
              <w:pStyle w:val="null3"/>
              <w:ind w:firstLine="420"/>
            </w:pPr>
            <w:r>
              <w:rPr>
                <w:rFonts w:ascii="仿宋_GB2312" w:hAnsi="仿宋_GB2312" w:cs="仿宋_GB2312" w:eastAsia="仿宋_GB2312"/>
                <w:sz w:val="20"/>
              </w:rPr>
              <w:t>一级：设备故障严重影响医院的正常运行。</w:t>
            </w:r>
          </w:p>
          <w:p>
            <w:pPr>
              <w:pStyle w:val="null3"/>
              <w:ind w:firstLine="420"/>
            </w:pPr>
            <w:r>
              <w:rPr>
                <w:rFonts w:ascii="仿宋_GB2312" w:hAnsi="仿宋_GB2312" w:cs="仿宋_GB2312" w:eastAsia="仿宋_GB2312"/>
                <w:sz w:val="20"/>
              </w:rPr>
              <w:t>此类故障要求成交供应商在2小时之内提出相应的解决方案，12小时之内排除故障。</w:t>
            </w:r>
          </w:p>
          <w:p>
            <w:pPr>
              <w:pStyle w:val="null3"/>
              <w:ind w:firstLine="420"/>
            </w:pPr>
            <w:r>
              <w:rPr>
                <w:rFonts w:ascii="仿宋_GB2312" w:hAnsi="仿宋_GB2312" w:cs="仿宋_GB2312" w:eastAsia="仿宋_GB2312"/>
                <w:sz w:val="20"/>
              </w:rPr>
              <w:t>二级：设备故障但不影响医院的正常运行。</w:t>
            </w:r>
          </w:p>
          <w:p>
            <w:pPr>
              <w:pStyle w:val="null3"/>
              <w:ind w:firstLine="420"/>
            </w:pPr>
            <w:r>
              <w:rPr>
                <w:rFonts w:ascii="仿宋_GB2312" w:hAnsi="仿宋_GB2312" w:cs="仿宋_GB2312" w:eastAsia="仿宋_GB2312"/>
                <w:sz w:val="20"/>
              </w:rPr>
              <w:t>此类故障要求成交供应商在4小时之内提出相应的解决方案，48小时之内排除故障。</w:t>
            </w:r>
          </w:p>
          <w:p>
            <w:pPr>
              <w:pStyle w:val="null3"/>
              <w:ind w:firstLine="420"/>
            </w:pPr>
            <w:r>
              <w:rPr>
                <w:rFonts w:ascii="仿宋_GB2312" w:hAnsi="仿宋_GB2312" w:cs="仿宋_GB2312" w:eastAsia="仿宋_GB2312"/>
                <w:sz w:val="20"/>
              </w:rPr>
              <w:t>三级：主要以版本升级、微码升级为主。此类问题设备无硬件故障，不影响医院的正常运行，此类问题需在一周之内解决。</w:t>
            </w:r>
          </w:p>
          <w:p>
            <w:pPr>
              <w:pStyle w:val="null3"/>
              <w:ind w:firstLine="420"/>
            </w:pPr>
            <w:r>
              <w:rPr>
                <w:rFonts w:ascii="仿宋_GB2312" w:hAnsi="仿宋_GB2312" w:cs="仿宋_GB2312" w:eastAsia="仿宋_GB2312"/>
                <w:sz w:val="20"/>
              </w:rPr>
              <w:t>4. 备件更换时限：设备硬件故障，备件到场时间与现场响应时间一致，到场后2小时内完成更换调试，恢复设备正常运行。</w:t>
            </w:r>
          </w:p>
          <w:p>
            <w:pPr>
              <w:pStyle w:val="null3"/>
              <w:ind w:firstLine="420"/>
            </w:pPr>
            <w:r>
              <w:rPr>
                <w:rFonts w:ascii="仿宋_GB2312" w:hAnsi="仿宋_GB2312" w:cs="仿宋_GB2312" w:eastAsia="仿宋_GB2312"/>
                <w:sz w:val="20"/>
              </w:rPr>
              <w:t>5. 定期预防性巡检：每月提供不少于2次全设备全面巡检，以及重大活动或节假日前全面巡检，巡检内容包括但不限于：</w:t>
            </w:r>
          </w:p>
          <w:p>
            <w:pPr>
              <w:pStyle w:val="null3"/>
              <w:ind w:firstLine="420"/>
            </w:pPr>
            <w:r>
              <w:rPr>
                <w:rFonts w:ascii="仿宋_GB2312" w:hAnsi="仿宋_GB2312" w:cs="仿宋_GB2312" w:eastAsia="仿宋_GB2312"/>
                <w:sz w:val="20"/>
              </w:rPr>
              <w:t>机房环境检查（温度湿度，电源等）；</w:t>
            </w:r>
          </w:p>
          <w:p>
            <w:pPr>
              <w:pStyle w:val="null3"/>
              <w:ind w:firstLine="420"/>
            </w:pPr>
            <w:r>
              <w:rPr>
                <w:rFonts w:ascii="仿宋_GB2312" w:hAnsi="仿宋_GB2312" w:cs="仿宋_GB2312" w:eastAsia="仿宋_GB2312"/>
                <w:sz w:val="20"/>
              </w:rPr>
              <w:t>系统故障记录的分析（包括软件和硬件），排除故障隐患；</w:t>
            </w:r>
          </w:p>
          <w:p>
            <w:pPr>
              <w:pStyle w:val="null3"/>
              <w:ind w:firstLine="420"/>
            </w:pPr>
            <w:r>
              <w:rPr>
                <w:rFonts w:ascii="仿宋_GB2312" w:hAnsi="仿宋_GB2312" w:cs="仿宋_GB2312" w:eastAsia="仿宋_GB2312"/>
                <w:sz w:val="20"/>
              </w:rPr>
              <w:t>硬件设备的全面诊断；</w:t>
            </w:r>
          </w:p>
          <w:p>
            <w:pPr>
              <w:pStyle w:val="null3"/>
              <w:ind w:firstLine="420"/>
            </w:pPr>
            <w:r>
              <w:rPr>
                <w:rFonts w:ascii="仿宋_GB2312" w:hAnsi="仿宋_GB2312" w:cs="仿宋_GB2312" w:eastAsia="仿宋_GB2312"/>
                <w:sz w:val="20"/>
              </w:rPr>
              <w:t>硬件设备的清洁；</w:t>
            </w:r>
          </w:p>
          <w:p>
            <w:pPr>
              <w:pStyle w:val="null3"/>
              <w:ind w:firstLine="420"/>
            </w:pPr>
            <w:r>
              <w:rPr>
                <w:rFonts w:ascii="仿宋_GB2312" w:hAnsi="仿宋_GB2312" w:cs="仿宋_GB2312" w:eastAsia="仿宋_GB2312"/>
                <w:sz w:val="20"/>
              </w:rPr>
              <w:t>网络环境的检查、测试；</w:t>
            </w:r>
          </w:p>
          <w:p>
            <w:pPr>
              <w:pStyle w:val="null3"/>
              <w:ind w:firstLine="420"/>
            </w:pPr>
            <w:r>
              <w:rPr>
                <w:rFonts w:ascii="仿宋_GB2312" w:hAnsi="仿宋_GB2312" w:cs="仿宋_GB2312" w:eastAsia="仿宋_GB2312"/>
                <w:sz w:val="20"/>
              </w:rPr>
              <w:t>按需要对硬件进行微代码升级；</w:t>
            </w:r>
          </w:p>
          <w:p>
            <w:pPr>
              <w:pStyle w:val="null3"/>
              <w:ind w:firstLine="420"/>
            </w:pPr>
            <w:r>
              <w:rPr>
                <w:rFonts w:ascii="仿宋_GB2312" w:hAnsi="仿宋_GB2312" w:cs="仿宋_GB2312" w:eastAsia="仿宋_GB2312"/>
                <w:sz w:val="20"/>
              </w:rPr>
              <w:t>按需要安装补丁程序；</w:t>
            </w:r>
          </w:p>
          <w:p>
            <w:pPr>
              <w:pStyle w:val="null3"/>
              <w:ind w:firstLine="420"/>
            </w:pPr>
            <w:r>
              <w:rPr>
                <w:rFonts w:ascii="仿宋_GB2312" w:hAnsi="仿宋_GB2312" w:cs="仿宋_GB2312" w:eastAsia="仿宋_GB2312"/>
                <w:sz w:val="20"/>
              </w:rPr>
              <w:t>操作系统健康检查。</w:t>
            </w:r>
          </w:p>
          <w:p>
            <w:pPr>
              <w:pStyle w:val="null3"/>
              <w:ind w:firstLine="420"/>
            </w:pPr>
            <w:r>
              <w:rPr>
                <w:rFonts w:ascii="仿宋_GB2312" w:hAnsi="仿宋_GB2312" w:cs="仿宋_GB2312" w:eastAsia="仿宋_GB2312"/>
                <w:sz w:val="20"/>
              </w:rPr>
              <w:t>出具相应的正式巡检报告，包含设备运行现状、风险隐患、整改建议、优化方案等内容。</w:t>
            </w:r>
          </w:p>
          <w:p>
            <w:pPr>
              <w:pStyle w:val="null3"/>
              <w:ind w:firstLine="420"/>
            </w:pPr>
            <w:r>
              <w:rPr>
                <w:rFonts w:ascii="仿宋_GB2312" w:hAnsi="仿宋_GB2312" w:cs="仿宋_GB2312" w:eastAsia="仿宋_GB2312"/>
                <w:sz w:val="20"/>
              </w:rPr>
              <w:t>6.设备维护：每年按需开展设备深度除尘清洁服务，保障设备散热性能；合同期内免费提供机房内设备搬迁、上架、调试服务。</w:t>
            </w:r>
          </w:p>
          <w:p>
            <w:pPr>
              <w:pStyle w:val="null3"/>
              <w:ind w:firstLine="420"/>
            </w:pPr>
            <w:r>
              <w:rPr>
                <w:rFonts w:ascii="仿宋_GB2312" w:hAnsi="仿宋_GB2312" w:cs="仿宋_GB2312" w:eastAsia="仿宋_GB2312"/>
                <w:sz w:val="20"/>
              </w:rPr>
              <w:t>7. 告警响应率：设备故障、系统告警响应率100%，无漏报、无瞒报。</w:t>
            </w:r>
          </w:p>
          <w:p>
            <w:pPr>
              <w:pStyle w:val="null3"/>
              <w:ind w:firstLine="420"/>
            </w:pPr>
            <w:r>
              <w:rPr>
                <w:rFonts w:ascii="仿宋_GB2312" w:hAnsi="仿宋_GB2312" w:cs="仿宋_GB2312" w:eastAsia="仿宋_GB2312"/>
                <w:sz w:val="20"/>
              </w:rPr>
              <w:t>（二）软件维保服务</w:t>
            </w:r>
          </w:p>
          <w:p>
            <w:pPr>
              <w:pStyle w:val="null3"/>
              <w:ind w:firstLine="420"/>
            </w:pPr>
            <w:r>
              <w:rPr>
                <w:rFonts w:ascii="仿宋_GB2312" w:hAnsi="仿宋_GB2312" w:cs="仿宋_GB2312" w:eastAsia="仿宋_GB2312"/>
                <w:sz w:val="20"/>
              </w:rPr>
              <w:t>1.版本升级与补丁更新：提供维保范围内所有软件的原厂版本升级、安全补丁、bug修复服务，包括服务器固件、虚拟化软件、存储操作系统、网络设备OS、备份软件、负载均衡系统、运维管理系统等，确保软件版本稳定、已知漏洞及时修复。各安全设备的应用识别库、入侵防御库、病毒库、URL库、恶意代码库、系统版本等实时更新。符合网络安全等级保护2.0要求。</w:t>
            </w:r>
          </w:p>
          <w:p>
            <w:pPr>
              <w:pStyle w:val="null3"/>
              <w:ind w:firstLine="420"/>
            </w:pPr>
            <w:r>
              <w:rPr>
                <w:rFonts w:ascii="仿宋_GB2312" w:hAnsi="仿宋_GB2312" w:cs="仿宋_GB2312" w:eastAsia="仿宋_GB2312"/>
                <w:sz w:val="20"/>
              </w:rPr>
              <w:t>2.软件授权维护：保障维保期内所有软件许可的合规性、有效性，协助完成许可续期、激活、扩容、迁移等工作，确保软件功能正常使用，无授权过期风险。</w:t>
            </w:r>
          </w:p>
          <w:p>
            <w:pPr>
              <w:pStyle w:val="null3"/>
              <w:ind w:firstLine="420"/>
            </w:pPr>
            <w:r>
              <w:rPr>
                <w:rFonts w:ascii="仿宋_GB2312" w:hAnsi="仿宋_GB2312" w:cs="仿宋_GB2312" w:eastAsia="仿宋_GB2312"/>
                <w:sz w:val="20"/>
              </w:rPr>
              <w:t>3.软件故障修复：针对软件故障、系统卡顿、配置错误、兼容性问题、业务适配问题等，提供7*24小时远程及现场技术支持，快速定位并修复故障，恢复系统正常运行。</w:t>
            </w:r>
          </w:p>
          <w:p>
            <w:pPr>
              <w:pStyle w:val="null3"/>
              <w:ind w:firstLine="420"/>
            </w:pPr>
            <w:r>
              <w:rPr>
                <w:rFonts w:ascii="仿宋_GB2312" w:hAnsi="仿宋_GB2312" w:cs="仿宋_GB2312" w:eastAsia="仿宋_GB2312"/>
                <w:sz w:val="20"/>
              </w:rPr>
              <w:t>4.系统可用性要求：各项维保设备年平均无故障运行时间（MTBF）≥99.99%，全年计划外停机时间累计不超过52.56分钟。</w:t>
            </w:r>
          </w:p>
          <w:p>
            <w:pPr>
              <w:pStyle w:val="null3"/>
              <w:ind w:firstLine="420"/>
            </w:pPr>
            <w:r>
              <w:rPr>
                <w:rFonts w:ascii="仿宋_GB2312" w:hAnsi="仿宋_GB2312" w:cs="仿宋_GB2312" w:eastAsia="仿宋_GB2312"/>
                <w:sz w:val="20"/>
              </w:rPr>
              <w:t>5.系统安全加固与优化：根据等保要求及行业规范，对操作系统、数据库、中间件、业务系统进行安全加固，关闭不必要的端口和服务，优化系统配置，提升系统安全性；根据采购人安全巡检结果出具响应安全优化报告。</w:t>
            </w:r>
          </w:p>
          <w:p>
            <w:pPr>
              <w:pStyle w:val="null3"/>
              <w:ind w:firstLine="420"/>
            </w:pPr>
            <w:r>
              <w:rPr>
                <w:rFonts w:ascii="仿宋_GB2312" w:hAnsi="仿宋_GB2312" w:cs="仿宋_GB2312" w:eastAsia="仿宋_GB2312"/>
                <w:sz w:val="20"/>
              </w:rPr>
              <w:t>6.备份系统可用性：备份任务执行成功率100%，备份数据恢复成功率100%，每月完成1次恢复测试。</w:t>
            </w:r>
          </w:p>
          <w:p>
            <w:pPr>
              <w:pStyle w:val="null3"/>
              <w:ind w:firstLine="420"/>
            </w:pPr>
            <w:r>
              <w:rPr>
                <w:rFonts w:ascii="仿宋_GB2312" w:hAnsi="仿宋_GB2312" w:cs="仿宋_GB2312" w:eastAsia="仿宋_GB2312"/>
                <w:sz w:val="20"/>
              </w:rPr>
              <w:t>（三）专项技术服务</w:t>
            </w:r>
          </w:p>
          <w:p>
            <w:pPr>
              <w:pStyle w:val="null3"/>
              <w:ind w:firstLine="420"/>
            </w:pPr>
            <w:r>
              <w:rPr>
                <w:rFonts w:ascii="仿宋_GB2312" w:hAnsi="仿宋_GB2312" w:cs="仿宋_GB2312" w:eastAsia="仿宋_GB2312"/>
                <w:sz w:val="20"/>
              </w:rPr>
              <w:t>1.应急响应与灾备保障：制定完善的应急响应预案、故障分级处理流程，建立7*24小时应急响应机制；每年配合采购人开展不少于2次的应急演练，包括数据恢复、业务切换、应急故障处理等，出具演练报告和优化方案；在重大割接、业务高峰期、系统升级、会议保障等关键节点，服务商需安排拥有专业资质的工程师进行积极响应，提供必要的现场值守服务。</w:t>
            </w:r>
          </w:p>
          <w:p>
            <w:pPr>
              <w:pStyle w:val="null3"/>
              <w:ind w:firstLine="420"/>
            </w:pPr>
            <w:r>
              <w:rPr>
                <w:rFonts w:ascii="仿宋_GB2312" w:hAnsi="仿宋_GB2312" w:cs="仿宋_GB2312" w:eastAsia="仿宋_GB2312"/>
                <w:sz w:val="20"/>
              </w:rPr>
              <w:t>2.数据安全保障：所有维保操作前必须制定数据备份方案和回退方案，严禁泄露、篡改、删除采购人业务数据；保障备份系统正常运行，每月开展1次备份数据恢复测试，确保备份数据可恢复、可用；提供防勒索病毒数据防护技术支持，保障数据不可变存储功能正常运行。</w:t>
            </w:r>
          </w:p>
          <w:p>
            <w:pPr>
              <w:pStyle w:val="null3"/>
              <w:ind w:firstLine="420"/>
            </w:pPr>
            <w:r>
              <w:rPr>
                <w:rFonts w:ascii="仿宋_GB2312" w:hAnsi="仿宋_GB2312" w:cs="仿宋_GB2312" w:eastAsia="仿宋_GB2312"/>
                <w:sz w:val="20"/>
              </w:rPr>
              <w:t>3.技术培训服务：合同期内提供不少于2次的现场技术培训，培训内容包括设备日常运维、故障排查、应急处理、系统操作等，培训对象为采购人运维人员，提供完整培训课件、实操指导及考核方案。</w:t>
            </w:r>
          </w:p>
          <w:p>
            <w:pPr>
              <w:pStyle w:val="null3"/>
              <w:ind w:firstLine="420"/>
            </w:pPr>
            <w:r>
              <w:rPr>
                <w:rFonts w:ascii="仿宋_GB2312" w:hAnsi="仿宋_GB2312" w:cs="仿宋_GB2312" w:eastAsia="仿宋_GB2312"/>
                <w:sz w:val="20"/>
              </w:rPr>
              <w:t>4.原厂技术支持协调：负责协调设备原厂商提供二线技术支持、专家会诊服务，确保复杂技术问题、疑难故障得到快速解决，保障原厂服务资源的及时对接。</w:t>
            </w:r>
          </w:p>
          <w:p>
            <w:pPr>
              <w:pStyle w:val="null3"/>
              <w:ind w:firstLine="420"/>
            </w:pPr>
            <w:r>
              <w:rPr>
                <w:rFonts w:ascii="仿宋_GB2312" w:hAnsi="仿宋_GB2312" w:cs="仿宋_GB2312" w:eastAsia="仿宋_GB2312"/>
                <w:sz w:val="20"/>
              </w:rPr>
              <w:t>5.运维报告服务：每月5日前向采购人提交上月服务工作报告，包括故障处理情况、服务内容完成情况、设备运行状态、风险预警、下月工作计划等；服务期满提交年度服务总结报告及全套服务档案资料。</w:t>
            </w:r>
          </w:p>
          <w:p>
            <w:pPr>
              <w:pStyle w:val="null3"/>
              <w:ind w:firstLine="420"/>
            </w:pPr>
            <w:r>
              <w:rPr>
                <w:rFonts w:ascii="仿宋_GB2312" w:hAnsi="仿宋_GB2312" w:cs="仿宋_GB2312" w:eastAsia="仿宋_GB2312"/>
                <w:sz w:val="20"/>
              </w:rPr>
              <w:t>6.其他：协助采购人制订系统运维制度；协助采购人对新购设备的安装调试以及与旧设备的对接；协助采购人对核心机房内其他设备的故障诊断与维修。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商务要求</w:t>
            </w:r>
          </w:p>
          <w:p>
            <w:pPr>
              <w:pStyle w:val="null3"/>
              <w:ind w:firstLine="420"/>
            </w:pPr>
            <w:r>
              <w:rPr>
                <w:rFonts w:ascii="仿宋_GB2312" w:hAnsi="仿宋_GB2312" w:cs="仿宋_GB2312" w:eastAsia="仿宋_GB2312"/>
                <w:sz w:val="20"/>
              </w:rPr>
              <w:t>一、服务期限</w:t>
            </w:r>
          </w:p>
          <w:p>
            <w:pPr>
              <w:pStyle w:val="null3"/>
              <w:ind w:firstLine="420"/>
            </w:pPr>
            <w:r>
              <w:rPr>
                <w:rFonts w:ascii="仿宋_GB2312" w:hAnsi="仿宋_GB2312" w:cs="仿宋_GB2312" w:eastAsia="仿宋_GB2312"/>
                <w:sz w:val="20"/>
              </w:rPr>
              <w:t>1.主服务期：自合同签订之日起1年。</w:t>
            </w:r>
          </w:p>
          <w:p>
            <w:pPr>
              <w:pStyle w:val="null3"/>
              <w:ind w:firstLine="420"/>
            </w:pPr>
            <w:r>
              <w:rPr>
                <w:rFonts w:ascii="仿宋_GB2312" w:hAnsi="仿宋_GB2312" w:cs="仿宋_GB2312" w:eastAsia="仿宋_GB2312"/>
                <w:sz w:val="20"/>
              </w:rPr>
              <w:t>2.续签约定：服务期满后，采购人根据成交供应商全年服务质量、维保服务达标情况、考核结果进行综合评估，评估合格的，双方协商一致可续签合同，最多续签2次，每次续签期限1年。</w:t>
            </w:r>
          </w:p>
          <w:p>
            <w:pPr>
              <w:pStyle w:val="null3"/>
              <w:ind w:firstLine="420"/>
            </w:pPr>
            <w:r>
              <w:rPr>
                <w:rFonts w:ascii="仿宋_GB2312" w:hAnsi="仿宋_GB2312" w:cs="仿宋_GB2312" w:eastAsia="仿宋_GB2312"/>
                <w:sz w:val="20"/>
              </w:rPr>
              <w:t>3.维保服务期满后，应提供为期不低于45个日历日的免费服务作为过渡，以保证采购人网络的平稳运行。</w:t>
            </w:r>
          </w:p>
          <w:p>
            <w:pPr>
              <w:pStyle w:val="null3"/>
              <w:ind w:firstLine="420"/>
            </w:pPr>
            <w:r>
              <w:rPr>
                <w:rFonts w:ascii="仿宋_GB2312" w:hAnsi="仿宋_GB2312" w:cs="仿宋_GB2312" w:eastAsia="仿宋_GB2312"/>
                <w:sz w:val="20"/>
              </w:rPr>
              <w:t>二、付款方式</w:t>
            </w:r>
          </w:p>
          <w:p>
            <w:pPr>
              <w:pStyle w:val="null3"/>
              <w:ind w:firstLine="420"/>
            </w:pPr>
            <w:r>
              <w:rPr>
                <w:rFonts w:ascii="仿宋_GB2312" w:hAnsi="仿宋_GB2312" w:cs="仿宋_GB2312" w:eastAsia="仿宋_GB2312"/>
                <w:sz w:val="20"/>
              </w:rPr>
              <w:t>1.本项目采用分期付款方式，付款币种为人民币。</w:t>
            </w:r>
          </w:p>
          <w:p>
            <w:pPr>
              <w:pStyle w:val="null3"/>
              <w:ind w:firstLine="420"/>
            </w:pPr>
            <w:r>
              <w:rPr>
                <w:rFonts w:ascii="仿宋_GB2312" w:hAnsi="仿宋_GB2312" w:cs="仿宋_GB2312" w:eastAsia="仿宋_GB2312"/>
                <w:sz w:val="20"/>
              </w:rPr>
              <w:t>2.维保服务合同签订后30天内，成交供应商向采购人提供设备（系统）制造商原厂技术服务开通函。经</w:t>
            </w:r>
            <w:r>
              <w:rPr>
                <w:rFonts w:ascii="仿宋_GB2312" w:hAnsi="仿宋_GB2312" w:cs="仿宋_GB2312" w:eastAsia="仿宋_GB2312"/>
                <w:sz w:val="20"/>
              </w:rPr>
              <w:t>采购人查询验证合格后30个日历日内支付合同金额50%。维保服务结束后，成交供应商向采购人提供年度维保服务报告，经采购人对维保服务进行验收和考核合格后，</w:t>
            </w:r>
            <w:r>
              <w:rPr>
                <w:rFonts w:ascii="仿宋_GB2312" w:hAnsi="仿宋_GB2312" w:cs="仿宋_GB2312" w:eastAsia="仿宋_GB2312"/>
                <w:sz w:val="20"/>
              </w:rPr>
              <w:t>依据考核结果，达到付款条件起30个日历日内，</w:t>
            </w:r>
            <w:r>
              <w:rPr>
                <w:rFonts w:ascii="仿宋_GB2312" w:hAnsi="仿宋_GB2312" w:cs="仿宋_GB2312" w:eastAsia="仿宋_GB2312"/>
                <w:sz w:val="20"/>
              </w:rPr>
              <w:t>支付剩余合同总金额的50%。每次付款前，提供符合税法规定的等额增值税发票。</w:t>
            </w:r>
          </w:p>
          <w:p>
            <w:pPr>
              <w:pStyle w:val="null3"/>
              <w:ind w:firstLine="420"/>
            </w:pPr>
            <w:r>
              <w:rPr>
                <w:rFonts w:ascii="仿宋_GB2312" w:hAnsi="仿宋_GB2312" w:cs="仿宋_GB2312" w:eastAsia="仿宋_GB2312"/>
                <w:sz w:val="20"/>
              </w:rPr>
              <w:t>3.成交供应商未按要求开具发票的，采购人有权顺延付款，且不承担任何违约责任。</w:t>
            </w:r>
          </w:p>
          <w:p>
            <w:pPr>
              <w:pStyle w:val="null3"/>
              <w:ind w:firstLine="420"/>
            </w:pPr>
            <w:r>
              <w:rPr>
                <w:rFonts w:ascii="仿宋_GB2312" w:hAnsi="仿宋_GB2312" w:cs="仿宋_GB2312" w:eastAsia="仿宋_GB2312"/>
                <w:sz w:val="20"/>
              </w:rPr>
              <w:t>三、验收标准与流程</w:t>
            </w:r>
          </w:p>
          <w:p>
            <w:pPr>
              <w:pStyle w:val="null3"/>
              <w:ind w:firstLine="420"/>
            </w:pPr>
            <w:r>
              <w:rPr>
                <w:rFonts w:ascii="仿宋_GB2312" w:hAnsi="仿宋_GB2312" w:cs="仿宋_GB2312" w:eastAsia="仿宋_GB2312"/>
                <w:sz w:val="20"/>
              </w:rPr>
              <w:t>1.验收依据：招标文件、成交供应商投标文件、合同约定、国家及行业相关规范、维保服务技术参数要求。</w:t>
            </w:r>
          </w:p>
          <w:p>
            <w:pPr>
              <w:pStyle w:val="null3"/>
              <w:ind w:firstLine="420"/>
            </w:pPr>
            <w:r>
              <w:rPr>
                <w:rFonts w:ascii="仿宋_GB2312" w:hAnsi="仿宋_GB2312" w:cs="仿宋_GB2312" w:eastAsia="仿宋_GB2312"/>
                <w:sz w:val="20"/>
              </w:rPr>
              <w:t>2.最终验收：服务期满，成交供应商完成全年度所有服务内容，提交年度服务总结报告、全套服务档案（巡检报告、演练报告、培训记录、故障处理台账等），采购人根据合同约定、全年维保服务达标情况、日常考核结果进行最终验收，验收合格的出具最终验收合格证明。</w:t>
            </w:r>
          </w:p>
          <w:p>
            <w:pPr>
              <w:pStyle w:val="null3"/>
              <w:ind w:firstLine="420"/>
            </w:pPr>
            <w:r>
              <w:rPr>
                <w:rFonts w:ascii="仿宋_GB2312" w:hAnsi="仿宋_GB2312" w:cs="仿宋_GB2312" w:eastAsia="仿宋_GB2312"/>
                <w:sz w:val="20"/>
              </w:rPr>
              <w:t>3.验收不合格的，采购人有权扣除相应合同款项，直至验收合格；整改后仍不合格的，采购人有权解除合同，成交供应商承担相应违约责任。</w:t>
            </w:r>
          </w:p>
          <w:p>
            <w:pPr>
              <w:pStyle w:val="null3"/>
              <w:ind w:firstLine="420"/>
            </w:pPr>
            <w:r>
              <w:rPr>
                <w:rFonts w:ascii="仿宋_GB2312" w:hAnsi="仿宋_GB2312" w:cs="仿宋_GB2312" w:eastAsia="仿宋_GB2312"/>
                <w:sz w:val="20"/>
              </w:rPr>
              <w:t>四、双方权利与义务</w:t>
            </w:r>
          </w:p>
          <w:p>
            <w:pPr>
              <w:pStyle w:val="null3"/>
              <w:ind w:firstLine="420"/>
            </w:pPr>
            <w:r>
              <w:rPr>
                <w:rFonts w:ascii="仿宋_GB2312" w:hAnsi="仿宋_GB2312" w:cs="仿宋_GB2312" w:eastAsia="仿宋_GB2312"/>
                <w:sz w:val="20"/>
              </w:rPr>
              <w:t>（一）采购人权利与义务</w:t>
            </w:r>
          </w:p>
          <w:p>
            <w:pPr>
              <w:pStyle w:val="null3"/>
              <w:ind w:firstLine="420"/>
            </w:pPr>
            <w:r>
              <w:rPr>
                <w:rFonts w:ascii="仿宋_GB2312" w:hAnsi="仿宋_GB2312" w:cs="仿宋_GB2312" w:eastAsia="仿宋_GB2312"/>
                <w:sz w:val="20"/>
              </w:rPr>
              <w:t>1.有权对成交供应商的服务过程、服务质量进行监督、检查、考核，对不符合要求的服务提出整改要求。</w:t>
            </w:r>
          </w:p>
          <w:p>
            <w:pPr>
              <w:pStyle w:val="null3"/>
              <w:ind w:firstLine="420"/>
            </w:pPr>
            <w:r>
              <w:rPr>
                <w:rFonts w:ascii="仿宋_GB2312" w:hAnsi="仿宋_GB2312" w:cs="仿宋_GB2312" w:eastAsia="仿宋_GB2312"/>
                <w:sz w:val="20"/>
              </w:rPr>
              <w:t>2.为成交供应商提供必要的机房出入权限、设备访问权限，配合成交供应商开展维保服务工作。</w:t>
            </w:r>
          </w:p>
          <w:p>
            <w:pPr>
              <w:pStyle w:val="null3"/>
              <w:ind w:firstLine="420"/>
            </w:pPr>
            <w:r>
              <w:rPr>
                <w:rFonts w:ascii="仿宋_GB2312" w:hAnsi="仿宋_GB2312" w:cs="仿宋_GB2312" w:eastAsia="仿宋_GB2312"/>
                <w:sz w:val="20"/>
              </w:rPr>
              <w:t>3.按合同约定及时支付合同款项。</w:t>
            </w:r>
          </w:p>
          <w:p>
            <w:pPr>
              <w:pStyle w:val="null3"/>
              <w:ind w:firstLine="420"/>
            </w:pPr>
            <w:r>
              <w:rPr>
                <w:rFonts w:ascii="仿宋_GB2312" w:hAnsi="仿宋_GB2312" w:cs="仿宋_GB2312" w:eastAsia="仿宋_GB2312"/>
                <w:sz w:val="20"/>
              </w:rPr>
              <w:t>4.有权要求成交供应商更换不符合要求的项目人员。</w:t>
            </w:r>
          </w:p>
          <w:p>
            <w:pPr>
              <w:pStyle w:val="null3"/>
              <w:ind w:firstLine="420"/>
            </w:pPr>
            <w:r>
              <w:rPr>
                <w:rFonts w:ascii="仿宋_GB2312" w:hAnsi="仿宋_GB2312" w:cs="仿宋_GB2312" w:eastAsia="仿宋_GB2312"/>
                <w:sz w:val="20"/>
              </w:rPr>
              <w:t>（二）成交供应商权利与义务</w:t>
            </w:r>
          </w:p>
          <w:p>
            <w:pPr>
              <w:pStyle w:val="null3"/>
              <w:ind w:firstLine="420"/>
            </w:pPr>
            <w:r>
              <w:rPr>
                <w:rFonts w:ascii="仿宋_GB2312" w:hAnsi="仿宋_GB2312" w:cs="仿宋_GB2312" w:eastAsia="仿宋_GB2312"/>
                <w:sz w:val="20"/>
              </w:rPr>
              <w:t>1.严格按照合同约定、招标文件要求提供维保服务，确保服务质量和服务指标达标。</w:t>
            </w:r>
          </w:p>
          <w:p>
            <w:pPr>
              <w:pStyle w:val="null3"/>
              <w:ind w:firstLine="420"/>
            </w:pPr>
            <w:r>
              <w:rPr>
                <w:rFonts w:ascii="仿宋_GB2312" w:hAnsi="仿宋_GB2312" w:cs="仿宋_GB2312" w:eastAsia="仿宋_GB2312"/>
                <w:sz w:val="20"/>
              </w:rPr>
              <w:t>2.配备固定的项目团队，建立完善的服务管理制度，指定专人作为项目对接人，7*24小时保持通信畅通。</w:t>
            </w:r>
          </w:p>
          <w:p>
            <w:pPr>
              <w:pStyle w:val="null3"/>
              <w:ind w:firstLine="420"/>
            </w:pPr>
            <w:r>
              <w:rPr>
                <w:rFonts w:ascii="仿宋_GB2312" w:hAnsi="仿宋_GB2312" w:cs="仿宋_GB2312" w:eastAsia="仿宋_GB2312"/>
                <w:sz w:val="20"/>
              </w:rPr>
              <w:t>3.所有维保操作必须遵守采购人机房管理规定、数据安全管理规定，操作前提前告知采购人，制定操作方案和回退方案，严禁违规操作。</w:t>
            </w:r>
          </w:p>
          <w:p>
            <w:pPr>
              <w:pStyle w:val="null3"/>
              <w:ind w:firstLine="420"/>
            </w:pPr>
            <w:r>
              <w:rPr>
                <w:rFonts w:ascii="仿宋_GB2312" w:hAnsi="仿宋_GB2312" w:cs="仿宋_GB2312" w:eastAsia="仿宋_GB2312"/>
                <w:sz w:val="20"/>
              </w:rPr>
              <w:t>4.对服务过程中接触到的采购人所有数据、商业秘密、技术资料承担永久保密义务，未经采购人书面同意，不得向任何第三方泄露。</w:t>
            </w:r>
          </w:p>
          <w:p>
            <w:pPr>
              <w:pStyle w:val="null3"/>
              <w:ind w:firstLine="420"/>
            </w:pPr>
            <w:r>
              <w:rPr>
                <w:rFonts w:ascii="仿宋_GB2312" w:hAnsi="仿宋_GB2312" w:cs="仿宋_GB2312" w:eastAsia="仿宋_GB2312"/>
                <w:sz w:val="20"/>
              </w:rPr>
              <w:t>5.按时提交各类服务报告、巡检报告，配合采购人完成验收、考核工作。</w:t>
            </w:r>
          </w:p>
          <w:p>
            <w:pPr>
              <w:pStyle w:val="null3"/>
              <w:ind w:firstLine="420"/>
            </w:pPr>
            <w:r>
              <w:rPr>
                <w:rFonts w:ascii="仿宋_GB2312" w:hAnsi="仿宋_GB2312" w:cs="仿宋_GB2312" w:eastAsia="仿宋_GB2312"/>
                <w:sz w:val="20"/>
              </w:rPr>
              <w:t>6.未经采购人书面同意，不得擅自更换项目团队人员，不得将本项目转包、分包给第三方。</w:t>
            </w:r>
          </w:p>
          <w:p>
            <w:pPr>
              <w:pStyle w:val="null3"/>
              <w:ind w:firstLine="420"/>
            </w:pPr>
            <w:r>
              <w:rPr>
                <w:rFonts w:ascii="仿宋_GB2312" w:hAnsi="仿宋_GB2312" w:cs="仿宋_GB2312" w:eastAsia="仿宋_GB2312"/>
                <w:sz w:val="20"/>
              </w:rPr>
              <w:t>五、违约责任</w:t>
            </w:r>
          </w:p>
          <w:p>
            <w:pPr>
              <w:pStyle w:val="null3"/>
              <w:ind w:firstLine="420"/>
            </w:pPr>
            <w:r>
              <w:rPr>
                <w:rFonts w:ascii="仿宋_GB2312" w:hAnsi="仿宋_GB2312" w:cs="仿宋_GB2312" w:eastAsia="仿宋_GB2312"/>
                <w:sz w:val="20"/>
              </w:rPr>
              <w:t>1.成交供应商未按合同约定提供维保服务，或维保服务未达标的，每发生一次，采购人有权扣除合同总金额的0.5%作为违约金，累计扣除金额不超过合同总金额的20%。</w:t>
            </w:r>
          </w:p>
          <w:p>
            <w:pPr>
              <w:pStyle w:val="null3"/>
              <w:ind w:firstLine="420"/>
            </w:pPr>
            <w:r>
              <w:rPr>
                <w:rFonts w:ascii="仿宋_GB2312" w:hAnsi="仿宋_GB2312" w:cs="仿宋_GB2312" w:eastAsia="仿宋_GB2312"/>
                <w:sz w:val="20"/>
              </w:rPr>
              <w:t>2.因成交供应商违规操作、维保不当造成采购人设备损坏、数据丢失、业务中断的，成交供应商需承担全部赔偿责任，包括设备维修费用、数据恢复费用、业务损失等，采购人有权解除合同。</w:t>
            </w:r>
          </w:p>
          <w:p>
            <w:pPr>
              <w:pStyle w:val="null3"/>
              <w:ind w:firstLine="420"/>
            </w:pPr>
            <w:r>
              <w:rPr>
                <w:rFonts w:ascii="仿宋_GB2312" w:hAnsi="仿宋_GB2312" w:cs="仿宋_GB2312" w:eastAsia="仿宋_GB2312"/>
                <w:sz w:val="20"/>
              </w:rPr>
              <w:t>3.成交供应商擅自转包、分包本项目的，采购人有权立即解除合同，成交供应商需支付合同总金额20%的违约金，给采购人造成损失的，承担全部赔偿责任。</w:t>
            </w:r>
          </w:p>
          <w:p>
            <w:pPr>
              <w:pStyle w:val="null3"/>
              <w:ind w:firstLine="420"/>
            </w:pPr>
            <w:r>
              <w:rPr>
                <w:rFonts w:ascii="仿宋_GB2312" w:hAnsi="仿宋_GB2312" w:cs="仿宋_GB2312" w:eastAsia="仿宋_GB2312"/>
                <w:sz w:val="20"/>
              </w:rPr>
              <w:t>4.成交供应商违反保密义务，泄露采购人保密信息的，需支付合同总金额10%的违约金；造成损失的，承担全部赔偿责任；构成犯罪的，移交司法机关处理。</w:t>
            </w:r>
          </w:p>
          <w:p>
            <w:pPr>
              <w:pStyle w:val="null3"/>
              <w:ind w:firstLine="420"/>
            </w:pPr>
            <w:r>
              <w:rPr>
                <w:rFonts w:ascii="仿宋_GB2312" w:hAnsi="仿宋_GB2312" w:cs="仿宋_GB2312" w:eastAsia="仿宋_GB2312"/>
                <w:sz w:val="20"/>
              </w:rPr>
              <w:t>5.成交供应商未按合同约定履行其他义务的，采购人有权要求其限期整改，整改不到位的，有权扣除相应合同款项，直至解除合同。</w:t>
            </w:r>
          </w:p>
          <w:p>
            <w:pPr>
              <w:pStyle w:val="null3"/>
              <w:ind w:firstLine="420"/>
            </w:pPr>
            <w:r>
              <w:rPr>
                <w:rFonts w:ascii="仿宋_GB2312" w:hAnsi="仿宋_GB2312" w:cs="仿宋_GB2312" w:eastAsia="仿宋_GB2312"/>
                <w:sz w:val="20"/>
              </w:rPr>
              <w:t>6.若设备故障严重影响医院的正常运行且成交供应商未能在12小时之内排除故障，每发生一次，采购人有权扣除合同总金额的10%作为违约金。</w:t>
            </w:r>
          </w:p>
          <w:p>
            <w:pPr>
              <w:pStyle w:val="null3"/>
              <w:ind w:firstLine="420"/>
            </w:pPr>
            <w:r>
              <w:rPr>
                <w:rFonts w:ascii="仿宋_GB2312" w:hAnsi="仿宋_GB2312" w:cs="仿宋_GB2312" w:eastAsia="仿宋_GB2312"/>
                <w:sz w:val="20"/>
              </w:rPr>
              <w:t>六、其他商务要求</w:t>
            </w:r>
          </w:p>
          <w:p>
            <w:pPr>
              <w:pStyle w:val="null3"/>
              <w:ind w:firstLine="420"/>
            </w:pPr>
            <w:r>
              <w:rPr>
                <w:rFonts w:ascii="仿宋_GB2312" w:hAnsi="仿宋_GB2312" w:cs="仿宋_GB2312" w:eastAsia="仿宋_GB2312"/>
                <w:sz w:val="20"/>
              </w:rPr>
              <w:t>1.产品授权：提供服务器、存储、安全设备针对本项目出具的维保授权函及原厂技术支持承诺函。</w:t>
            </w:r>
          </w:p>
          <w:p>
            <w:pPr>
              <w:pStyle w:val="null3"/>
              <w:ind w:firstLine="420"/>
            </w:pPr>
            <w:r>
              <w:rPr>
                <w:rFonts w:ascii="仿宋_GB2312" w:hAnsi="仿宋_GB2312" w:cs="仿宋_GB2312" w:eastAsia="仿宋_GB2312"/>
                <w:sz w:val="20"/>
              </w:rPr>
              <w:t>2.知识产权：成交供应商在服务过程中为采购人提供的技术方案、报告、课件等成果的知识产权归采购人所有，未经采购人书面同意，不得擅自使用、传播。成交供应商保证其提供的服务不侵犯任何第三方知识产权，若发生侵权纠纷，由成交供应商承担全部责任。</w:t>
            </w:r>
          </w:p>
          <w:p>
            <w:pPr>
              <w:pStyle w:val="null3"/>
              <w:ind w:firstLine="420"/>
            </w:pPr>
            <w:r>
              <w:rPr>
                <w:rFonts w:ascii="仿宋_GB2312" w:hAnsi="仿宋_GB2312" w:cs="仿宋_GB2312" w:eastAsia="仿宋_GB2312"/>
                <w:sz w:val="20"/>
              </w:rPr>
              <w:t>3.人员要求：未经采购人书面同意，不得擅自更换项目人员，替换人员资质不得低于原人员。</w:t>
            </w:r>
          </w:p>
          <w:p>
            <w:pPr>
              <w:pStyle w:val="null3"/>
              <w:ind w:firstLine="420"/>
            </w:pPr>
            <w:r>
              <w:rPr>
                <w:rFonts w:ascii="仿宋_GB2312" w:hAnsi="仿宋_GB2312" w:cs="仿宋_GB2312" w:eastAsia="仿宋_GB2312"/>
                <w:sz w:val="20"/>
              </w:rPr>
              <w:t>4.争议解决：本合同履行过程中发生的争议，双方应友好协商解决；协商不成的，向采购人所在地人民法院提起诉讼。</w:t>
            </w:r>
          </w:p>
          <w:p>
            <w:pPr>
              <w:pStyle w:val="null3"/>
              <w:ind w:firstLine="420"/>
            </w:pPr>
            <w:r>
              <w:rPr>
                <w:rFonts w:ascii="仿宋_GB2312" w:hAnsi="仿宋_GB2312" w:cs="仿宋_GB2312" w:eastAsia="仿宋_GB2312"/>
                <w:sz w:val="20"/>
              </w:rPr>
              <w:t>5.不可抗力：因不可抗力导致合同无法履行的，双方互不承担违约责任，应及时协商解决后续事宜。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服务期满后，采购人根据成交供应商全年服务质量、维保服务达标情况、考核结果进行综合评估，评估合格的，双方协商一致可续签合同，最多续签2次，每次续签期限1年。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进度款，维保服务合同签订后30天内，成交供应商向采购人提供设备（系统）制造商原厂技术服务开通函。经采购人查询验证合格后，达到付款条件起22个工作日内，支付合同总金额的50.0%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进度款，维保服务结束后，成交供应商向采购人提供年度维保服务报告，经采购人对维保服务进行验收和考核合格后，依据考核结果，达到付款条件起22个工作日内，支付合同总金额的50.0%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 因文件格式原因，付款方式按照以下约定执行：维保服务合同签订后30天内，成交供应商向采购人提供设备（系统）制造商原厂技术服务开通函。经采购人查询验证合格后30个日历日内支付合同金额50%。维保服务结束后，成交供应商向采购人提供年度维保服务报告，经采购人对维保服务进行验收和考核合格后，依据考核结果，达到付款条件起30个日历日内，支付剩余合同总金额的50%。每次付款前，提供符合税法规定的等额增值税发票。 2. 为顺利推进政府采购电子化交易平台应用工作，供应商需要在线提交所有通过电子化交易平台实施的政府采购项目的响应文件，同时，线下向代理机构提交响应文件正本壹份，副本壹份、电子版壹份（U盘一份标明供应商名称，随正本密封）。若电子响应文件与纸质响应文件不一致的，以电子响应文件为准；线下递交文件时间：详见本项目公告文件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 2、供应商应具有良好的商业信誉：提供参加政府采购活动前3年内在经营活动中没有重大违法记录的书面声明； 3、供应商应具有健全的财务会计制度：三种形式的资料提供任何一种即可：1）提供2024年或2025年财务审计报告{包括资产负债表、利润表、现金流量表、所有者权益变动表及其附注，财务审计报告须真实有效并符合《关于加强审计报告查验工作的通知》（财会[2023]15号）文件的要求，报告须在注册会计师行业统一监管平台报备、赋二维码}，成立时间至开标时间不足一年的可提供成立后任意时段的资产负债表；2）提供基本存款账户信息及开标日期前三个月内其基本存款账户开户银行出具的资信证明；3）财政部门认可的政府采购专业担保机构出具的投标担保函；依法不需要提供财务状况的投标供应商应提供相关证明; 4、具有履行本合同所必需的设备和专业技术能力的承诺，提供承诺函； 5、供应商应有依法缴纳税收和社会保障资金的良好记录税收缴纳证明：提供开标前12个月至今至少一个月的社会保障资金缴存单据或社保机构开具的社会保险参保缴费情况证明，依法不需要缴纳社会保障资金的供应商应提供相关文件证明；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法定代表人直接参加投标的，须出具法定代表人身份证，并与营业执照上信息一致；法定代表人授权代表参加投标的，须出具法定代表人授权书</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未被“信用中国”网站（www.creditchina.gov.cn）列入失信被执行人、重大税收违法失信主体名单，在中国政府采购网（www.ccgp.gov.cn）查询无政府采购严重违法失信行为记录</w:t>
            </w:r>
          </w:p>
        </w:tc>
        <w:tc>
          <w:tcPr>
            <w:tcW w:type="dxa" w:w="3322"/>
          </w:tcPr>
          <w:p>
            <w:pPr>
              <w:pStyle w:val="null3"/>
            </w:pPr>
            <w:r>
              <w:rPr>
                <w:rFonts w:ascii="仿宋_GB2312" w:hAnsi="仿宋_GB2312" w:cs="仿宋_GB2312" w:eastAsia="仿宋_GB2312"/>
              </w:rPr>
              <w:t>以现场查询结果为准</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单位负责人为同一人或者存在直接控股、管理关系的不同投标供应商，不得参加同一合同项下的政府采购活动</w:t>
            </w:r>
          </w:p>
        </w:tc>
        <w:tc>
          <w:tcPr>
            <w:tcW w:type="dxa" w:w="1661"/>
          </w:tcPr>
          <w:p>
            <w:pPr>
              <w:pStyle w:val="null3"/>
            </w:pPr>
            <w:r>
              <w:rPr>
                <w:rFonts w:ascii="仿宋_GB2312" w:hAnsi="仿宋_GB2312" w:cs="仿宋_GB2312" w:eastAsia="仿宋_GB2312"/>
              </w:rPr>
              <w:t>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不允许联合体投标</w:t>
            </w:r>
          </w:p>
        </w:tc>
        <w:tc>
          <w:tcPr>
            <w:tcW w:type="dxa" w:w="1661"/>
          </w:tcPr>
          <w:p>
            <w:pPr>
              <w:pStyle w:val="null3"/>
            </w:pPr>
            <w:r>
              <w:rPr>
                <w:rFonts w:ascii="仿宋_GB2312" w:hAnsi="仿宋_GB2312" w:cs="仿宋_GB2312" w:eastAsia="仿宋_GB2312"/>
              </w:rPr>
              <w:t>特殊资格证明材料.docx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其他材料.docx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技术方案.docx 中小企业声明函 商务应答表 服务内容及服务要求应答表 报价表 响应文件封面 供应商应提交的相关资格证明材料.docx 残疾人福利性单位声明函 标的清单 其他材料.docx 响应函 监狱企业的证明文件 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技术方案.docx 中小企业声明函 商务应答表 服务内容及服务要求应答表 报价表 响应文件封面 供应商应提交的相关资格证明材料.docx 残疾人福利性单位声明函 标的清单 其他材料.docx 响应函 监狱企业的证明文件 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响应文件中是否含有采购人不能接受的附加条件的或其他情形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技术方案.docx 供应商应提交的相关资格证明材料.docx 商务应答表 服务内容及服务要求应答表 其他材料.docx 响应函 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是否发现法律、法规和磋商文件规定的其他无效情形</w:t>
            </w:r>
          </w:p>
        </w:tc>
        <w:tc>
          <w:tcPr>
            <w:tcW w:type="dxa" w:w="3322"/>
          </w:tcPr>
          <w:p>
            <w:pPr>
              <w:pStyle w:val="null3"/>
            </w:pPr>
            <w:r>
              <w:rPr>
                <w:rFonts w:ascii="仿宋_GB2312" w:hAnsi="仿宋_GB2312" w:cs="仿宋_GB2312" w:eastAsia="仿宋_GB2312"/>
              </w:rPr>
              <w:t>未发现法律、法规和磋商文件规定的其他无效情形</w:t>
            </w:r>
          </w:p>
        </w:tc>
        <w:tc>
          <w:tcPr>
            <w:tcW w:type="dxa" w:w="1661"/>
          </w:tcPr>
          <w:p>
            <w:pPr>
              <w:pStyle w:val="null3"/>
            </w:pPr>
            <w:r>
              <w:rPr>
                <w:rFonts w:ascii="仿宋_GB2312" w:hAnsi="仿宋_GB2312" w:cs="仿宋_GB2312" w:eastAsia="仿宋_GB2312"/>
              </w:rPr>
              <w:t>技术方案.docx 中小企业声明函 商务应答表 服务内容及服务要求应答表 报价表 响应文件封面 供应商应提交的相关资格证明材料.docx 残疾人福利性单位声明函 标的清单 其他材料.docx 响应函 监狱企业的证明文件 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不同供应商的响应文件是否由同一单位或者个人编制</w:t>
            </w:r>
          </w:p>
        </w:tc>
        <w:tc>
          <w:tcPr>
            <w:tcW w:type="dxa" w:w="3322"/>
          </w:tcPr>
          <w:p>
            <w:pPr>
              <w:pStyle w:val="null3"/>
            </w:pPr>
            <w:r>
              <w:rPr>
                <w:rFonts w:ascii="仿宋_GB2312" w:hAnsi="仿宋_GB2312" w:cs="仿宋_GB2312" w:eastAsia="仿宋_GB2312"/>
              </w:rPr>
              <w:t>不同供应商的响应文件不是由同一单位或者个人编制</w:t>
            </w:r>
          </w:p>
        </w:tc>
        <w:tc>
          <w:tcPr>
            <w:tcW w:type="dxa" w:w="1661"/>
          </w:tcPr>
          <w:p>
            <w:pPr>
              <w:pStyle w:val="null3"/>
            </w:pPr>
            <w:r>
              <w:rPr>
                <w:rFonts w:ascii="仿宋_GB2312" w:hAnsi="仿宋_GB2312" w:cs="仿宋_GB2312" w:eastAsia="仿宋_GB2312"/>
              </w:rPr>
              <w:t>技术方案.docx 中小企业声明函 商务应答表 服务内容及服务要求应答表 报价表 响应文件封面 供应商应提交的相关资格证明材料.docx 残疾人福利性单位声明函 标的清单 其他材料.docx 响应函 监狱企业的证明文件 特殊资格证明材料.docx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不同供应商是否委托同一单位或者个人办理磋商事宜</w:t>
            </w:r>
          </w:p>
        </w:tc>
        <w:tc>
          <w:tcPr>
            <w:tcW w:type="dxa" w:w="3322"/>
          </w:tcPr>
          <w:p>
            <w:pPr>
              <w:pStyle w:val="null3"/>
            </w:pPr>
            <w:r>
              <w:rPr>
                <w:rFonts w:ascii="仿宋_GB2312" w:hAnsi="仿宋_GB2312" w:cs="仿宋_GB2312" w:eastAsia="仿宋_GB2312"/>
              </w:rPr>
              <w:t>不同供应商不是委托同一单位或者个人办理磋商事宜</w:t>
            </w:r>
          </w:p>
        </w:tc>
        <w:tc>
          <w:tcPr>
            <w:tcW w:type="dxa" w:w="1661"/>
          </w:tcPr>
          <w:p>
            <w:pPr>
              <w:pStyle w:val="null3"/>
            </w:pPr>
            <w:r>
              <w:rPr>
                <w:rFonts w:ascii="仿宋_GB2312" w:hAnsi="仿宋_GB2312" w:cs="仿宋_GB2312" w:eastAsia="仿宋_GB2312"/>
              </w:rPr>
              <w:t>技术方案.docx 中小企业声明函 商务应答表 服务内容及服务要求应答表 报价表 响应文件封面 供应商应提交的相关资格证明材料.docx 残疾人福利性单位声明函 标的清单 其他材料.docx 响应函 监狱企业的证明文件 特殊资格证明材料.docx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不同供应商的响应文件载明的项目管理成员或者联系人员是否为同一人</w:t>
            </w:r>
          </w:p>
        </w:tc>
        <w:tc>
          <w:tcPr>
            <w:tcW w:type="dxa" w:w="3322"/>
          </w:tcPr>
          <w:p>
            <w:pPr>
              <w:pStyle w:val="null3"/>
            </w:pPr>
            <w:r>
              <w:rPr>
                <w:rFonts w:ascii="仿宋_GB2312" w:hAnsi="仿宋_GB2312" w:cs="仿宋_GB2312" w:eastAsia="仿宋_GB2312"/>
              </w:rPr>
              <w:t>不同供应商的响应文件载明的项目管理成员或者联系人员不为同一人</w:t>
            </w:r>
          </w:p>
        </w:tc>
        <w:tc>
          <w:tcPr>
            <w:tcW w:type="dxa" w:w="1661"/>
          </w:tcPr>
          <w:p>
            <w:pPr>
              <w:pStyle w:val="null3"/>
            </w:pPr>
            <w:r>
              <w:rPr>
                <w:rFonts w:ascii="仿宋_GB2312" w:hAnsi="仿宋_GB2312" w:cs="仿宋_GB2312" w:eastAsia="仿宋_GB2312"/>
              </w:rPr>
              <w:t>技术方案.docx 中小企业声明函 商务应答表 服务内容及服务要求应答表 报价表 响应文件封面 供应商应提交的相关资格证明材料.docx 残疾人福利性单位声明函 标的清单 其他材料.docx 响应函 监狱企业的证明文件 特殊资格证明材料.docx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不同供应商的响应文件是否异常一致或者响应报价呈规律性差异</w:t>
            </w:r>
          </w:p>
        </w:tc>
        <w:tc>
          <w:tcPr>
            <w:tcW w:type="dxa" w:w="3322"/>
          </w:tcPr>
          <w:p>
            <w:pPr>
              <w:pStyle w:val="null3"/>
            </w:pPr>
            <w:r>
              <w:rPr>
                <w:rFonts w:ascii="仿宋_GB2312" w:hAnsi="仿宋_GB2312" w:cs="仿宋_GB2312" w:eastAsia="仿宋_GB2312"/>
              </w:rPr>
              <w:t>不同供应商的响应文件未发现异常一致或者响应报价呈规律性差异</w:t>
            </w:r>
          </w:p>
        </w:tc>
        <w:tc>
          <w:tcPr>
            <w:tcW w:type="dxa" w:w="1661"/>
          </w:tcPr>
          <w:p>
            <w:pPr>
              <w:pStyle w:val="null3"/>
            </w:pPr>
            <w:r>
              <w:rPr>
                <w:rFonts w:ascii="仿宋_GB2312" w:hAnsi="仿宋_GB2312" w:cs="仿宋_GB2312" w:eastAsia="仿宋_GB2312"/>
              </w:rPr>
              <w:t>技术方案.docx 中小企业声明函 商务应答表 服务内容及服务要求应答表 报价表 响应文件封面 供应商应提交的相关资格证明材料.docx 残疾人福利性单位声明函 标的清单 其他材料.docx 响应函 监狱企业的证明文件 特殊资格证明材料.docx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不同供应商的响应保证金是否从同单位或者个人的账户转出</w:t>
            </w:r>
          </w:p>
        </w:tc>
        <w:tc>
          <w:tcPr>
            <w:tcW w:type="dxa" w:w="3322"/>
          </w:tcPr>
          <w:p>
            <w:pPr>
              <w:pStyle w:val="null3"/>
            </w:pPr>
            <w:r>
              <w:rPr>
                <w:rFonts w:ascii="仿宋_GB2312" w:hAnsi="仿宋_GB2312" w:cs="仿宋_GB2312" w:eastAsia="仿宋_GB2312"/>
              </w:rPr>
              <w:t>不同供应商的响应保证金不是从同一单位或者个人的账户转出</w:t>
            </w:r>
          </w:p>
        </w:tc>
        <w:tc>
          <w:tcPr>
            <w:tcW w:type="dxa" w:w="1661"/>
          </w:tcPr>
          <w:p>
            <w:pPr>
              <w:pStyle w:val="null3"/>
            </w:pPr>
            <w:r>
              <w:rPr>
                <w:rFonts w:ascii="仿宋_GB2312" w:hAnsi="仿宋_GB2312" w:cs="仿宋_GB2312" w:eastAsia="仿宋_GB2312"/>
              </w:rPr>
              <w:t>响应文件封面 技术方案.docx 其他材料.docx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情况制定科学、合理可行的服务方案，包括①总体服务计划；②响应时限承诺；③巡检计划；④数据安全保护计划；⑤现场保障方案等内容。以上5项，每项4分，总分20分。每项内容完整，完全符合采购人实际需求，该项得满分，每有一处内容存在缺陷，扣0.5分，扣完为止。缺项则该项不得分。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有合理具体的人员组织安排：项目团队人员不少于4人（含项目经理），项目经理须具备五年以上数据中心维保项目管理经验，具备项目管理相关资质或同等能力；技术工程师须具备三年以上相关维保经验。满足以上条件得6分。项目团队中，每有1名持有对应设备原厂高级认证证书的工程师加2分，最多加6分。 注：1.所有人员须提供身份证，以及相关资质证明材料；2.经验证明材料包括但不限于：专业技术证书日期、在职证明、业绩合同、社保缴纳证明等，可以提供一项或多项。3.“对应设备原厂高级认证”指供应商为本项目配备的技术人员所持有的、由设备制造商官方发布的高级别技术认证证书（如H3CIE、HCIE、VCP-DCV、Lenovo Data Center Specialist等），证书须在有效期内，并可在厂商官网或国家认证认可系统中查询验证。</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根据供应商提供的培训计划进行评审，包含：①培训人员安排；②培训课程及课件展示；③问题答疑及沟通计划。以上3项，每项1分，总分3分。每项内容完整，完全符合采购人实际需求，该项得满分，每有一处内容存在缺陷，扣0.5分，扣完为止。缺项则该项不得分。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制定完善的应急响应预案，内容包含：①项目风险识别及评估；②应急响应流程；③数据安全与业务连续性保障措施。以上3项，每项2分，总分6分。每项内容完整，完全符合采购人实际需求，该项得满分，每有一处内容存在缺陷，扣0.5分，扣完为止。缺项则该项不得分。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人员服务保障</w:t>
            </w:r>
          </w:p>
        </w:tc>
        <w:tc>
          <w:tcPr>
            <w:tcW w:type="dxa" w:w="2492"/>
          </w:tcPr>
          <w:p>
            <w:pPr>
              <w:pStyle w:val="null3"/>
            </w:pPr>
            <w:r>
              <w:rPr>
                <w:rFonts w:ascii="仿宋_GB2312" w:hAnsi="仿宋_GB2312" w:cs="仿宋_GB2312" w:eastAsia="仿宋_GB2312"/>
              </w:rPr>
              <w:t>针对本项目提供人员现场技术保障服务方案，每周至少一天的现场保障服务；超过一天的，每增加一天得2分，最高得4分。其他情况不得分。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本地保障能力</w:t>
            </w:r>
          </w:p>
        </w:tc>
        <w:tc>
          <w:tcPr>
            <w:tcW w:type="dxa" w:w="2492"/>
          </w:tcPr>
          <w:p>
            <w:pPr>
              <w:pStyle w:val="null3"/>
            </w:pPr>
            <w:r>
              <w:rPr>
                <w:rFonts w:ascii="仿宋_GB2312" w:hAnsi="仿宋_GB2312" w:cs="仿宋_GB2312" w:eastAsia="仿宋_GB2312"/>
              </w:rPr>
              <w:t>供应商的本地服务保障能力：①专用备件库（含常用备品清单及存放证明材料）②驻地运维人员配置。确保确保故障发生时可快速调取更换，保障业务恢复时效。以上2项，每项1分，总分2分。每项内容完整，完全符合采购人实际需求，该项得满分，每有一处内容存在缺陷，扣0.5分，扣完为止。缺项则该项不得分。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服务创新能力</w:t>
            </w:r>
          </w:p>
        </w:tc>
        <w:tc>
          <w:tcPr>
            <w:tcW w:type="dxa" w:w="2492"/>
          </w:tcPr>
          <w:p>
            <w:pPr>
              <w:pStyle w:val="null3"/>
            </w:pPr>
            <w:r>
              <w:rPr>
                <w:rFonts w:ascii="仿宋_GB2312" w:hAnsi="仿宋_GB2312" w:cs="仿宋_GB2312" w:eastAsia="仿宋_GB2312"/>
              </w:rPr>
              <w:t>供应商提供的创新服务内容：①智能运维工具应用情况及功能说明②主动优化服务方案。以上2项，每项2分，总分4分。每项内容完整，完全符合采购人实际需求，该项得满分，每有一处内容存在缺陷，扣0.5分，扣完为止。缺项则该项不得分。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技术支持</w:t>
            </w:r>
          </w:p>
        </w:tc>
        <w:tc>
          <w:tcPr>
            <w:tcW w:type="dxa" w:w="2492"/>
          </w:tcPr>
          <w:p>
            <w:pPr>
              <w:pStyle w:val="null3"/>
            </w:pPr>
            <w:r>
              <w:rPr>
                <w:rFonts w:ascii="仿宋_GB2312" w:hAnsi="仿宋_GB2312" w:cs="仿宋_GB2312" w:eastAsia="仿宋_GB2312"/>
              </w:rPr>
              <w:t>根据提供不同类型设备的原厂授权及服务承诺函的数量进行赋分： ①服务器设备，计3分； ②存储设备，计3分， ③互联网边界安全设备，计2分； ④内网安全设备，计2分； ⑤负载均衡，计2分； ⑥核心交换机，计2分； ⑦存储SAN交换机，计2分； ⑧汇聚交换机，计1分； ⑨备份一体机及备份软件，计1分； ⑩运维管理系统，计2分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提供有效的ISO27001信息安全管理体系认证证书、ISO20000信息技术服务管理体系证书、ITSS信息技术服务运行维护标准符合性证书3级，每提供1个证书计1分，满分3分。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提供2023年1月1日以来类似项目业绩，每提供一个得1分，满分6分。 注：以合同签订日期为准，提供合同复印件。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详见附件：特殊资格证明材料.docx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