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版本号：SXDY-2026-20820260709001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陕西省临潼康复医院餐饮原材料供应项目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SXDY-2026-208</w:t>
      </w:r>
      <w:r>
        <w:br/>
      </w:r>
      <w:r>
        <w:br/>
      </w:r>
      <w:r>
        <w:br/>
      </w:r>
    </w:p>
    <w:p>
      <w:pPr>
        <w:pStyle w:val="null3"/>
        <w:jc w:val="center"/>
        <w:outlineLvl w:val="2"/>
      </w:pPr>
      <w:r>
        <w:rPr>
          <w:rFonts w:ascii="仿宋_GB2312" w:hAnsi="仿宋_GB2312" w:cs="仿宋_GB2312" w:eastAsia="仿宋_GB2312"/>
          <w:sz w:val="28"/>
          <w:b/>
        </w:rPr>
        <w:t>省临潼疗养院</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省临潼疗养院</w:t>
      </w:r>
      <w:r>
        <w:rPr>
          <w:rFonts w:ascii="仿宋_GB2312" w:hAnsi="仿宋_GB2312" w:cs="仿宋_GB2312" w:eastAsia="仿宋_GB2312"/>
        </w:rPr>
        <w:t>委托，拟对</w:t>
      </w:r>
      <w:r>
        <w:rPr>
          <w:rFonts w:ascii="仿宋_GB2312" w:hAnsi="仿宋_GB2312" w:cs="仿宋_GB2312" w:eastAsia="仿宋_GB2312"/>
        </w:rPr>
        <w:t>陕西省临潼康复医院餐饮原材料供应项目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SXDY-2026-208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陕西省临潼康复医院餐饮原材料供应项目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主要是为食堂提供所需食材采购配送服务。本项目预算共200万元；其中一标段蔬菜、水果预算68万元；二标段干菜、调料、冻货类预算48万元；三标段米、面、油预算30万元；四标段：肉、蛋、禽类预算54万元。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采购包1（蔬菜、水果）：属于专门面向中小企业采购。</w:t>
      </w:r>
    </w:p>
    <w:p>
      <w:pPr>
        <w:pStyle w:val="null3"/>
      </w:pPr>
      <w:r>
        <w:rPr>
          <w:rFonts w:ascii="仿宋_GB2312" w:hAnsi="仿宋_GB2312" w:cs="仿宋_GB2312" w:eastAsia="仿宋_GB2312"/>
        </w:rPr>
        <w:t>采购包2（干菜、调料、冻货类）：属于专门面向中小企业采购。</w:t>
      </w:r>
    </w:p>
    <w:p>
      <w:pPr>
        <w:pStyle w:val="null3"/>
      </w:pPr>
      <w:r>
        <w:rPr>
          <w:rFonts w:ascii="仿宋_GB2312" w:hAnsi="仿宋_GB2312" w:cs="仿宋_GB2312" w:eastAsia="仿宋_GB2312"/>
        </w:rPr>
        <w:t>采购包3（米、面、油）：属于专门面向中小企业采购。</w:t>
      </w:r>
    </w:p>
    <w:p>
      <w:pPr>
        <w:pStyle w:val="null3"/>
      </w:pPr>
      <w:r>
        <w:rPr>
          <w:rFonts w:ascii="仿宋_GB2312" w:hAnsi="仿宋_GB2312" w:cs="仿宋_GB2312" w:eastAsia="仿宋_GB2312"/>
        </w:rPr>
        <w:t>采购包4（肉、蛋、禽类）：属于专门面向中小企业采购。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的经审计的财务会计报告（成立时间至提交投标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pPr>
        <w:pStyle w:val="null3"/>
      </w:pPr>
      <w:r>
        <w:rPr>
          <w:rFonts w:ascii="仿宋_GB2312" w:hAnsi="仿宋_GB2312" w:cs="仿宋_GB2312" w:eastAsia="仿宋_GB2312"/>
        </w:rPr>
        <w:t>3、税收缴纳证明：提供2025年12月至今已缴纳的至少一个月的纳税证明或完税证明（任意税种），依法免税的单位应提供相关证明材料；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4、社会保障资金缴纳证明：提供2025年12月至今已缴存的至少一个月的社会保障资金缴存单据或社保机构开具的社会保险参保缴费情况证明，依法不需要缴纳社会保障资金的单位应提供相关证明材料；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5、承诺书：提供具有履行合同所必需的设备和专业技术能力的承诺；</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7、法定代表人授权书：法定代表人授权书（附法定代表人、被授权人身份证复印件），法定代表人直接参加投标，须提供法定代表人身份证明；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8、特定资质：供应商为生产厂家的须具有《食品生产许可证》、《食品经营许可证》；供应商为代理商的须提供《食品经营许可证》；</w:t>
      </w:r>
    </w:p>
    <w:p>
      <w:pPr>
        <w:pStyle w:val="null3"/>
      </w:pPr>
      <w:r>
        <w:rPr>
          <w:rFonts w:ascii="仿宋_GB2312" w:hAnsi="仿宋_GB2312" w:cs="仿宋_GB2312" w:eastAsia="仿宋_GB2312"/>
        </w:rPr>
        <w:t>9、信誉：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10、本项目不接受联合体投标：本项目不接受联合体投标。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的经审计的财务会计报告（成立时间至提交投标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pPr>
        <w:pStyle w:val="null3"/>
      </w:pPr>
      <w:r>
        <w:rPr>
          <w:rFonts w:ascii="仿宋_GB2312" w:hAnsi="仿宋_GB2312" w:cs="仿宋_GB2312" w:eastAsia="仿宋_GB2312"/>
        </w:rPr>
        <w:t>3、税收缴纳证明：提供2025年12月至今已缴纳的至少一个月的纳税证明或完税证明（任意税种），依法免税的单位应提供相关证明材料；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4、社会保障资金缴纳证明：提供2025年12月至今已缴存的至少一个月的社会保障资金缴存单据或社保机构开具的社会保险参保缴费情况证明，依法不需要缴纳社会保障资金的单位应提供相关证明材料；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5、承诺书：提供具有履行合同所必需的设备和专业技术能力的承诺；</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7、法定代表人授权书：法定代表人授权书（附法定代表人、被授权人身份证复印件），法定代表人直接参加投标，须提供法定代表人身份证明；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8、特定资质：供应商为生产厂家的须具有《食品生产许可证》、《食品经营许可证》；供应商为代理商的须提供《食品经营许可证》；</w:t>
      </w:r>
    </w:p>
    <w:p>
      <w:pPr>
        <w:pStyle w:val="null3"/>
      </w:pPr>
      <w:r>
        <w:rPr>
          <w:rFonts w:ascii="仿宋_GB2312" w:hAnsi="仿宋_GB2312" w:cs="仿宋_GB2312" w:eastAsia="仿宋_GB2312"/>
        </w:rPr>
        <w:t>9、信誉：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10、本项目不接受联合体投标：本项目不接受联合体投标。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的经审计的财务会计报告（成立时间至提交投标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pPr>
        <w:pStyle w:val="null3"/>
      </w:pPr>
      <w:r>
        <w:rPr>
          <w:rFonts w:ascii="仿宋_GB2312" w:hAnsi="仿宋_GB2312" w:cs="仿宋_GB2312" w:eastAsia="仿宋_GB2312"/>
        </w:rPr>
        <w:t>3、税收缴纳证明：提供2025年12月至今已缴纳的至少一个月的纳税证明或完税证明（任意税种），依法免税的单位应提供相关证明材料；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4、社会保障资金缴纳证明：提供2025年12月至今已缴存的至少一个月的社会保障资金缴存单据或社保机构开具的社会保险参保缴费情况证明，依法不需要缴纳社会保障资金的单位应提供相关证明材料；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5、承诺书：提供具有履行合同所必需的设备和专业技术能力的承诺；</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7、法定代表人授权书：法定代表人授权书（附法定代表人、被授权人身份证复印件），法定代表人直接参加投标，须提供法定代表人身份证明；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8、特定资质：供应商为生产厂家的须具有《食品生产许可证》、《食品经营许可证》；供应商为代理商的须提供《食品经营许可证》；</w:t>
      </w:r>
    </w:p>
    <w:p>
      <w:pPr>
        <w:pStyle w:val="null3"/>
      </w:pPr>
      <w:r>
        <w:rPr>
          <w:rFonts w:ascii="仿宋_GB2312" w:hAnsi="仿宋_GB2312" w:cs="仿宋_GB2312" w:eastAsia="仿宋_GB2312"/>
        </w:rPr>
        <w:t>9、信誉：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10、本项目不接受联合体投标：本项目不接受联合体投标。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1、有效的主体资格证明：具有独立承担民事责任的法人、其他组织或自然人，并出具合法有效的营业执照或事业单位法人证书等国家规定的相关证明，自然人参与的提供其身份证明；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的经审计的财务会计报告（成立时间至提交投标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pPr>
        <w:pStyle w:val="null3"/>
      </w:pPr>
      <w:r>
        <w:rPr>
          <w:rFonts w:ascii="仿宋_GB2312" w:hAnsi="仿宋_GB2312" w:cs="仿宋_GB2312" w:eastAsia="仿宋_GB2312"/>
        </w:rPr>
        <w:t>3、税收缴纳证明：提供2025年12月至今已缴纳的至少一个月的纳税证明或完税证明（任意税种），依法免税的单位应提供相关证明材料；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4、社会保障资金缴纳证明：提供2025年12月至今已缴存的至少一个月的社会保障资金缴存单据或社保机构开具的社会保险参保缴费情况证明，依法不需要缴纳社会保障资金的单位应提供相关证明材料；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5、承诺书：提供具有履行合同所必需的设备和专业技术能力的承诺；</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7、法定代表人授权书：法定代表人授权书（附法定代表人、被授权人身份证复印件），法定代表人直接参加投标，须提供法定代表人身份证明；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8、特定资质：供应商为生产厂家的须具有《食品生产许可证》、《食品经营许可证》；供应商为代理商的须提供《食品经营许可证》；</w:t>
      </w:r>
    </w:p>
    <w:p>
      <w:pPr>
        <w:pStyle w:val="null3"/>
      </w:pPr>
      <w:r>
        <w:rPr>
          <w:rFonts w:ascii="仿宋_GB2312" w:hAnsi="仿宋_GB2312" w:cs="仿宋_GB2312" w:eastAsia="仿宋_GB2312"/>
        </w:rPr>
        <w:t>9、信誉：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10、本项目不接受联合体投标：本项目不接受联合体投标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省临潼疗养院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临潼区康复路26号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李宛秦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17792272274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西安市朱雀大街南段汇成天玺酒店C座11层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白凤祥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18789423630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采购包1：680,000.00元</w:t>
            </w:r>
          </w:p>
          <w:p>
            <w:pPr>
              <w:pStyle w:val="null3"/>
            </w:pPr>
            <w:r>
              <w:rPr>
                <w:rFonts w:ascii="仿宋_GB2312" w:hAnsi="仿宋_GB2312" w:cs="仿宋_GB2312" w:eastAsia="仿宋_GB2312"/>
              </w:rPr>
              <w:t>采购包2：480,000.00元</w:t>
            </w:r>
          </w:p>
          <w:p>
            <w:pPr>
              <w:pStyle w:val="null3"/>
            </w:pPr>
            <w:r>
              <w:rPr>
                <w:rFonts w:ascii="仿宋_GB2312" w:hAnsi="仿宋_GB2312" w:cs="仿宋_GB2312" w:eastAsia="仿宋_GB2312"/>
              </w:rPr>
              <w:t>采购包3：300,000.00元</w:t>
            </w:r>
          </w:p>
          <w:p>
            <w:pPr>
              <w:pStyle w:val="null3"/>
            </w:pPr>
            <w:r>
              <w:rPr>
                <w:rFonts w:ascii="仿宋_GB2312" w:hAnsi="仿宋_GB2312" w:cs="仿宋_GB2312" w:eastAsia="仿宋_GB2312"/>
              </w:rPr>
              <w:t>采购包4：540,000.00元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代理服务费收费标准：采购包1蔬菜、水果类，代理费按10000元收取；采购包2干菜、调料、冻货类，代理费按8000元收取；采购包3米、面、油类，代理费按6000元收取；采购包4肉、蛋禽类，代理费按8000元收取。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省临潼疗养院</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省临潼疗养院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省临潼疗养院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陕西大用项目管理有限公司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联系人：白凤祥</w:t>
      </w:r>
    </w:p>
    <w:p>
      <w:pPr>
        <w:pStyle w:val="null3"/>
      </w:pPr>
      <w:r>
        <w:rPr>
          <w:rFonts w:ascii="仿宋_GB2312" w:hAnsi="仿宋_GB2312" w:cs="仿宋_GB2312" w:eastAsia="仿宋_GB2312"/>
        </w:rPr>
        <w:t>联系电话：18789423630</w:t>
      </w:r>
    </w:p>
    <w:p>
      <w:pPr>
        <w:pStyle w:val="null3"/>
      </w:pPr>
      <w:r>
        <w:rPr>
          <w:rFonts w:ascii="仿宋_GB2312" w:hAnsi="仿宋_GB2312" w:cs="仿宋_GB2312" w:eastAsia="仿宋_GB2312"/>
        </w:rPr>
        <w:t>地址：陕西大用项目管理有限公司（西安市朱雀大街南段汇成天玺酒店C座11 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主要是为食堂提供所需食材采购配送服务。本项目预算共200万元；其中一标段蔬菜、水果预算68万元；二标段干菜、调料、冻货类预算48万元；三标段米、面、油预算30万元；四标段：肉、蛋、禽类预算54万元。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680,000.00</w:t>
      </w:r>
    </w:p>
    <w:p>
      <w:pPr>
        <w:pStyle w:val="null3"/>
      </w:pPr>
      <w:r>
        <w:rPr>
          <w:rFonts w:ascii="仿宋_GB2312" w:hAnsi="仿宋_GB2312" w:cs="仿宋_GB2312" w:eastAsia="仿宋_GB2312"/>
        </w:rPr>
        <w:t>采购包最高限价（元）: 680,000.00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蔬菜、水果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480,000.00</w:t>
      </w:r>
    </w:p>
    <w:p>
      <w:pPr>
        <w:pStyle w:val="null3"/>
      </w:pPr>
      <w:r>
        <w:rPr>
          <w:rFonts w:ascii="仿宋_GB2312" w:hAnsi="仿宋_GB2312" w:cs="仿宋_GB2312" w:eastAsia="仿宋_GB2312"/>
        </w:rPr>
        <w:t>采购包最高限价（元）: 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干菜、调料、冻货类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米、面、油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540,000.00</w:t>
      </w:r>
    </w:p>
    <w:p>
      <w:pPr>
        <w:pStyle w:val="null3"/>
      </w:pPr>
      <w:r>
        <w:rPr>
          <w:rFonts w:ascii="仿宋_GB2312" w:hAnsi="仿宋_GB2312" w:cs="仿宋_GB2312" w:eastAsia="仿宋_GB2312"/>
        </w:rPr>
        <w:t>采购包最高限价（元）: 540,000.00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肉、蛋、禽类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标的名称：蔬菜、水果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459"/>
              <w:gridCol w:w="384"/>
              <w:gridCol w:w="738"/>
              <w:gridCol w:w="971"/>
            </w:tblGrid>
            <w:tr>
              <w:tc>
                <w:tcPr>
                  <w:tcW w:type="dxa" w:w="45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序号</w:t>
                  </w:r>
                </w:p>
              </w:tc>
              <w:tc>
                <w:tcPr>
                  <w:tcW w:type="dxa" w:w="3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类别</w:t>
                  </w:r>
                </w:p>
              </w:tc>
              <w:tc>
                <w:tcPr>
                  <w:tcW w:type="dxa" w:w="73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名称</w:t>
                  </w:r>
                </w:p>
              </w:tc>
              <w:tc>
                <w:tcPr>
                  <w:tcW w:type="dxa" w:w="97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参数要求</w:t>
                  </w: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384"/>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蔬菜类</w:t>
                  </w: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西红柿</w:t>
                  </w:r>
                </w:p>
              </w:tc>
              <w:tc>
                <w:tcPr>
                  <w:tcW w:type="dxa" w:w="971"/>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蔬菜类保证无黄叶、枯叶、无虫、无杂质，菜面干净、无明显泥土，码放整齐，大小基本一致，不得过熟或欠熟，须在采摘后</w:t>
                  </w:r>
                  <w:r>
                    <w:rPr>
                      <w:rFonts w:ascii="仿宋_GB2312" w:hAnsi="仿宋_GB2312" w:cs="仿宋_GB2312" w:eastAsia="仿宋_GB2312"/>
                      <w:sz w:val="24"/>
                    </w:rPr>
                    <w:t>24小时内供应，提供农药残留检测报告，且符合农残要求。</w:t>
                  </w: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西葫芦</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大葱</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小葱</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生姜</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江豆角</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土豆</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9</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圆茄子</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大白菜</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11</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青菜</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12</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菠菜</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13</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小白菜</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14</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菜花</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15</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芹菜</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16</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圆生菜</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17</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莲花白</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18</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包菜</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19</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山药</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20</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豆腐皮</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21</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白豆腐干</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23</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红豆腐干</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24</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老豆腐</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25</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嫩豆腐</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27</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广红</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28</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线椒</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29</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螺丝椒</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30</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尖椒</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31</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红美人</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32</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红椒</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33</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青椒</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34</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蒜苔</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35</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蒜苗</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36</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净笋</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37</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净蒜</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38</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新蒜</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39</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香菜</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40</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小豆芽</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41</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大豆芽</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42</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冬瓜</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43</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黄瓜</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44</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香菇</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46</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韭菜</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47</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紫甘蓝</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48</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白萝卜</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49</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麦芹</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50</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西蓝花</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51</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红萝卜</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52</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蘑菇</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53</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洋葱</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55</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莲菜</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56</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小圆面筋</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57</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米线</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58</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大头咸菜</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59</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荞面饸饹</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60</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麦面饸饹</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61</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刀削面</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63</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细棍棍面</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64</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麻食</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65</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炒面</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66</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擀面皮</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67</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面皮</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68</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米皮</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69</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牛筋面</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70</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黑凉粉</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71</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白凉粉</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72</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豆王</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73</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苦瓜</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74</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丝瓜</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75</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芥菜</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76</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油麦菜</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77</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南瓜</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78</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杏鲍菇</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79</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西芹</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80</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娃娃菜</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82</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鸡毛菜</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83</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金针菇</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84</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苦菊</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85</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小米椒</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86</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秋葵</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87</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冰草</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88</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香椿苗</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89</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广东菜心</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90</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海鲜菇</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91</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魔芋</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92</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豆筋</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93</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剪刀面</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94</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田七苗</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95</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醋粉</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96</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小黄豆尖</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97</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蟹味菇</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98</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白玉菇</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100</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奶白菜</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101</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红薯</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102</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龙须菜</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103</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三色瑾</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104</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小茴香</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105</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海鲜菇</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106</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手工面皮</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107</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广茄</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108</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叶生菜</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109</w:t>
                  </w:r>
                </w:p>
              </w:tc>
              <w:tc>
                <w:tcPr>
                  <w:tcW w:type="dxa" w:w="384"/>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水果类</w:t>
                  </w: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苹果</w:t>
                  </w:r>
                </w:p>
              </w:tc>
              <w:tc>
                <w:tcPr>
                  <w:tcW w:type="dxa" w:w="971"/>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新鲜，大小均匀</w:t>
                  </w: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110</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香蕉</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111</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橙子</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112</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乳瓜</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113</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圣女果</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114</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西瓜</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115</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甜瓜</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116</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哈密瓜</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117</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柚子</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118</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大黄木瓜</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119</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提子</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120</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葡萄</w:t>
                  </w:r>
                </w:p>
              </w:tc>
              <w:tc>
                <w:tcPr>
                  <w:tcW w:type="dxa" w:w="971"/>
                  <w:vMerge/>
                  <w:tcBorders>
                    <w:top w:val="none" w:color="000000" w:sz="4"/>
                    <w:left w:val="non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121</w:t>
                  </w:r>
                </w:p>
              </w:tc>
              <w:tc>
                <w:tcPr>
                  <w:tcW w:type="dxa" w:w="384"/>
                  <w:vMerge/>
                  <w:tcBorders>
                    <w:top w:val="none" w:color="000000" w:sz="4"/>
                    <w:left w:val="none" w:color="000000" w:sz="4"/>
                    <w:bottom w:val="single" w:color="000000" w:sz="4"/>
                    <w:right w:val="single" w:color="000000" w:sz="4"/>
                  </w:tcBorders>
                </w:tcPr>
                <w:p/>
              </w:tc>
              <w:tc>
                <w:tcPr>
                  <w:tcW w:type="dxa" w:w="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冬枣</w:t>
                  </w:r>
                </w:p>
              </w:tc>
              <w:tc>
                <w:tcPr>
                  <w:tcW w:type="dxa" w:w="971"/>
                  <w:vMerge/>
                  <w:tcBorders>
                    <w:top w:val="none" w:color="000000" w:sz="4"/>
                    <w:left w:val="none" w:color="000000" w:sz="4"/>
                    <w:bottom w:val="single" w:color="000000" w:sz="4"/>
                    <w:right w:val="single" w:color="000000" w:sz="4"/>
                  </w:tcBorders>
                </w:tcPr>
                <w:p/>
              </w:tc>
            </w:tr>
          </w:tbl>
          <w:p>
            <w:pPr>
              <w:pStyle w:val="null3"/>
              <w:jc w:val="both"/>
            </w:pPr>
            <w:r>
              <w:rPr>
                <w:rFonts w:ascii="仿宋_GB2312" w:hAnsi="仿宋_GB2312" w:cs="仿宋_GB2312" w:eastAsia="仿宋_GB2312"/>
              </w:rPr>
              <w:t>注：</w:t>
            </w:r>
          </w:p>
          <w:p>
            <w:pPr>
              <w:pStyle w:val="null3"/>
              <w:jc w:val="both"/>
            </w:pPr>
            <w:r>
              <w:rPr>
                <w:rFonts w:ascii="仿宋_GB2312" w:hAnsi="仿宋_GB2312" w:cs="仿宋_GB2312" w:eastAsia="仿宋_GB2312"/>
              </w:rPr>
              <w:t>1.</w:t>
            </w:r>
            <w:r>
              <w:rPr>
                <w:rFonts w:ascii="仿宋_GB2312" w:hAnsi="仿宋_GB2312" w:cs="仿宋_GB2312" w:eastAsia="仿宋_GB2312"/>
              </w:rPr>
              <w:t>投标产品必须符合国家相关标准和强制性规定要求，为质量合格产品。所列产品标准如国家有调整的，应以调整后的最新标准为准。产品生产（包括原料采购、加工、运输、贮存等）应满足《</w:t>
            </w:r>
            <w:r>
              <w:rPr>
                <w:rFonts w:ascii="仿宋_GB2312" w:hAnsi="仿宋_GB2312" w:cs="仿宋_GB2312" w:eastAsia="仿宋_GB2312"/>
              </w:rPr>
              <w:t>GB14881-2013</w:t>
            </w:r>
            <w:r>
              <w:rPr>
                <w:rFonts w:ascii="仿宋_GB2312" w:hAnsi="仿宋_GB2312" w:cs="仿宋_GB2312" w:eastAsia="仿宋_GB2312"/>
              </w:rPr>
              <w:t>食品安全国家标准食品生产通用卫生规范》及相应产品的标准要求。</w:t>
            </w:r>
          </w:p>
          <w:p>
            <w:pPr>
              <w:pStyle w:val="null3"/>
              <w:jc w:val="both"/>
            </w:pPr>
            <w:r>
              <w:rPr>
                <w:rFonts w:ascii="仿宋_GB2312" w:hAnsi="仿宋_GB2312" w:cs="仿宋_GB2312" w:eastAsia="仿宋_GB2312"/>
              </w:rPr>
              <w:t>蔬菜：</w:t>
            </w:r>
          </w:p>
          <w:p>
            <w:pPr>
              <w:pStyle w:val="null3"/>
              <w:jc w:val="both"/>
            </w:pPr>
            <w:r>
              <w:rPr>
                <w:rFonts w:ascii="仿宋_GB2312" w:hAnsi="仿宋_GB2312" w:cs="仿宋_GB2312" w:eastAsia="仿宋_GB2312"/>
              </w:rPr>
              <w:t>①叶菜类：鲜嫩，无枯黄叶，无花斑叶，无烂叶；基部不老化，干爽无水；无裂口损伤，表面无泥土及其它杂物，无明显机械伤和病虫害伤，无烧心焦边、腐烂等现象，无抽苔（菜心除外），无畸形、异味，结球叶菜要结球适度，花椰菜应新鲜洁白，不带叶麸，无畸形花，农药残留达标。</w:t>
            </w:r>
          </w:p>
          <w:p>
            <w:pPr>
              <w:pStyle w:val="null3"/>
              <w:jc w:val="both"/>
            </w:pPr>
            <w:r>
              <w:rPr>
                <w:rFonts w:ascii="仿宋_GB2312" w:hAnsi="仿宋_GB2312" w:cs="仿宋_GB2312" w:eastAsia="仿宋_GB2312"/>
              </w:rPr>
              <w:t>②根茎类：个体均匀，根形完整，无畸形，无泥土，无虫蛀和机械伤，无腐烂，无断折断裂，不萎蔫变软，不发芽，不变绿，不空心，不糠心，不黑心，弹击有实心感，农药残留达标。</w:t>
            </w:r>
          </w:p>
          <w:p>
            <w:pPr>
              <w:pStyle w:val="null3"/>
              <w:jc w:val="both"/>
            </w:pPr>
            <w:r>
              <w:rPr>
                <w:rFonts w:ascii="仿宋_GB2312" w:hAnsi="仿宋_GB2312" w:cs="仿宋_GB2312" w:eastAsia="仿宋_GB2312"/>
              </w:rPr>
              <w:t>③果菜类：外观良好，个体整齐，色泽正常，瓜肉坚实，表皮无损伤、无病斑或烂斑，无裂口，无折断，无压痕，无异味，不发软皱缩，农药残留达标。</w:t>
            </w:r>
          </w:p>
          <w:p>
            <w:pPr>
              <w:pStyle w:val="null3"/>
              <w:jc w:val="both"/>
            </w:pPr>
            <w:r>
              <w:rPr>
                <w:rFonts w:ascii="仿宋_GB2312" w:hAnsi="仿宋_GB2312" w:cs="仿宋_GB2312" w:eastAsia="仿宋_GB2312"/>
              </w:rPr>
              <w:t>④芽苗类：鲜嫩、无老叶、无花斑黄叶，根部切口新鲜，茎叶完整，无腐烂现象，农药残留达标。</w:t>
            </w:r>
          </w:p>
          <w:p>
            <w:pPr>
              <w:pStyle w:val="null3"/>
              <w:jc w:val="both"/>
            </w:pPr>
            <w:r>
              <w:rPr>
                <w:rFonts w:ascii="仿宋_GB2312" w:hAnsi="仿宋_GB2312" w:cs="仿宋_GB2312" w:eastAsia="仿宋_GB2312"/>
              </w:rPr>
              <w:t>⑤菌类：色泽与其品种相适应，气味正常；无腐烂及虫蛀株，无发霉，无失水枯萎，朵片完整，手轻捏不能有水渗出为宜。</w:t>
            </w:r>
          </w:p>
          <w:p>
            <w:pPr>
              <w:pStyle w:val="null3"/>
              <w:jc w:val="both"/>
            </w:pPr>
            <w:r>
              <w:rPr>
                <w:rFonts w:ascii="仿宋_GB2312" w:hAnsi="仿宋_GB2312" w:cs="仿宋_GB2312" w:eastAsia="仿宋_GB2312"/>
              </w:rPr>
              <w:t>水果：</w:t>
            </w:r>
          </w:p>
          <w:p>
            <w:pPr>
              <w:pStyle w:val="null3"/>
              <w:jc w:val="both"/>
            </w:pPr>
            <w:r>
              <w:rPr>
                <w:rFonts w:ascii="仿宋_GB2312" w:hAnsi="仿宋_GB2312" w:cs="仿宋_GB2312" w:eastAsia="仿宋_GB2312"/>
              </w:rPr>
              <w:t>果形完整，大小均匀，新鲜，正常色泽且色泽均匀，果质优良，气味正常；无腐烂及虫蛀，无发霉，无干疤，无失水枯萎，无农药残留。</w:t>
            </w:r>
          </w:p>
          <w:p>
            <w:pPr>
              <w:pStyle w:val="null3"/>
              <w:jc w:val="both"/>
            </w:pPr>
            <w:r>
              <w:rPr>
                <w:rFonts w:ascii="仿宋_GB2312" w:hAnsi="仿宋_GB2312" w:cs="仿宋_GB2312" w:eastAsia="仿宋_GB2312"/>
              </w:rPr>
              <w:t>2.</w:t>
            </w:r>
            <w:r>
              <w:rPr>
                <w:rFonts w:ascii="仿宋_GB2312" w:hAnsi="仿宋_GB2312" w:cs="仿宋_GB2312" w:eastAsia="仿宋_GB2312"/>
              </w:rPr>
              <w:t>提供自检报告或第三方报告或食用农产品承诺达标合格证，且符合农残要求。</w:t>
            </w:r>
          </w:p>
          <w:p>
            <w:pPr>
              <w:pStyle w:val="null3"/>
              <w:jc w:val="both"/>
            </w:pPr>
            <w:r>
              <w:rPr>
                <w:rFonts w:ascii="仿宋_GB2312" w:hAnsi="仿宋_GB2312" w:cs="仿宋_GB2312" w:eastAsia="仿宋_GB2312"/>
              </w:rPr>
              <w:t>3.</w:t>
            </w:r>
            <w:r>
              <w:rPr>
                <w:rFonts w:ascii="仿宋_GB2312" w:hAnsi="仿宋_GB2312" w:cs="仿宋_GB2312" w:eastAsia="仿宋_GB2312"/>
              </w:rPr>
              <w:t>产品包装符合要求，且能够提供食材源头追溯证明材料。</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提供每月采购地点的《农残抽检证明》，建立溯源台账。首次配送时，应向甲方提供所有参与配送人员有效健康证；更换人员时需另附有效健康证。</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标的名称：干菜、调料、冻货类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474"/>
              <w:gridCol w:w="1002"/>
              <w:gridCol w:w="1077"/>
            </w:tblGrid>
            <w:tr>
              <w:tc>
                <w:tcPr>
                  <w:tcW w:type="dxa" w:w="4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序号</w:t>
                  </w:r>
                </w:p>
              </w:tc>
              <w:tc>
                <w:tcPr>
                  <w:tcW w:type="dxa" w:w="100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名称</w:t>
                  </w:r>
                </w:p>
              </w:tc>
              <w:tc>
                <w:tcPr>
                  <w:tcW w:type="dxa" w:w="107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参数要求</w:t>
                  </w: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小米</w:t>
                  </w:r>
                </w:p>
              </w:tc>
              <w:tc>
                <w:tcPr>
                  <w:tcW w:type="dxa" w:w="1077"/>
                  <w:vMerge w:val="restart"/>
                  <w:tcBorders>
                    <w:top w:val="none" w:color="000000" w:sz="4"/>
                    <w:left w:val="non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须提供正规的进货凭证，包装无破损，具有生产许可证，剩余质保期不少于保质期的三分之二，并提供质检报告。符合国家质量标准，具有生产许可证，无霉变、虫絮、大小均匀。</w:t>
                  </w: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财豇豆</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玉米糁</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花生米</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安琪酵母</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双喜泡打粉</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草果</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白扣</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9</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香叶</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白芷</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11</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花椒粉</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12</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孜然粉</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13</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胡椒粉</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14</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粗辣面</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15</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魔鬼辣面</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16</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干辣段</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17</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花椒</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18</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桂皮</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19</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八角</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20</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小茴香</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21</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食盐</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22</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味精</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23</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鸡精</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24</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十三香</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26</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番茄酱</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27</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红</w:t>
                  </w:r>
                  <w:r>
                    <w:rPr>
                      <w:rFonts w:ascii="仿宋_GB2312" w:hAnsi="仿宋_GB2312" w:cs="仿宋_GB2312" w:eastAsia="仿宋_GB2312"/>
                      <w:sz w:val="24"/>
                    </w:rPr>
                    <w:t>99</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28</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白醋</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29</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香醋</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30</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紫林陈醋</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31</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蚝油</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32</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东古酱油</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33</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蒸鱼豉油</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34</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辣鲜露</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35</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麻辣鲜露</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36</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辣妹子</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37</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生粉</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38</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玉米淀粉</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39</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老干妈</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40</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老抽</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41</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生抽</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42</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白糖</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43</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香油</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44</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保鲜膜</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45</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料酒</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46</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云木耳</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47</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腐竹</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48</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粉条</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49</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碱面</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50</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豆瓣酱</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51</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剁椒酱</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52</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20#食品袋</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53</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30#食品袋</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54</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40#食品袋</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55</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海带丝</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56</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粉丝</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57</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一次性手套</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58</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老婆饼</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59</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小饼干</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60</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小麻花</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61</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桃酥</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62</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醪糟</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63</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豆浆粉</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64</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油茶</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65</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绿豆</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66</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海绵蛋糕</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67</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纸杯蛋糕</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68</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地瓜丸</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69</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纯奶</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70</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油条</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71</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红糖锅盔</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72</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酸豇豆</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74</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甜面酱</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75</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冰糖</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77</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肉丸子</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78</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咸菜丝</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79</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咸菜丁</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80</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嫩肉粉</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81</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玉米面</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82</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紫菜</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83</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大火腿</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84</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南瓜饼</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85</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黑米糕</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87</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玉米粒</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88</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青豆</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89</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黑芝麻</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90</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白芝麻</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91</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吉士粉</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92</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花椒油</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93</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酒精</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94</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酸菜</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96</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高帽子</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97</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低帽子</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98</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芝麻酱</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99</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红烧酱汁</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100</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大刀耳片</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101</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石榴汁</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102</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饺子</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103</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带鱼</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104</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腊肉</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105</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鸡排</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106</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鸡腿</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107</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鸡块</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108</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鸡脯</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109</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冻虾</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110</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鸡柳</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111</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小黄鱼</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112</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牛仔骨</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113</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藤椒鸭</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114</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樟茶鸭</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115</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水晶肴肉</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116</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盐水鹅肝</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117</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豌豆黄</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118</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羊肚丝</w:t>
                  </w:r>
                </w:p>
              </w:tc>
              <w:tc>
                <w:tcPr>
                  <w:tcW w:type="dxa" w:w="1077"/>
                  <w:vMerge/>
                  <w:tcBorders>
                    <w:top w:val="none" w:color="000000" w:sz="4"/>
                    <w:left w:val="none" w:color="000000" w:sz="4"/>
                    <w:bottom w:val="none" w:color="000000" w:sz="4"/>
                    <w:right w:val="single" w:color="000000" w:sz="4"/>
                  </w:tcBorders>
                </w:tcP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119</w:t>
                  </w:r>
                </w:p>
              </w:tc>
              <w:tc>
                <w:tcPr>
                  <w:tcW w:type="dxa" w:w="10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椒麻鸡</w:t>
                  </w:r>
                </w:p>
              </w:tc>
              <w:tc>
                <w:tcPr>
                  <w:tcW w:type="dxa" w:w="1077"/>
                  <w:vMerge/>
                  <w:tcBorders>
                    <w:top w:val="none" w:color="000000" w:sz="4"/>
                    <w:left w:val="none" w:color="000000" w:sz="4"/>
                    <w:bottom w:val="none" w:color="000000" w:sz="4"/>
                    <w:right w:val="single" w:color="000000" w:sz="4"/>
                  </w:tcBorders>
                </w:tcPr>
                <w:p/>
              </w:tc>
            </w:tr>
          </w:tbl>
          <w:p>
            <w:pPr>
              <w:pStyle w:val="null3"/>
            </w:pPr>
            <w:r>
              <w:rPr>
                <w:rFonts w:ascii="仿宋_GB2312" w:hAnsi="仿宋_GB2312" w:cs="仿宋_GB2312" w:eastAsia="仿宋_GB2312"/>
              </w:rPr>
              <w:t>注：</w:t>
            </w:r>
          </w:p>
          <w:p>
            <w:pPr>
              <w:pStyle w:val="null3"/>
            </w:pPr>
            <w:r>
              <w:rPr>
                <w:rFonts w:ascii="仿宋_GB2312" w:hAnsi="仿宋_GB2312" w:cs="仿宋_GB2312" w:eastAsia="仿宋_GB2312"/>
              </w:rPr>
              <w:t xml:space="preserve">1. </w:t>
            </w:r>
            <w:r>
              <w:rPr>
                <w:rFonts w:ascii="仿宋_GB2312" w:hAnsi="仿宋_GB2312" w:cs="仿宋_GB2312" w:eastAsia="仿宋_GB2312"/>
              </w:rPr>
              <w:t>投标产品必须符合国家相关标准和强制性规定要求，为质量合格产品。所列产品标准如国家有调整的，应以调整后的最新标准为准。产品生产（包括原料采购、加工、运输、贮存等）应满足《</w:t>
            </w:r>
            <w:r>
              <w:rPr>
                <w:rFonts w:ascii="仿宋_GB2312" w:hAnsi="仿宋_GB2312" w:cs="仿宋_GB2312" w:eastAsia="仿宋_GB2312"/>
              </w:rPr>
              <w:t>GB14881-2013</w:t>
            </w:r>
            <w:r>
              <w:rPr>
                <w:rFonts w:ascii="仿宋_GB2312" w:hAnsi="仿宋_GB2312" w:cs="仿宋_GB2312" w:eastAsia="仿宋_GB2312"/>
              </w:rPr>
              <w:t>食品安全国家标准食品生产通用卫生规范》及相应产品的标准要求。</w:t>
            </w:r>
          </w:p>
          <w:p>
            <w:pPr>
              <w:pStyle w:val="null3"/>
            </w:pPr>
            <w:r>
              <w:rPr>
                <w:rFonts w:ascii="仿宋_GB2312" w:hAnsi="仿宋_GB2312" w:cs="仿宋_GB2312" w:eastAsia="仿宋_GB2312"/>
              </w:rPr>
              <w:t>（一）预包装食品：须保证规格品种完全符合采购方要求，包装规格、口味、种类齐全。保质期在</w:t>
            </w:r>
            <w:r>
              <w:rPr>
                <w:rFonts w:ascii="仿宋_GB2312" w:hAnsi="仿宋_GB2312" w:cs="仿宋_GB2312" w:eastAsia="仿宋_GB2312"/>
              </w:rPr>
              <w:t>3</w:t>
            </w:r>
            <w:r>
              <w:rPr>
                <w:rFonts w:ascii="仿宋_GB2312" w:hAnsi="仿宋_GB2312" w:cs="仿宋_GB2312" w:eastAsia="仿宋_GB2312"/>
              </w:rPr>
              <w:t>天以内的，必须是送货当天生产的货品；保质期在</w:t>
            </w:r>
            <w:r>
              <w:rPr>
                <w:rFonts w:ascii="仿宋_GB2312" w:hAnsi="仿宋_GB2312" w:cs="仿宋_GB2312" w:eastAsia="仿宋_GB2312"/>
              </w:rPr>
              <w:t>7</w:t>
            </w:r>
            <w:r>
              <w:rPr>
                <w:rFonts w:ascii="仿宋_GB2312" w:hAnsi="仿宋_GB2312" w:cs="仿宋_GB2312" w:eastAsia="仿宋_GB2312"/>
              </w:rPr>
              <w:t>天以内的，送货日不超过生产日两日；保质期在</w:t>
            </w:r>
            <w:r>
              <w:rPr>
                <w:rFonts w:ascii="仿宋_GB2312" w:hAnsi="仿宋_GB2312" w:cs="仿宋_GB2312" w:eastAsia="仿宋_GB2312"/>
              </w:rPr>
              <w:t>6</w:t>
            </w:r>
            <w:r>
              <w:rPr>
                <w:rFonts w:ascii="仿宋_GB2312" w:hAnsi="仿宋_GB2312" w:cs="仿宋_GB2312" w:eastAsia="仿宋_GB2312"/>
              </w:rPr>
              <w:t>个月以内的，送货日至保质期到期日的天数必须大于保质期天数的三分之二；</w:t>
            </w:r>
            <w:r>
              <w:rPr>
                <w:rFonts w:ascii="仿宋_GB2312" w:hAnsi="仿宋_GB2312" w:cs="仿宋_GB2312" w:eastAsia="仿宋_GB2312"/>
              </w:rPr>
              <w:t>6</w:t>
            </w:r>
            <w:r>
              <w:rPr>
                <w:rFonts w:ascii="仿宋_GB2312" w:hAnsi="仿宋_GB2312" w:cs="仿宋_GB2312" w:eastAsia="仿宋_GB2312"/>
              </w:rPr>
              <w:t>个月以上的，送货日至保质期到期日的天数必须大于保质期天数的百分之九十。</w:t>
            </w:r>
          </w:p>
          <w:p>
            <w:pPr>
              <w:pStyle w:val="null3"/>
            </w:pPr>
            <w:r>
              <w:rPr>
                <w:rFonts w:ascii="仿宋_GB2312" w:hAnsi="仿宋_GB2312" w:cs="仿宋_GB2312" w:eastAsia="仿宋_GB2312"/>
              </w:rPr>
              <w:t>（二）调味品原料应为非转基因产品，独立定型包装。调味品产品质量标准应符合</w:t>
            </w:r>
            <w:r>
              <w:rPr>
                <w:rFonts w:ascii="仿宋_GB2312" w:hAnsi="仿宋_GB2312" w:cs="仿宋_GB2312" w:eastAsia="仿宋_GB2312"/>
              </w:rPr>
              <w:t xml:space="preserve">GB 18186-2000 </w:t>
            </w:r>
            <w:r>
              <w:rPr>
                <w:rFonts w:ascii="仿宋_GB2312" w:hAnsi="仿宋_GB2312" w:cs="仿宋_GB2312" w:eastAsia="仿宋_GB2312"/>
              </w:rPr>
              <w:t>酿造酱油、</w:t>
            </w:r>
            <w:r>
              <w:rPr>
                <w:rFonts w:ascii="仿宋_GB2312" w:hAnsi="仿宋_GB2312" w:cs="仿宋_GB2312" w:eastAsia="仿宋_GB2312"/>
              </w:rPr>
              <w:t xml:space="preserve">GB 18187-2000 </w:t>
            </w:r>
            <w:r>
              <w:rPr>
                <w:rFonts w:ascii="仿宋_GB2312" w:hAnsi="仿宋_GB2312" w:cs="仿宋_GB2312" w:eastAsia="仿宋_GB2312"/>
              </w:rPr>
              <w:t>酿造食醋、</w:t>
            </w:r>
            <w:r>
              <w:rPr>
                <w:rFonts w:ascii="仿宋_GB2312" w:hAnsi="仿宋_GB2312" w:cs="仿宋_GB2312" w:eastAsia="仿宋_GB2312"/>
              </w:rPr>
              <w:t xml:space="preserve">GB 2721-2015 </w:t>
            </w:r>
            <w:r>
              <w:rPr>
                <w:rFonts w:ascii="仿宋_GB2312" w:hAnsi="仿宋_GB2312" w:cs="仿宋_GB2312" w:eastAsia="仿宋_GB2312"/>
              </w:rPr>
              <w:t>食品安全国家标准食用盐、</w:t>
            </w:r>
            <w:r>
              <w:rPr>
                <w:rFonts w:ascii="仿宋_GB2312" w:hAnsi="仿宋_GB2312" w:cs="仿宋_GB2312" w:eastAsia="仿宋_GB2312"/>
              </w:rPr>
              <w:t xml:space="preserve">QBT 4510-2013 </w:t>
            </w:r>
            <w:r>
              <w:rPr>
                <w:rFonts w:ascii="仿宋_GB2312" w:hAnsi="仿宋_GB2312" w:cs="仿宋_GB2312" w:eastAsia="仿宋_GB2312"/>
              </w:rPr>
              <w:t>食盐小包装制作技术规范等国家相关行业标准和强制性规定。产品包装应符合国家食品包装的要求；包装完整、无渗漏、无破损；应有</w:t>
            </w:r>
            <w:r>
              <w:rPr>
                <w:rFonts w:ascii="仿宋_GB2312" w:hAnsi="仿宋_GB2312" w:cs="仿宋_GB2312" w:eastAsia="仿宋_GB2312"/>
              </w:rPr>
              <w:t>SC</w:t>
            </w:r>
            <w:r>
              <w:rPr>
                <w:rFonts w:ascii="仿宋_GB2312" w:hAnsi="仿宋_GB2312" w:cs="仿宋_GB2312" w:eastAsia="仿宋_GB2312"/>
              </w:rPr>
              <w:t>食品安全认证或有食品生产许可证编号；包装上应注明产品名称、配料表、质量等级、产地、生产日期、保质期、产品标准。</w:t>
            </w:r>
          </w:p>
          <w:p>
            <w:pPr>
              <w:pStyle w:val="null3"/>
            </w:pPr>
            <w:r>
              <w:rPr>
                <w:rFonts w:ascii="仿宋_GB2312" w:hAnsi="仿宋_GB2312" w:cs="仿宋_GB2312" w:eastAsia="仿宋_GB2312"/>
              </w:rPr>
              <w:t>（三）散装类食品：应提供原包装的包装产品信息，包括但不限于产品名称、配料表、质量等级、产地、生产日期、保质期、产品标准等；</w:t>
            </w:r>
          </w:p>
          <w:p>
            <w:pPr>
              <w:pStyle w:val="null3"/>
            </w:pPr>
            <w:r>
              <w:rPr>
                <w:rFonts w:ascii="仿宋_GB2312" w:hAnsi="仿宋_GB2312" w:cs="仿宋_GB2312" w:eastAsia="仿宋_GB2312"/>
              </w:rPr>
              <w:t>（四）不得含有二氧化硫和非法使用添加剂；重金属元素、农药残留不得超标，须优质、无感官异常。必须符合国家《食品安全法》和国务院《关于加强食品安全监督管理的特别规定》。</w:t>
            </w:r>
          </w:p>
          <w:p>
            <w:pPr>
              <w:pStyle w:val="null3"/>
            </w:pPr>
            <w:r>
              <w:rPr>
                <w:rFonts w:ascii="仿宋_GB2312" w:hAnsi="仿宋_GB2312" w:cs="仿宋_GB2312" w:eastAsia="仿宋_GB2312"/>
              </w:rPr>
              <w:t>（五）干货制品的质量基本标准要求符合国家相关行业标准，干爽，不霉烂、整齐、均匀、完整，无虫蛀、无杂质，保持应有的色泽。确保产品质量稳定，保证营养丰富、绿色安全、易存放、食用方便，保质期长。从加工、包装、运输、贮存到销售全部符合国家规定标准。。</w:t>
            </w:r>
          </w:p>
          <w:p>
            <w:pPr>
              <w:pStyle w:val="null3"/>
            </w:pPr>
            <w:r>
              <w:rPr>
                <w:rFonts w:ascii="仿宋_GB2312" w:hAnsi="仿宋_GB2312" w:cs="仿宋_GB2312" w:eastAsia="仿宋_GB2312"/>
              </w:rPr>
              <w:t>2.</w:t>
            </w:r>
            <w:r>
              <w:rPr>
                <w:rFonts w:ascii="仿宋_GB2312" w:hAnsi="仿宋_GB2312" w:cs="仿宋_GB2312" w:eastAsia="仿宋_GB2312"/>
              </w:rPr>
              <w:t>（一）生产企业的资质证明（首次供应时提供）：《营业执照》、《预包装食品生产许可证》《产品质量检验报告》。</w:t>
            </w:r>
          </w:p>
          <w:p>
            <w:pPr>
              <w:pStyle w:val="null3"/>
            </w:pPr>
            <w:r>
              <w:rPr>
                <w:rFonts w:ascii="仿宋_GB2312" w:hAnsi="仿宋_GB2312" w:cs="仿宋_GB2312" w:eastAsia="仿宋_GB2312"/>
                <w:sz w:val="21"/>
              </w:rPr>
              <w:t>（二）首次配送时，应向甲方提供所有参与配送人员有效健康证；更换人员时需另附有效健康证。</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标的名称：米、面、油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20"/>
              <w:tblBorders>
                <w:top w:val="none" w:color="000000" w:sz="4"/>
                <w:left w:val="none" w:color="000000" w:sz="4"/>
                <w:bottom w:val="none" w:color="000000" w:sz="4"/>
                <w:right w:val="none" w:color="000000" w:sz="4"/>
                <w:insideH w:val="none"/>
                <w:insideV w:val="none"/>
              </w:tblBorders>
            </w:tblPr>
            <w:tblGrid>
              <w:gridCol w:w="1077"/>
              <w:gridCol w:w="1476"/>
            </w:tblGrid>
            <w:tr>
              <w:tc>
                <w:tcPr>
                  <w:tcW w:type="dxa" w:w="10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14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品名</w:t>
                  </w:r>
                </w:p>
              </w:tc>
            </w:tr>
            <w:tr>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面粉</w:t>
                  </w:r>
                </w:p>
              </w:tc>
            </w:tr>
            <w:tr>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大米</w:t>
                  </w:r>
                </w:p>
              </w:tc>
            </w:tr>
            <w:tr>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大豆油</w:t>
                  </w:r>
                </w:p>
              </w:tc>
            </w:tr>
            <w:tr>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菜籽油</w:t>
                  </w:r>
                </w:p>
              </w:tc>
            </w:tr>
          </w:tbl>
          <w:p>
            <w:pPr>
              <w:pStyle w:val="null3"/>
            </w:pPr>
            <w:r>
              <w:rPr>
                <w:rFonts w:ascii="仿宋_GB2312" w:hAnsi="仿宋_GB2312" w:cs="仿宋_GB2312" w:eastAsia="仿宋_GB2312"/>
              </w:rPr>
              <w:t>注：</w:t>
            </w:r>
          </w:p>
          <w:p>
            <w:pPr>
              <w:pStyle w:val="null3"/>
            </w:pPr>
            <w:r>
              <w:rPr>
                <w:rFonts w:ascii="仿宋_GB2312" w:hAnsi="仿宋_GB2312" w:cs="仿宋_GB2312" w:eastAsia="仿宋_GB2312"/>
              </w:rPr>
              <w:t>1.</w:t>
            </w:r>
            <w:r>
              <w:rPr>
                <w:rFonts w:ascii="仿宋_GB2312" w:hAnsi="仿宋_GB2312" w:cs="仿宋_GB2312" w:eastAsia="仿宋_GB2312"/>
              </w:rPr>
              <w:t>投标产品必须符合国家相关标准和强制性规定要求，为质量合格产品。所列产品标准如国家有调整的，应以调整后的最新标准为准。产品生产（包括原料采购、加工、运输、贮存等）应满足《</w:t>
            </w:r>
            <w:r>
              <w:rPr>
                <w:rFonts w:ascii="仿宋_GB2312" w:hAnsi="仿宋_GB2312" w:cs="仿宋_GB2312" w:eastAsia="仿宋_GB2312"/>
              </w:rPr>
              <w:t>GB14881-2013</w:t>
            </w:r>
            <w:r>
              <w:rPr>
                <w:rFonts w:ascii="仿宋_GB2312" w:hAnsi="仿宋_GB2312" w:cs="仿宋_GB2312" w:eastAsia="仿宋_GB2312"/>
              </w:rPr>
              <w:t>食品安全国家标准食品生产通用卫生规范》及相应产品的标准要求。</w:t>
            </w:r>
          </w:p>
          <w:p>
            <w:pPr>
              <w:pStyle w:val="null3"/>
            </w:pPr>
            <w:r>
              <w:rPr>
                <w:rFonts w:ascii="仿宋_GB2312" w:hAnsi="仿宋_GB2312" w:cs="仿宋_GB2312" w:eastAsia="仿宋_GB2312"/>
              </w:rPr>
              <w:t>（一）面粉及面制品类：符合国家标准（如</w:t>
            </w:r>
            <w:r>
              <w:rPr>
                <w:rFonts w:ascii="仿宋_GB2312" w:hAnsi="仿宋_GB2312" w:cs="仿宋_GB2312" w:eastAsia="仿宋_GB2312"/>
              </w:rPr>
              <w:t>GB2760</w:t>
            </w:r>
            <w:r>
              <w:rPr>
                <w:rFonts w:ascii="仿宋_GB2312" w:hAnsi="仿宋_GB2312" w:cs="仿宋_GB2312" w:eastAsia="仿宋_GB2312"/>
              </w:rPr>
              <w:t>、</w:t>
            </w:r>
            <w:r>
              <w:rPr>
                <w:rFonts w:ascii="仿宋_GB2312" w:hAnsi="仿宋_GB2312" w:cs="仿宋_GB2312" w:eastAsia="仿宋_GB2312"/>
              </w:rPr>
              <w:t>GB1355</w:t>
            </w:r>
            <w:r>
              <w:rPr>
                <w:rFonts w:ascii="仿宋_GB2312" w:hAnsi="仿宋_GB2312" w:cs="仿宋_GB2312" w:eastAsia="仿宋_GB2312"/>
              </w:rPr>
              <w:t>等）和国家卫生、安全标准要求。灰分＜</w:t>
            </w:r>
            <w:r>
              <w:rPr>
                <w:rFonts w:ascii="仿宋_GB2312" w:hAnsi="仿宋_GB2312" w:cs="仿宋_GB2312" w:eastAsia="仿宋_GB2312"/>
              </w:rPr>
              <w:t>0.7%</w:t>
            </w:r>
            <w:r>
              <w:rPr>
                <w:rFonts w:ascii="仿宋_GB2312" w:hAnsi="仿宋_GB2312" w:cs="仿宋_GB2312" w:eastAsia="仿宋_GB2312"/>
              </w:rPr>
              <w:t>；粗细度：全部通过</w:t>
            </w:r>
            <w:r>
              <w:rPr>
                <w:rFonts w:ascii="仿宋_GB2312" w:hAnsi="仿宋_GB2312" w:cs="仿宋_GB2312" w:eastAsia="仿宋_GB2312"/>
              </w:rPr>
              <w:t>CB36</w:t>
            </w:r>
            <w:r>
              <w:rPr>
                <w:rFonts w:ascii="仿宋_GB2312" w:hAnsi="仿宋_GB2312" w:cs="仿宋_GB2312" w:eastAsia="仿宋_GB2312"/>
              </w:rPr>
              <w:t>号筛，留存在</w:t>
            </w:r>
            <w:r>
              <w:rPr>
                <w:rFonts w:ascii="仿宋_GB2312" w:hAnsi="仿宋_GB2312" w:cs="仿宋_GB2312" w:eastAsia="仿宋_GB2312"/>
              </w:rPr>
              <w:t>CB42</w:t>
            </w:r>
            <w:r>
              <w:rPr>
                <w:rFonts w:ascii="仿宋_GB2312" w:hAnsi="仿宋_GB2312" w:cs="仿宋_GB2312" w:eastAsia="仿宋_GB2312"/>
              </w:rPr>
              <w:t>号筛的不超过</w:t>
            </w:r>
            <w:r>
              <w:rPr>
                <w:rFonts w:ascii="仿宋_GB2312" w:hAnsi="仿宋_GB2312" w:cs="仿宋_GB2312" w:eastAsia="仿宋_GB2312"/>
              </w:rPr>
              <w:t>10%</w:t>
            </w:r>
            <w:r>
              <w:rPr>
                <w:rFonts w:ascii="仿宋_GB2312" w:hAnsi="仿宋_GB2312" w:cs="仿宋_GB2312" w:eastAsia="仿宋_GB2312"/>
              </w:rPr>
              <w:t>；面筋质＞</w:t>
            </w:r>
            <w:r>
              <w:rPr>
                <w:rFonts w:ascii="仿宋_GB2312" w:hAnsi="仿宋_GB2312" w:cs="仿宋_GB2312" w:eastAsia="仿宋_GB2312"/>
              </w:rPr>
              <w:t>26%</w:t>
            </w:r>
            <w:r>
              <w:rPr>
                <w:rFonts w:ascii="仿宋_GB2312" w:hAnsi="仿宋_GB2312" w:cs="仿宋_GB2312" w:eastAsia="仿宋_GB2312"/>
              </w:rPr>
              <w:t>；含砂量＜</w:t>
            </w:r>
            <w:r>
              <w:rPr>
                <w:rFonts w:ascii="仿宋_GB2312" w:hAnsi="仿宋_GB2312" w:cs="仿宋_GB2312" w:eastAsia="仿宋_GB2312"/>
              </w:rPr>
              <w:t>0.02%</w:t>
            </w:r>
            <w:r>
              <w:rPr>
                <w:rFonts w:ascii="仿宋_GB2312" w:hAnsi="仿宋_GB2312" w:cs="仿宋_GB2312" w:eastAsia="仿宋_GB2312"/>
              </w:rPr>
              <w:t>；磁性金属物＜</w:t>
            </w:r>
            <w:r>
              <w:rPr>
                <w:rFonts w:ascii="仿宋_GB2312" w:hAnsi="仿宋_GB2312" w:cs="仿宋_GB2312" w:eastAsia="仿宋_GB2312"/>
              </w:rPr>
              <w:t>0.003g</w:t>
            </w:r>
            <w:r>
              <w:rPr>
                <w:rFonts w:ascii="仿宋_GB2312" w:hAnsi="仿宋_GB2312" w:cs="仿宋_GB2312" w:eastAsia="仿宋_GB2312"/>
              </w:rPr>
              <w:t>∕</w:t>
            </w:r>
            <w:r>
              <w:rPr>
                <w:rFonts w:ascii="仿宋_GB2312" w:hAnsi="仿宋_GB2312" w:cs="仿宋_GB2312" w:eastAsia="仿宋_GB2312"/>
              </w:rPr>
              <w:t>kg</w:t>
            </w:r>
            <w:r>
              <w:rPr>
                <w:rFonts w:ascii="仿宋_GB2312" w:hAnsi="仿宋_GB2312" w:cs="仿宋_GB2312" w:eastAsia="仿宋_GB2312"/>
              </w:rPr>
              <w:t>；水分</w:t>
            </w:r>
            <w:r>
              <w:rPr>
                <w:rFonts w:ascii="仿宋_GB2312" w:hAnsi="仿宋_GB2312" w:cs="仿宋_GB2312" w:eastAsia="仿宋_GB2312"/>
              </w:rPr>
              <w:t>≤</w:t>
            </w:r>
            <w:r>
              <w:rPr>
                <w:rFonts w:ascii="仿宋_GB2312" w:hAnsi="仿宋_GB2312" w:cs="仿宋_GB2312" w:eastAsia="仿宋_GB2312"/>
              </w:rPr>
              <w:t>14%</w:t>
            </w:r>
            <w:r>
              <w:rPr>
                <w:rFonts w:ascii="仿宋_GB2312" w:hAnsi="仿宋_GB2312" w:cs="仿宋_GB2312" w:eastAsia="仿宋_GB2312"/>
              </w:rPr>
              <w:t>。脂肪酸值＜</w:t>
            </w:r>
            <w:r>
              <w:rPr>
                <w:rFonts w:ascii="仿宋_GB2312" w:hAnsi="仿宋_GB2312" w:cs="仿宋_GB2312" w:eastAsia="仿宋_GB2312"/>
              </w:rPr>
              <w:t>80</w:t>
            </w:r>
            <w:r>
              <w:rPr>
                <w:rFonts w:ascii="仿宋_GB2312" w:hAnsi="仿宋_GB2312" w:cs="仿宋_GB2312" w:eastAsia="仿宋_GB2312"/>
              </w:rPr>
              <w:t>；具有正常的色，香味，无结块、无受潮、无霉变、无虫害；须独立包装，包装上须带有生产日期、保质期及国家生产许可信息标识；</w:t>
            </w:r>
          </w:p>
          <w:p>
            <w:pPr>
              <w:pStyle w:val="null3"/>
            </w:pPr>
            <w:r>
              <w:rPr>
                <w:rFonts w:ascii="仿宋_GB2312" w:hAnsi="仿宋_GB2312" w:cs="仿宋_GB2312" w:eastAsia="仿宋_GB2312"/>
              </w:rPr>
              <w:t>（二）大米类：须符合</w:t>
            </w:r>
            <w:r>
              <w:rPr>
                <w:rFonts w:ascii="仿宋_GB2312" w:hAnsi="仿宋_GB2312" w:cs="仿宋_GB2312" w:eastAsia="仿宋_GB2312"/>
              </w:rPr>
              <w:t xml:space="preserve">GB/T1354 </w:t>
            </w:r>
            <w:r>
              <w:rPr>
                <w:rFonts w:ascii="仿宋_GB2312" w:hAnsi="仿宋_GB2312" w:cs="仿宋_GB2312" w:eastAsia="仿宋_GB2312"/>
              </w:rPr>
              <w:t>。加工精度：背沟无皮，或有皮不成线，米胚和米面皮层去净的占</w:t>
            </w:r>
            <w:r>
              <w:rPr>
                <w:rFonts w:ascii="仿宋_GB2312" w:hAnsi="仿宋_GB2312" w:cs="仿宋_GB2312" w:eastAsia="仿宋_GB2312"/>
              </w:rPr>
              <w:t>90%</w:t>
            </w:r>
            <w:r>
              <w:rPr>
                <w:rFonts w:ascii="仿宋_GB2312" w:hAnsi="仿宋_GB2312" w:cs="仿宋_GB2312" w:eastAsia="仿宋_GB2312"/>
              </w:rPr>
              <w:t>以上；碎米总量：籼米</w:t>
            </w:r>
            <w:r>
              <w:rPr>
                <w:rFonts w:ascii="仿宋_GB2312" w:hAnsi="仿宋_GB2312" w:cs="仿宋_GB2312" w:eastAsia="仿宋_GB2312"/>
              </w:rPr>
              <w:t>≤</w:t>
            </w:r>
            <w:r>
              <w:rPr>
                <w:rFonts w:ascii="仿宋_GB2312" w:hAnsi="仿宋_GB2312" w:cs="仿宋_GB2312" w:eastAsia="仿宋_GB2312"/>
              </w:rPr>
              <w:t>15%</w:t>
            </w:r>
            <w:r>
              <w:rPr>
                <w:rFonts w:ascii="仿宋_GB2312" w:hAnsi="仿宋_GB2312" w:cs="仿宋_GB2312" w:eastAsia="仿宋_GB2312"/>
              </w:rPr>
              <w:t>（其中小碎米</w:t>
            </w: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），粳米</w:t>
            </w:r>
            <w:r>
              <w:rPr>
                <w:rFonts w:ascii="仿宋_GB2312" w:hAnsi="仿宋_GB2312" w:cs="仿宋_GB2312" w:eastAsia="仿宋_GB2312"/>
              </w:rPr>
              <w:t>≤</w:t>
            </w:r>
            <w:r>
              <w:rPr>
                <w:rFonts w:ascii="仿宋_GB2312" w:hAnsi="仿宋_GB2312" w:cs="仿宋_GB2312" w:eastAsia="仿宋_GB2312"/>
              </w:rPr>
              <w:t>7.5%</w:t>
            </w:r>
            <w:r>
              <w:rPr>
                <w:rFonts w:ascii="仿宋_GB2312" w:hAnsi="仿宋_GB2312" w:cs="仿宋_GB2312" w:eastAsia="仿宋_GB2312"/>
              </w:rPr>
              <w:t>（其中小碎米</w:t>
            </w:r>
            <w:r>
              <w:rPr>
                <w:rFonts w:ascii="仿宋_GB2312" w:hAnsi="仿宋_GB2312" w:cs="仿宋_GB2312" w:eastAsia="仿宋_GB2312"/>
              </w:rPr>
              <w:t>≤</w:t>
            </w:r>
            <w:r>
              <w:rPr>
                <w:rFonts w:ascii="仿宋_GB2312" w:hAnsi="仿宋_GB2312" w:cs="仿宋_GB2312" w:eastAsia="仿宋_GB2312"/>
              </w:rPr>
              <w:t>0.5%</w:t>
            </w:r>
            <w:r>
              <w:rPr>
                <w:rFonts w:ascii="仿宋_GB2312" w:hAnsi="仿宋_GB2312" w:cs="仿宋_GB2312" w:eastAsia="仿宋_GB2312"/>
              </w:rPr>
              <w:t>）；不完整米粒：</w:t>
            </w: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；杂质最大限量：</w:t>
            </w:r>
            <w:r>
              <w:rPr>
                <w:rFonts w:ascii="仿宋_GB2312" w:hAnsi="仿宋_GB2312" w:cs="仿宋_GB2312" w:eastAsia="仿宋_GB2312"/>
              </w:rPr>
              <w:t>≤</w:t>
            </w:r>
            <w:r>
              <w:rPr>
                <w:rFonts w:ascii="仿宋_GB2312" w:hAnsi="仿宋_GB2312" w:cs="仿宋_GB2312" w:eastAsia="仿宋_GB2312"/>
              </w:rPr>
              <w:t>0.25%</w:t>
            </w:r>
            <w:r>
              <w:rPr>
                <w:rFonts w:ascii="仿宋_GB2312" w:hAnsi="仿宋_GB2312" w:cs="仿宋_GB2312" w:eastAsia="仿宋_GB2312"/>
              </w:rPr>
              <w:t>；水分：籼米</w:t>
            </w:r>
            <w:r>
              <w:rPr>
                <w:rFonts w:ascii="仿宋_GB2312" w:hAnsi="仿宋_GB2312" w:cs="仿宋_GB2312" w:eastAsia="仿宋_GB2312"/>
              </w:rPr>
              <w:t>≤</w:t>
            </w:r>
            <w:r>
              <w:rPr>
                <w:rFonts w:ascii="仿宋_GB2312" w:hAnsi="仿宋_GB2312" w:cs="仿宋_GB2312" w:eastAsia="仿宋_GB2312"/>
              </w:rPr>
              <w:t>14.5%</w:t>
            </w:r>
            <w:r>
              <w:rPr>
                <w:rFonts w:ascii="仿宋_GB2312" w:hAnsi="仿宋_GB2312" w:cs="仿宋_GB2312" w:eastAsia="仿宋_GB2312"/>
              </w:rPr>
              <w:t>，粳米</w:t>
            </w:r>
            <w:r>
              <w:rPr>
                <w:rFonts w:ascii="仿宋_GB2312" w:hAnsi="仿宋_GB2312" w:cs="仿宋_GB2312" w:eastAsia="仿宋_GB2312"/>
              </w:rPr>
              <w:t>≤</w:t>
            </w:r>
            <w:r>
              <w:rPr>
                <w:rFonts w:ascii="仿宋_GB2312" w:hAnsi="仿宋_GB2312" w:cs="仿宋_GB2312" w:eastAsia="仿宋_GB2312"/>
              </w:rPr>
              <w:t>15.5%</w:t>
            </w:r>
            <w:r>
              <w:rPr>
                <w:rFonts w:ascii="仿宋_GB2312" w:hAnsi="仿宋_GB2312" w:cs="仿宋_GB2312" w:eastAsia="仿宋_GB2312"/>
              </w:rPr>
              <w:t>；黄米粒：</w:t>
            </w: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；具有正常的色，香味，无结块、无受潮、无霉变、无虫害。须独立包装，包装上须带有生产日期、保质期及国家生产许可信息标识，不得采购散装大米。</w:t>
            </w:r>
          </w:p>
          <w:p>
            <w:pPr>
              <w:pStyle w:val="null3"/>
            </w:pPr>
            <w:r>
              <w:rPr>
                <w:rFonts w:ascii="仿宋_GB2312" w:hAnsi="仿宋_GB2312" w:cs="仿宋_GB2312" w:eastAsia="仿宋_GB2312"/>
              </w:rPr>
              <w:t>（三）食用油类：非转基因压榨，符合食用植物油国家标准（如</w:t>
            </w:r>
            <w:r>
              <w:rPr>
                <w:rFonts w:ascii="仿宋_GB2312" w:hAnsi="仿宋_GB2312" w:cs="仿宋_GB2312" w:eastAsia="仿宋_GB2312"/>
              </w:rPr>
              <w:t>GB 2716</w:t>
            </w:r>
            <w:r>
              <w:rPr>
                <w:rFonts w:ascii="仿宋_GB2312" w:hAnsi="仿宋_GB2312" w:cs="仿宋_GB2312" w:eastAsia="仿宋_GB2312"/>
              </w:rPr>
              <w:t>、</w:t>
            </w:r>
            <w:r>
              <w:rPr>
                <w:rFonts w:ascii="仿宋_GB2312" w:hAnsi="仿宋_GB2312" w:cs="仿宋_GB2312" w:eastAsia="仿宋_GB2312"/>
              </w:rPr>
              <w:t>GB /T1536</w:t>
            </w:r>
            <w:r>
              <w:rPr>
                <w:rFonts w:ascii="仿宋_GB2312" w:hAnsi="仿宋_GB2312" w:cs="仿宋_GB2312" w:eastAsia="仿宋_GB2312"/>
              </w:rPr>
              <w:t>、</w:t>
            </w:r>
            <w:r>
              <w:rPr>
                <w:rFonts w:ascii="仿宋_GB2312" w:hAnsi="仿宋_GB2312" w:cs="仿宋_GB2312" w:eastAsia="仿宋_GB2312"/>
              </w:rPr>
              <w:t>GB 19641</w:t>
            </w:r>
            <w:r>
              <w:rPr>
                <w:rFonts w:ascii="仿宋_GB2312" w:hAnsi="仿宋_GB2312" w:cs="仿宋_GB2312" w:eastAsia="仿宋_GB2312"/>
              </w:rPr>
              <w:t>等</w:t>
            </w:r>
            <w:r>
              <w:rPr>
                <w:rFonts w:ascii="仿宋_GB2312" w:hAnsi="仿宋_GB2312" w:cs="仿宋_GB2312" w:eastAsia="仿宋_GB2312"/>
              </w:rPr>
              <w:t>)</w:t>
            </w:r>
            <w:r>
              <w:rPr>
                <w:rFonts w:ascii="仿宋_GB2312" w:hAnsi="仿宋_GB2312" w:cs="仿宋_GB2312" w:eastAsia="仿宋_GB2312"/>
              </w:rPr>
              <w:t>要求和国家卫生、安全标准要求；色泽（罗维朋比色槽</w:t>
            </w:r>
            <w:r>
              <w:rPr>
                <w:rFonts w:ascii="仿宋_GB2312" w:hAnsi="仿宋_GB2312" w:cs="仿宋_GB2312" w:eastAsia="仿宋_GB2312"/>
              </w:rPr>
              <w:t>133.4mm</w:t>
            </w:r>
            <w:r>
              <w:rPr>
                <w:rFonts w:ascii="仿宋_GB2312" w:hAnsi="仿宋_GB2312" w:cs="仿宋_GB2312" w:eastAsia="仿宋_GB2312"/>
              </w:rPr>
              <w:t>）：黄</w:t>
            </w:r>
            <w:r>
              <w:rPr>
                <w:rFonts w:ascii="仿宋_GB2312" w:hAnsi="仿宋_GB2312" w:cs="仿宋_GB2312" w:eastAsia="仿宋_GB2312"/>
              </w:rPr>
              <w:t>≤</w:t>
            </w:r>
            <w:r>
              <w:rPr>
                <w:rFonts w:ascii="仿宋_GB2312" w:hAnsi="仿宋_GB2312" w:cs="仿宋_GB2312" w:eastAsia="仿宋_GB2312"/>
              </w:rPr>
              <w:t>35</w:t>
            </w:r>
            <w:r>
              <w:rPr>
                <w:rFonts w:ascii="仿宋_GB2312" w:hAnsi="仿宋_GB2312" w:cs="仿宋_GB2312" w:eastAsia="仿宋_GB2312"/>
              </w:rPr>
              <w:t>、红</w:t>
            </w:r>
            <w:r>
              <w:rPr>
                <w:rFonts w:ascii="仿宋_GB2312" w:hAnsi="仿宋_GB2312" w:cs="仿宋_GB2312" w:eastAsia="仿宋_GB2312"/>
              </w:rPr>
              <w:t>≤</w:t>
            </w:r>
            <w:r>
              <w:rPr>
                <w:rFonts w:ascii="仿宋_GB2312" w:hAnsi="仿宋_GB2312" w:cs="仿宋_GB2312" w:eastAsia="仿宋_GB2312"/>
              </w:rPr>
              <w:t>7.0</w:t>
            </w:r>
            <w:r>
              <w:rPr>
                <w:rFonts w:ascii="仿宋_GB2312" w:hAnsi="仿宋_GB2312" w:cs="仿宋_GB2312" w:eastAsia="仿宋_GB2312"/>
              </w:rPr>
              <w:t>；气味、滋味：具有食用油固有的气味和滋味，无异味；水分及挥发物：</w:t>
            </w:r>
            <w:r>
              <w:rPr>
                <w:rFonts w:ascii="仿宋_GB2312" w:hAnsi="仿宋_GB2312" w:cs="仿宋_GB2312" w:eastAsia="仿宋_GB2312"/>
              </w:rPr>
              <w:t>≤</w:t>
            </w:r>
            <w:r>
              <w:rPr>
                <w:rFonts w:ascii="仿宋_GB2312" w:hAnsi="仿宋_GB2312" w:cs="仿宋_GB2312" w:eastAsia="仿宋_GB2312"/>
              </w:rPr>
              <w:t>0.2%</w:t>
            </w:r>
            <w:r>
              <w:rPr>
                <w:rFonts w:ascii="仿宋_GB2312" w:hAnsi="仿宋_GB2312" w:cs="仿宋_GB2312" w:eastAsia="仿宋_GB2312"/>
              </w:rPr>
              <w:t>；不溶性杂质：</w:t>
            </w:r>
            <w:r>
              <w:rPr>
                <w:rFonts w:ascii="仿宋_GB2312" w:hAnsi="仿宋_GB2312" w:cs="仿宋_GB2312" w:eastAsia="仿宋_GB2312"/>
              </w:rPr>
              <w:t>≤</w:t>
            </w:r>
            <w:r>
              <w:rPr>
                <w:rFonts w:ascii="仿宋_GB2312" w:hAnsi="仿宋_GB2312" w:cs="仿宋_GB2312" w:eastAsia="仿宋_GB2312"/>
              </w:rPr>
              <w:t>0.05%</w:t>
            </w:r>
            <w:r>
              <w:rPr>
                <w:rFonts w:ascii="仿宋_GB2312" w:hAnsi="仿宋_GB2312" w:cs="仿宋_GB2312" w:eastAsia="仿宋_GB2312"/>
              </w:rPr>
              <w:t>；酸值：</w:t>
            </w:r>
            <w:r>
              <w:rPr>
                <w:rFonts w:ascii="仿宋_GB2312" w:hAnsi="仿宋_GB2312" w:cs="仿宋_GB2312" w:eastAsia="仿宋_GB2312"/>
              </w:rPr>
              <w:t>≤</w:t>
            </w:r>
            <w:r>
              <w:rPr>
                <w:rFonts w:ascii="仿宋_GB2312" w:hAnsi="仿宋_GB2312" w:cs="仿宋_GB2312" w:eastAsia="仿宋_GB2312"/>
              </w:rPr>
              <w:t>3mg</w:t>
            </w:r>
            <w:r>
              <w:rPr>
                <w:rFonts w:ascii="仿宋_GB2312" w:hAnsi="仿宋_GB2312" w:cs="仿宋_GB2312" w:eastAsia="仿宋_GB2312"/>
              </w:rPr>
              <w:t>∕</w:t>
            </w:r>
            <w:r>
              <w:rPr>
                <w:rFonts w:ascii="仿宋_GB2312" w:hAnsi="仿宋_GB2312" w:cs="仿宋_GB2312" w:eastAsia="仿宋_GB2312"/>
              </w:rPr>
              <w:t>g</w:t>
            </w:r>
            <w:r>
              <w:rPr>
                <w:rFonts w:ascii="仿宋_GB2312" w:hAnsi="仿宋_GB2312" w:cs="仿宋_GB2312" w:eastAsia="仿宋_GB2312"/>
              </w:rPr>
              <w:t>；过氧化值：</w:t>
            </w:r>
            <w:r>
              <w:rPr>
                <w:rFonts w:ascii="仿宋_GB2312" w:hAnsi="仿宋_GB2312" w:cs="仿宋_GB2312" w:eastAsia="仿宋_GB2312"/>
              </w:rPr>
              <w:t>6mmol</w:t>
            </w:r>
            <w:r>
              <w:rPr>
                <w:rFonts w:ascii="仿宋_GB2312" w:hAnsi="仿宋_GB2312" w:cs="仿宋_GB2312" w:eastAsia="仿宋_GB2312"/>
              </w:rPr>
              <w:t>∕</w:t>
            </w:r>
            <w:r>
              <w:rPr>
                <w:rFonts w:ascii="仿宋_GB2312" w:hAnsi="仿宋_GB2312" w:cs="仿宋_GB2312" w:eastAsia="仿宋_GB2312"/>
              </w:rPr>
              <w:t>kg</w:t>
            </w:r>
            <w:r>
              <w:rPr>
                <w:rFonts w:ascii="仿宋_GB2312" w:hAnsi="仿宋_GB2312" w:cs="仿宋_GB2312" w:eastAsia="仿宋_GB2312"/>
              </w:rPr>
              <w:t>；加热实验（</w:t>
            </w:r>
            <w:r>
              <w:rPr>
                <w:rFonts w:ascii="仿宋_GB2312" w:hAnsi="仿宋_GB2312" w:cs="仿宋_GB2312" w:eastAsia="仿宋_GB2312"/>
              </w:rPr>
              <w:t>280</w:t>
            </w:r>
            <w:r>
              <w:rPr>
                <w:rFonts w:ascii="仿宋_GB2312" w:hAnsi="仿宋_GB2312" w:cs="仿宋_GB2312" w:eastAsia="仿宋_GB2312"/>
              </w:rPr>
              <w:t>℃）：微量析出物，罗维朋比色：黄色值不变，红色值增小于</w:t>
            </w:r>
            <w:r>
              <w:rPr>
                <w:rFonts w:ascii="仿宋_GB2312" w:hAnsi="仿宋_GB2312" w:cs="仿宋_GB2312" w:eastAsia="仿宋_GB2312"/>
              </w:rPr>
              <w:t>4.0</w:t>
            </w:r>
            <w:r>
              <w:rPr>
                <w:rFonts w:ascii="仿宋_GB2312" w:hAnsi="仿宋_GB2312" w:cs="仿宋_GB2312" w:eastAsia="仿宋_GB2312"/>
              </w:rPr>
              <w:t>，</w:t>
            </w:r>
            <w:r>
              <w:rPr>
                <w:rFonts w:ascii="仿宋_GB2312" w:hAnsi="仿宋_GB2312" w:cs="仿宋_GB2312" w:eastAsia="仿宋_GB2312"/>
              </w:rPr>
              <w:t>0.5</w:t>
            </w:r>
            <w:r>
              <w:rPr>
                <w:rFonts w:ascii="仿宋_GB2312" w:hAnsi="仿宋_GB2312" w:cs="仿宋_GB2312" w:eastAsia="仿宋_GB2312"/>
              </w:rPr>
              <w:t>；溶剂残留量：不得检出。颜色清澈，透明度高，无沉淀物，无分层现象；须独立包装，包装上须带有生产日期、保质期及国家生产许可信息标识</w:t>
            </w:r>
            <w:r>
              <w:rPr>
                <w:rFonts w:ascii="仿宋_GB2312" w:hAnsi="仿宋_GB2312" w:cs="仿宋_GB2312" w:eastAsia="仿宋_GB2312"/>
              </w:rPr>
              <w:t>.</w:t>
            </w:r>
            <w:r>
              <w:rPr>
                <w:rFonts w:ascii="仿宋_GB2312" w:hAnsi="仿宋_GB2312" w:cs="仿宋_GB2312" w:eastAsia="仿宋_GB2312"/>
              </w:rPr>
              <w:t>。</w:t>
            </w:r>
          </w:p>
          <w:p>
            <w:pPr>
              <w:pStyle w:val="null3"/>
            </w:pPr>
            <w:r>
              <w:rPr>
                <w:rFonts w:ascii="仿宋_GB2312" w:hAnsi="仿宋_GB2312" w:cs="仿宋_GB2312" w:eastAsia="仿宋_GB2312"/>
              </w:rPr>
              <w:t>2.</w:t>
            </w:r>
            <w:r>
              <w:rPr>
                <w:rFonts w:ascii="仿宋_GB2312" w:hAnsi="仿宋_GB2312" w:cs="仿宋_GB2312" w:eastAsia="仿宋_GB2312"/>
              </w:rPr>
              <w:t>其他要求：</w:t>
            </w:r>
          </w:p>
          <w:p>
            <w:pPr>
              <w:pStyle w:val="null3"/>
              <w:jc w:val="both"/>
            </w:pPr>
            <w:r>
              <w:rPr>
                <w:rFonts w:ascii="仿宋_GB2312" w:hAnsi="仿宋_GB2312" w:cs="仿宋_GB2312" w:eastAsia="仿宋_GB2312"/>
              </w:rPr>
              <w:t>（一）大米</w:t>
            </w:r>
          </w:p>
          <w:p>
            <w:pPr>
              <w:pStyle w:val="null3"/>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w:t>
            </w:r>
            <w:r>
              <w:rPr>
                <w:rFonts w:ascii="仿宋_GB2312" w:hAnsi="仿宋_GB2312" w:cs="仿宋_GB2312" w:eastAsia="仿宋_GB2312"/>
              </w:rPr>
              <w:t>品种、产地规格要求：粳米（东北产、</w:t>
            </w:r>
            <w:r>
              <w:rPr>
                <w:rFonts w:ascii="仿宋_GB2312" w:hAnsi="仿宋_GB2312" w:cs="仿宋_GB2312" w:eastAsia="仿宋_GB2312"/>
              </w:rPr>
              <w:t>25kg/</w:t>
            </w:r>
            <w:r>
              <w:rPr>
                <w:rFonts w:ascii="仿宋_GB2312" w:hAnsi="仿宋_GB2312" w:cs="仿宋_GB2312" w:eastAsia="仿宋_GB2312"/>
              </w:rPr>
              <w:t>袋）、圆糯米（东北产，</w:t>
            </w:r>
            <w:r>
              <w:rPr>
                <w:rFonts w:ascii="仿宋_GB2312" w:hAnsi="仿宋_GB2312" w:cs="仿宋_GB2312" w:eastAsia="仿宋_GB2312"/>
              </w:rPr>
              <w:t>50kg/</w:t>
            </w:r>
            <w:r>
              <w:rPr>
                <w:rFonts w:ascii="仿宋_GB2312" w:hAnsi="仿宋_GB2312" w:cs="仿宋_GB2312" w:eastAsia="仿宋_GB2312"/>
              </w:rPr>
              <w:t>袋）。</w:t>
            </w:r>
          </w:p>
          <w:p>
            <w:pPr>
              <w:pStyle w:val="null3"/>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w:t>
            </w:r>
            <w:r>
              <w:rPr>
                <w:rFonts w:ascii="仿宋_GB2312" w:hAnsi="仿宋_GB2312" w:cs="仿宋_GB2312" w:eastAsia="仿宋_GB2312"/>
              </w:rPr>
              <w:t>质量标准：</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）大米执行标准：</w:t>
            </w:r>
            <w:r>
              <w:rPr>
                <w:rFonts w:ascii="仿宋_GB2312" w:hAnsi="仿宋_GB2312" w:cs="仿宋_GB2312" w:eastAsia="仿宋_GB2312"/>
              </w:rPr>
              <w:t>GB1354</w:t>
            </w:r>
            <w:r>
              <w:rPr>
                <w:rFonts w:ascii="仿宋_GB2312" w:hAnsi="仿宋_GB2312" w:cs="仿宋_GB2312" w:eastAsia="仿宋_GB2312"/>
              </w:rPr>
              <w:t>标准一级米。</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）质量要求：具有大米固有色泽与香味，无污染、虫害，色泽、气味、口味正常；无异味、霉味；无虫蛀、结块、挂丝或杂质等，符合国家粮食卫生标准。</w:t>
            </w:r>
          </w:p>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）包装要求：粳米</w:t>
            </w:r>
            <w:r>
              <w:rPr>
                <w:rFonts w:ascii="仿宋_GB2312" w:hAnsi="仿宋_GB2312" w:cs="仿宋_GB2312" w:eastAsia="仿宋_GB2312"/>
              </w:rPr>
              <w:t>25kg/</w:t>
            </w:r>
            <w:r>
              <w:rPr>
                <w:rFonts w:ascii="仿宋_GB2312" w:hAnsi="仿宋_GB2312" w:cs="仿宋_GB2312" w:eastAsia="仿宋_GB2312"/>
              </w:rPr>
              <w:t>袋，圆糯米</w:t>
            </w:r>
            <w:r>
              <w:rPr>
                <w:rFonts w:ascii="仿宋_GB2312" w:hAnsi="仿宋_GB2312" w:cs="仿宋_GB2312" w:eastAsia="仿宋_GB2312"/>
              </w:rPr>
              <w:t>50kg/</w:t>
            </w:r>
            <w:r>
              <w:rPr>
                <w:rFonts w:ascii="仿宋_GB2312" w:hAnsi="仿宋_GB2312" w:cs="仿宋_GB2312" w:eastAsia="仿宋_GB2312"/>
              </w:rPr>
              <w:t>袋，应符合《粮食销售包装》（</w:t>
            </w:r>
            <w:r>
              <w:rPr>
                <w:rFonts w:ascii="仿宋_GB2312" w:hAnsi="仿宋_GB2312" w:cs="仿宋_GB2312" w:eastAsia="仿宋_GB2312"/>
              </w:rPr>
              <w:t>GB/T17109</w:t>
            </w:r>
            <w:r>
              <w:rPr>
                <w:rFonts w:ascii="仿宋_GB2312" w:hAnsi="仿宋_GB2312" w:cs="仿宋_GB2312" w:eastAsia="仿宋_GB2312"/>
              </w:rPr>
              <w:t>）要求，包装袋清洁无污渍、无破损、无渗漏。</w:t>
            </w:r>
          </w:p>
          <w:p>
            <w:pPr>
              <w:pStyle w:val="null3"/>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）标识要求：有生产许可证号，执行标准；标明产品名称、净含量、质量等级、生产企业名称、电话、地址、生产日期、保质期及营养成分表。</w:t>
            </w:r>
          </w:p>
          <w:p>
            <w:pPr>
              <w:pStyle w:val="null3"/>
            </w:pP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）供货时剩余保质期不少于标注保质期三分之二。</w:t>
            </w:r>
          </w:p>
          <w:p>
            <w:pPr>
              <w:pStyle w:val="null3"/>
            </w:pPr>
            <w:r>
              <w:rPr>
                <w:rFonts w:ascii="仿宋_GB2312" w:hAnsi="仿宋_GB2312" w:cs="仿宋_GB2312" w:eastAsia="仿宋_GB2312"/>
              </w:rPr>
              <w:t>（二）面粉</w:t>
            </w:r>
          </w:p>
          <w:p>
            <w:pPr>
              <w:pStyle w:val="null3"/>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w:t>
            </w:r>
            <w:r>
              <w:rPr>
                <w:rFonts w:ascii="仿宋_GB2312" w:hAnsi="仿宋_GB2312" w:cs="仿宋_GB2312" w:eastAsia="仿宋_GB2312"/>
              </w:rPr>
              <w:t>品种要求：馒头小麦粉、高筋小麦粉、全麦粉。</w:t>
            </w:r>
          </w:p>
          <w:p>
            <w:pPr>
              <w:pStyle w:val="null3"/>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w:t>
            </w:r>
            <w:r>
              <w:rPr>
                <w:rFonts w:ascii="仿宋_GB2312" w:hAnsi="仿宋_GB2312" w:cs="仿宋_GB2312" w:eastAsia="仿宋_GB2312"/>
              </w:rPr>
              <w:t>质量标准：</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）馒头粉执行标准：</w:t>
            </w:r>
            <w:r>
              <w:rPr>
                <w:rFonts w:ascii="仿宋_GB2312" w:hAnsi="仿宋_GB2312" w:cs="仿宋_GB2312" w:eastAsia="仿宋_GB2312"/>
              </w:rPr>
              <w:t>LS/T3204</w:t>
            </w:r>
            <w:r>
              <w:rPr>
                <w:rFonts w:ascii="仿宋_GB2312" w:hAnsi="仿宋_GB2312" w:cs="仿宋_GB2312" w:eastAsia="仿宋_GB2312"/>
              </w:rPr>
              <w:t>、高筋粉执行标准：</w:t>
            </w:r>
            <w:r>
              <w:rPr>
                <w:rFonts w:ascii="仿宋_GB2312" w:hAnsi="仿宋_GB2312" w:cs="仿宋_GB2312" w:eastAsia="仿宋_GB2312"/>
              </w:rPr>
              <w:t>GB/T8607</w:t>
            </w:r>
            <w:r>
              <w:rPr>
                <w:rFonts w:ascii="仿宋_GB2312" w:hAnsi="仿宋_GB2312" w:cs="仿宋_GB2312" w:eastAsia="仿宋_GB2312"/>
              </w:rPr>
              <w:t>、全麦粉执行标准：</w:t>
            </w:r>
            <w:r>
              <w:rPr>
                <w:rFonts w:ascii="仿宋_GB2312" w:hAnsi="仿宋_GB2312" w:cs="仿宋_GB2312" w:eastAsia="仿宋_GB2312"/>
              </w:rPr>
              <w:t>LS/T3244</w:t>
            </w:r>
            <w:r>
              <w:rPr>
                <w:rFonts w:ascii="仿宋_GB2312" w:hAnsi="仿宋_GB2312" w:cs="仿宋_GB2312" w:eastAsia="仿宋_GB2312"/>
              </w:rPr>
              <w:t>。</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质量要求：无污染、虫害，色泽、气味、口味正常；无异味、霉味；无虫蛀、结块、挂丝或杂质异物；色泽呈白色或微黄色；外观呈细粉末状，无杂质，手指捻捏时无粗粒感，放开后不成团；具有面粉正常气味，无异味。符合食品安全国家粮食标准</w:t>
            </w:r>
            <w:r>
              <w:rPr>
                <w:rFonts w:ascii="仿宋_GB2312" w:hAnsi="仿宋_GB2312" w:cs="仿宋_GB2312" w:eastAsia="仿宋_GB2312"/>
              </w:rPr>
              <w:t>GB2715</w:t>
            </w:r>
            <w:r>
              <w:rPr>
                <w:rFonts w:ascii="仿宋_GB2312" w:hAnsi="仿宋_GB2312" w:cs="仿宋_GB2312" w:eastAsia="仿宋_GB2312"/>
              </w:rPr>
              <w:t>。</w:t>
            </w:r>
          </w:p>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）包装要求：</w:t>
            </w:r>
            <w:r>
              <w:rPr>
                <w:rFonts w:ascii="仿宋_GB2312" w:hAnsi="仿宋_GB2312" w:cs="仿宋_GB2312" w:eastAsia="仿宋_GB2312"/>
              </w:rPr>
              <w:t>25kg/</w:t>
            </w:r>
            <w:r>
              <w:rPr>
                <w:rFonts w:ascii="仿宋_GB2312" w:hAnsi="仿宋_GB2312" w:cs="仿宋_GB2312" w:eastAsia="仿宋_GB2312"/>
              </w:rPr>
              <w:t>袋，应符合《粮食销售包装》（</w:t>
            </w:r>
            <w:r>
              <w:rPr>
                <w:rFonts w:ascii="仿宋_GB2312" w:hAnsi="仿宋_GB2312" w:cs="仿宋_GB2312" w:eastAsia="仿宋_GB2312"/>
              </w:rPr>
              <w:t>GB/T17109</w:t>
            </w:r>
            <w:r>
              <w:rPr>
                <w:rFonts w:ascii="仿宋_GB2312" w:hAnsi="仿宋_GB2312" w:cs="仿宋_GB2312" w:eastAsia="仿宋_GB2312"/>
              </w:rPr>
              <w:t>）要求，包装袋清洁无污渍，无破损、无渗漏。</w:t>
            </w:r>
          </w:p>
          <w:p>
            <w:pPr>
              <w:pStyle w:val="null3"/>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）标识要求：有生产许可证号，执行标准；标明产品名称、净含量、质量等级、生产企业名称、电话、地址、生产日期、保质期及营养成分表。</w:t>
            </w:r>
          </w:p>
          <w:p>
            <w:pPr>
              <w:pStyle w:val="null3"/>
            </w:pP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）供货时剩余保质期不少于标注保质期三分之二。</w:t>
            </w:r>
          </w:p>
          <w:p>
            <w:pPr>
              <w:pStyle w:val="null3"/>
            </w:pPr>
            <w:r>
              <w:rPr>
                <w:rFonts w:ascii="仿宋_GB2312" w:hAnsi="仿宋_GB2312" w:cs="仿宋_GB2312" w:eastAsia="仿宋_GB2312"/>
              </w:rPr>
              <w:t>（三）食用油</w:t>
            </w:r>
          </w:p>
          <w:p>
            <w:pPr>
              <w:pStyle w:val="null3"/>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w:t>
            </w:r>
            <w:r>
              <w:rPr>
                <w:rFonts w:ascii="仿宋_GB2312" w:hAnsi="仿宋_GB2312" w:cs="仿宋_GB2312" w:eastAsia="仿宋_GB2312"/>
              </w:rPr>
              <w:t>品种要求：大豆油（非转基因原料生产）、菜籽油（非转基因原料生产）</w:t>
            </w:r>
          </w:p>
          <w:p>
            <w:pPr>
              <w:pStyle w:val="null3"/>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w:t>
            </w:r>
            <w:r>
              <w:rPr>
                <w:rFonts w:ascii="仿宋_GB2312" w:hAnsi="仿宋_GB2312" w:cs="仿宋_GB2312" w:eastAsia="仿宋_GB2312"/>
              </w:rPr>
              <w:t>质量标准：</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）大豆油执行</w:t>
            </w:r>
            <w:r>
              <w:rPr>
                <w:rFonts w:ascii="仿宋_GB2312" w:hAnsi="仿宋_GB2312" w:cs="仿宋_GB2312" w:eastAsia="仿宋_GB2312"/>
              </w:rPr>
              <w:t>GB1535</w:t>
            </w:r>
            <w:r>
              <w:rPr>
                <w:rFonts w:ascii="仿宋_GB2312" w:hAnsi="仿宋_GB2312" w:cs="仿宋_GB2312" w:eastAsia="仿宋_GB2312"/>
              </w:rPr>
              <w:t>（一级）标准；菜籽油执行</w:t>
            </w:r>
            <w:r>
              <w:rPr>
                <w:rFonts w:ascii="仿宋_GB2312" w:hAnsi="仿宋_GB2312" w:cs="仿宋_GB2312" w:eastAsia="仿宋_GB2312"/>
              </w:rPr>
              <w:t>GB1536</w:t>
            </w:r>
            <w:r>
              <w:rPr>
                <w:rFonts w:ascii="仿宋_GB2312" w:hAnsi="仿宋_GB2312" w:cs="仿宋_GB2312" w:eastAsia="仿宋_GB2312"/>
              </w:rPr>
              <w:t>（三级及以上）标准。</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）质量标准：具有正常植物油的色泽、透明度、气味和滋味，无焦臭、酸败及其它异味。</w:t>
            </w:r>
          </w:p>
          <w:p>
            <w:pPr>
              <w:pStyle w:val="null3"/>
            </w:pP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w:t>
            </w:r>
            <w:r>
              <w:rPr>
                <w:rFonts w:ascii="仿宋_GB2312" w:hAnsi="仿宋_GB2312" w:cs="仿宋_GB2312" w:eastAsia="仿宋_GB2312"/>
              </w:rPr>
              <w:t>包装要求：应符合</w:t>
            </w:r>
            <w:r>
              <w:rPr>
                <w:rFonts w:ascii="仿宋_GB2312" w:hAnsi="仿宋_GB2312" w:cs="仿宋_GB2312" w:eastAsia="仿宋_GB2312"/>
              </w:rPr>
              <w:t>GB7718\GB28050</w:t>
            </w:r>
            <w:r>
              <w:rPr>
                <w:rFonts w:ascii="仿宋_GB2312" w:hAnsi="仿宋_GB2312" w:cs="仿宋_GB2312" w:eastAsia="仿宋_GB2312"/>
              </w:rPr>
              <w:t>要求，包装桶清洁透明、无污渍，无破损、无渗漏，符合国家食品卫生标准的规定。</w:t>
            </w:r>
          </w:p>
          <w:p>
            <w:pPr>
              <w:pStyle w:val="null3"/>
            </w:pPr>
            <w:r>
              <w:rPr>
                <w:rFonts w:ascii="仿宋_GB2312" w:hAnsi="仿宋_GB2312" w:cs="仿宋_GB2312" w:eastAsia="仿宋_GB2312"/>
              </w:rPr>
              <w:t>4</w:t>
            </w:r>
            <w:r>
              <w:rPr>
                <w:rFonts w:ascii="仿宋_GB2312" w:hAnsi="仿宋_GB2312" w:cs="仿宋_GB2312" w:eastAsia="仿宋_GB2312"/>
              </w:rPr>
              <w:t>）</w:t>
            </w:r>
            <w:r>
              <w:rPr>
                <w:rFonts w:ascii="仿宋_GB2312" w:hAnsi="仿宋_GB2312" w:cs="仿宋_GB2312" w:eastAsia="仿宋_GB2312"/>
              </w:rPr>
              <w:t>.</w:t>
            </w:r>
            <w:r>
              <w:rPr>
                <w:rFonts w:ascii="仿宋_GB2312" w:hAnsi="仿宋_GB2312" w:cs="仿宋_GB2312" w:eastAsia="仿宋_GB2312"/>
              </w:rPr>
              <w:t>标识要求：有生产许可证号，执行标准；标明产品名称、净含量、生产企业名称、电话、地址、生产日期、保质期及营养成分表。</w:t>
            </w:r>
          </w:p>
          <w:p>
            <w:pPr>
              <w:pStyle w:val="null3"/>
            </w:pPr>
            <w:r>
              <w:rPr>
                <w:rFonts w:ascii="仿宋_GB2312" w:hAnsi="仿宋_GB2312" w:cs="仿宋_GB2312" w:eastAsia="仿宋_GB2312"/>
              </w:rPr>
              <w:t>5</w:t>
            </w:r>
            <w:r>
              <w:rPr>
                <w:rFonts w:ascii="仿宋_GB2312" w:hAnsi="仿宋_GB2312" w:cs="仿宋_GB2312" w:eastAsia="仿宋_GB2312"/>
              </w:rPr>
              <w:t>）</w:t>
            </w:r>
            <w:r>
              <w:rPr>
                <w:rFonts w:ascii="仿宋_GB2312" w:hAnsi="仿宋_GB2312" w:cs="仿宋_GB2312" w:eastAsia="仿宋_GB2312"/>
              </w:rPr>
              <w:t>.</w:t>
            </w:r>
            <w:r>
              <w:rPr>
                <w:rFonts w:ascii="仿宋_GB2312" w:hAnsi="仿宋_GB2312" w:cs="仿宋_GB2312" w:eastAsia="仿宋_GB2312"/>
              </w:rPr>
              <w:t>供货时剩余保质期不少于标注保质期三分之二。</w:t>
            </w:r>
          </w:p>
          <w:p>
            <w:pPr>
              <w:pStyle w:val="null3"/>
            </w:pPr>
            <w:r>
              <w:rPr>
                <w:rFonts w:ascii="仿宋_GB2312" w:hAnsi="仿宋_GB2312" w:cs="仿宋_GB2312" w:eastAsia="仿宋_GB2312"/>
                <w:sz w:val="21"/>
              </w:rPr>
              <w:t>3.</w:t>
            </w:r>
            <w:r>
              <w:rPr>
                <w:rFonts w:ascii="仿宋_GB2312" w:hAnsi="仿宋_GB2312" w:cs="仿宋_GB2312" w:eastAsia="仿宋_GB2312"/>
                <w:sz w:val="21"/>
              </w:rPr>
              <w:t>首次配送时，应向甲方提供所有参与配送人员有效健康证；更换人员时需另附有效健康证。</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标的名称：肉、蛋、禽类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20"/>
              <w:tblBorders>
                <w:top w:val="none" w:color="000000" w:sz="4"/>
                <w:left w:val="none" w:color="000000" w:sz="4"/>
                <w:bottom w:val="none" w:color="000000" w:sz="4"/>
                <w:right w:val="none" w:color="000000" w:sz="4"/>
                <w:insideH w:val="none"/>
                <w:insideV w:val="none"/>
              </w:tblBorders>
            </w:tblPr>
            <w:tblGrid>
              <w:gridCol w:w="452"/>
              <w:gridCol w:w="979"/>
              <w:gridCol w:w="1122"/>
            </w:tblGrid>
            <w:tr>
              <w:tc>
                <w:tcPr>
                  <w:tcW w:type="dxa" w:w="45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序号</w:t>
                  </w:r>
                </w:p>
              </w:tc>
              <w:tc>
                <w:tcPr>
                  <w:tcW w:type="dxa" w:w="97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名称</w:t>
                  </w:r>
                </w:p>
              </w:tc>
              <w:tc>
                <w:tcPr>
                  <w:tcW w:type="dxa" w:w="112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参数要求</w:t>
                  </w:r>
                </w:p>
              </w:tc>
            </w:tr>
            <w:tr>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9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薄五花</w:t>
                  </w:r>
                </w:p>
              </w:tc>
              <w:tc>
                <w:tcPr>
                  <w:tcW w:type="dxa" w:w="1122"/>
                  <w:vMerge w:val="restart"/>
                  <w:tcBorders>
                    <w:top w:val="none" w:color="000000" w:sz="4"/>
                    <w:left w:val="none" w:color="000000" w:sz="4"/>
                    <w:bottom w:val="non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预冷排酸时间不低于</w:t>
                  </w:r>
                  <w:r>
                    <w:rPr>
                      <w:rFonts w:ascii="仿宋_GB2312" w:hAnsi="仿宋_GB2312" w:cs="仿宋_GB2312" w:eastAsia="仿宋_GB2312"/>
                      <w:sz w:val="24"/>
                    </w:rPr>
                    <w:t>24小时；提供合法有效的第三方检测机构出具的兽残检测报告，且兽残符合国家标准；含水率不高于77%，肉身盖有检疫检验章，出具加盖地方畜牧主管部门检疫合格证明；大肉外表干燥，肌肉切面有光泽，红色均匀，具有大肉特有的气味，肌肉结实有弹性，指压后凹陷立即复原，不粘手、不软化；脂肪有其固有色泽，无酸败味；票据标明生产地址、产品名称、生产日期、保质期，动物检疫合格证及肉品品质合格证明齐全。产品包装符合要求，且能够提供食材源头追溯证明材料。</w:t>
                  </w:r>
                </w:p>
                <w:p>
                  <w:pPr>
                    <w:pStyle w:val="null3"/>
                    <w:jc w:val="both"/>
                  </w:pPr>
                  <w:r>
                    <w:rPr>
                      <w:rFonts w:ascii="仿宋_GB2312" w:hAnsi="仿宋_GB2312" w:cs="仿宋_GB2312" w:eastAsia="仿宋_GB2312"/>
                      <w:sz w:val="24"/>
                    </w:rPr>
                    <w:t>出具加盖地方畜牧主管部门检疫合格证明；外表干燥，肌肉切面有光泽，红色均匀，具有牛羊肉特有的气味，肌肉结实有弹性，指压后凹陷立即复原，不粘手、不软化；脂肪有其固有色泽，无酸败味</w:t>
                  </w:r>
                </w:p>
              </w:tc>
            </w:tr>
            <w:tr>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w:t>
                  </w:r>
                </w:p>
              </w:tc>
              <w:tc>
                <w:tcPr>
                  <w:tcW w:type="dxa" w:w="9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排骨</w:t>
                  </w:r>
                </w:p>
              </w:tc>
              <w:tc>
                <w:tcPr>
                  <w:tcW w:type="dxa" w:w="1122"/>
                  <w:vMerge/>
                  <w:tcBorders>
                    <w:top w:val="none" w:color="000000" w:sz="4"/>
                    <w:left w:val="none" w:color="000000" w:sz="4"/>
                    <w:bottom w:val="none" w:color="000000" w:sz="4"/>
                    <w:right w:val="single" w:color="000000" w:sz="4"/>
                  </w:tcBorders>
                </w:tcPr>
                <w:p/>
              </w:tc>
            </w:tr>
            <w:tr>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w:t>
                  </w:r>
                </w:p>
              </w:tc>
              <w:tc>
                <w:tcPr>
                  <w:tcW w:type="dxa" w:w="9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精品排骨</w:t>
                  </w:r>
                </w:p>
              </w:tc>
              <w:tc>
                <w:tcPr>
                  <w:tcW w:type="dxa" w:w="1122"/>
                  <w:vMerge/>
                  <w:tcBorders>
                    <w:top w:val="none" w:color="000000" w:sz="4"/>
                    <w:left w:val="none" w:color="000000" w:sz="4"/>
                    <w:bottom w:val="none" w:color="000000" w:sz="4"/>
                    <w:right w:val="single" w:color="000000" w:sz="4"/>
                  </w:tcBorders>
                </w:tcPr>
                <w:p/>
              </w:tc>
            </w:tr>
            <w:tr>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w:t>
                  </w:r>
                </w:p>
              </w:tc>
              <w:tc>
                <w:tcPr>
                  <w:tcW w:type="dxa" w:w="9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精里脊</w:t>
                  </w:r>
                </w:p>
              </w:tc>
              <w:tc>
                <w:tcPr>
                  <w:tcW w:type="dxa" w:w="1122"/>
                  <w:vMerge/>
                  <w:tcBorders>
                    <w:top w:val="none" w:color="000000" w:sz="4"/>
                    <w:left w:val="none" w:color="000000" w:sz="4"/>
                    <w:bottom w:val="none" w:color="000000" w:sz="4"/>
                    <w:right w:val="single" w:color="000000" w:sz="4"/>
                  </w:tcBorders>
                </w:tcPr>
                <w:p/>
              </w:tc>
            </w:tr>
            <w:tr>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w:t>
                  </w:r>
                </w:p>
              </w:tc>
              <w:tc>
                <w:tcPr>
                  <w:tcW w:type="dxa" w:w="9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后腿肉片</w:t>
                  </w:r>
                </w:p>
              </w:tc>
              <w:tc>
                <w:tcPr>
                  <w:tcW w:type="dxa" w:w="1122"/>
                  <w:vMerge/>
                  <w:tcBorders>
                    <w:top w:val="none" w:color="000000" w:sz="4"/>
                    <w:left w:val="none" w:color="000000" w:sz="4"/>
                    <w:bottom w:val="none" w:color="000000" w:sz="4"/>
                    <w:right w:val="single" w:color="000000" w:sz="4"/>
                  </w:tcBorders>
                </w:tcPr>
                <w:p/>
              </w:tc>
            </w:tr>
            <w:tr>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w:t>
                  </w:r>
                </w:p>
              </w:tc>
              <w:tc>
                <w:tcPr>
                  <w:tcW w:type="dxa" w:w="9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绞肉末</w:t>
                  </w:r>
                </w:p>
              </w:tc>
              <w:tc>
                <w:tcPr>
                  <w:tcW w:type="dxa" w:w="1122"/>
                  <w:vMerge/>
                  <w:tcBorders>
                    <w:top w:val="none" w:color="000000" w:sz="4"/>
                    <w:left w:val="none" w:color="000000" w:sz="4"/>
                    <w:bottom w:val="none" w:color="000000" w:sz="4"/>
                    <w:right w:val="single" w:color="000000" w:sz="4"/>
                  </w:tcBorders>
                </w:tcPr>
                <w:p/>
              </w:tc>
            </w:tr>
            <w:tr>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w:t>
                  </w:r>
                </w:p>
              </w:tc>
              <w:tc>
                <w:tcPr>
                  <w:tcW w:type="dxa" w:w="9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后腿肉臊子</w:t>
                  </w:r>
                </w:p>
              </w:tc>
              <w:tc>
                <w:tcPr>
                  <w:tcW w:type="dxa" w:w="1122"/>
                  <w:vMerge/>
                  <w:tcBorders>
                    <w:top w:val="none" w:color="000000" w:sz="4"/>
                    <w:left w:val="none" w:color="000000" w:sz="4"/>
                    <w:bottom w:val="none" w:color="000000" w:sz="4"/>
                    <w:right w:val="single" w:color="000000" w:sz="4"/>
                  </w:tcBorders>
                </w:tcPr>
                <w:p/>
              </w:tc>
            </w:tr>
            <w:tr>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w:t>
                  </w:r>
                </w:p>
              </w:tc>
              <w:tc>
                <w:tcPr>
                  <w:tcW w:type="dxa" w:w="9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大油</w:t>
                  </w:r>
                </w:p>
              </w:tc>
              <w:tc>
                <w:tcPr>
                  <w:tcW w:type="dxa" w:w="1122"/>
                  <w:vMerge/>
                  <w:tcBorders>
                    <w:top w:val="none" w:color="000000" w:sz="4"/>
                    <w:left w:val="none" w:color="000000" w:sz="4"/>
                    <w:bottom w:val="none" w:color="000000" w:sz="4"/>
                    <w:right w:val="single" w:color="000000" w:sz="4"/>
                  </w:tcBorders>
                </w:tcPr>
                <w:p/>
              </w:tc>
            </w:tr>
            <w:tr>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9</w:t>
                  </w:r>
                </w:p>
              </w:tc>
              <w:tc>
                <w:tcPr>
                  <w:tcW w:type="dxa" w:w="9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后腿肉不切</w:t>
                  </w:r>
                </w:p>
              </w:tc>
              <w:tc>
                <w:tcPr>
                  <w:tcW w:type="dxa" w:w="1122"/>
                  <w:vMerge/>
                  <w:tcBorders>
                    <w:top w:val="none" w:color="000000" w:sz="4"/>
                    <w:left w:val="none" w:color="000000" w:sz="4"/>
                    <w:bottom w:val="none" w:color="000000" w:sz="4"/>
                    <w:right w:val="single" w:color="000000" w:sz="4"/>
                  </w:tcBorders>
                </w:tcPr>
                <w:p/>
              </w:tc>
            </w:tr>
            <w:tr>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w:t>
                  </w:r>
                </w:p>
              </w:tc>
              <w:tc>
                <w:tcPr>
                  <w:tcW w:type="dxa" w:w="9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前腿</w:t>
                  </w:r>
                </w:p>
                <w:p>
                  <w:pPr>
                    <w:pStyle w:val="null3"/>
                    <w:jc w:val="center"/>
                  </w:pPr>
                  <w:r>
                    <w:rPr>
                      <w:rFonts w:ascii="仿宋_GB2312" w:hAnsi="仿宋_GB2312" w:cs="仿宋_GB2312" w:eastAsia="仿宋_GB2312"/>
                      <w:sz w:val="24"/>
                    </w:rPr>
                    <w:t>肉丝</w:t>
                  </w:r>
                </w:p>
              </w:tc>
              <w:tc>
                <w:tcPr>
                  <w:tcW w:type="dxa" w:w="1122"/>
                  <w:vMerge/>
                  <w:tcBorders>
                    <w:top w:val="none" w:color="000000" w:sz="4"/>
                    <w:left w:val="none" w:color="000000" w:sz="4"/>
                    <w:bottom w:val="none" w:color="000000" w:sz="4"/>
                    <w:right w:val="single" w:color="000000" w:sz="4"/>
                  </w:tcBorders>
                </w:tcPr>
                <w:p/>
              </w:tc>
            </w:tr>
            <w:tr>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11</w:t>
                  </w:r>
                </w:p>
              </w:tc>
              <w:tc>
                <w:tcPr>
                  <w:tcW w:type="dxa" w:w="9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大草鱼</w:t>
                  </w:r>
                </w:p>
              </w:tc>
              <w:tc>
                <w:tcPr>
                  <w:tcW w:type="dxa" w:w="1122"/>
                  <w:vMerge/>
                  <w:tcBorders>
                    <w:top w:val="none" w:color="000000" w:sz="4"/>
                    <w:left w:val="none" w:color="000000" w:sz="4"/>
                    <w:bottom w:val="none" w:color="000000" w:sz="4"/>
                    <w:right w:val="single" w:color="000000" w:sz="4"/>
                  </w:tcBorders>
                </w:tcPr>
                <w:p/>
              </w:tc>
            </w:tr>
            <w:tr>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12</w:t>
                  </w:r>
                </w:p>
              </w:tc>
              <w:tc>
                <w:tcPr>
                  <w:tcW w:type="dxa" w:w="9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鲜鸡蛋</w:t>
                  </w:r>
                </w:p>
              </w:tc>
              <w:tc>
                <w:tcPr>
                  <w:tcW w:type="dxa" w:w="1122"/>
                  <w:vMerge/>
                  <w:tcBorders>
                    <w:top w:val="none" w:color="000000" w:sz="4"/>
                    <w:left w:val="none" w:color="000000" w:sz="4"/>
                    <w:bottom w:val="none" w:color="000000" w:sz="4"/>
                    <w:right w:val="single" w:color="000000" w:sz="4"/>
                  </w:tcBorders>
                </w:tcPr>
                <w:p/>
              </w:tc>
            </w:tr>
            <w:tr>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13</w:t>
                  </w:r>
                </w:p>
              </w:tc>
              <w:tc>
                <w:tcPr>
                  <w:tcW w:type="dxa" w:w="9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烧鸡</w:t>
                  </w:r>
                </w:p>
              </w:tc>
              <w:tc>
                <w:tcPr>
                  <w:tcW w:type="dxa" w:w="1122"/>
                  <w:vMerge/>
                  <w:tcBorders>
                    <w:top w:val="none" w:color="000000" w:sz="4"/>
                    <w:left w:val="none" w:color="000000" w:sz="4"/>
                    <w:bottom w:val="none" w:color="000000" w:sz="4"/>
                    <w:right w:val="single" w:color="000000" w:sz="4"/>
                  </w:tcBorders>
                </w:tcPr>
                <w:p/>
              </w:tc>
            </w:tr>
            <w:tr>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14</w:t>
                  </w:r>
                </w:p>
              </w:tc>
              <w:tc>
                <w:tcPr>
                  <w:tcW w:type="dxa" w:w="9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牛腩</w:t>
                  </w:r>
                </w:p>
              </w:tc>
              <w:tc>
                <w:tcPr>
                  <w:tcW w:type="dxa" w:w="1122"/>
                  <w:vMerge/>
                  <w:tcBorders>
                    <w:top w:val="none" w:color="000000" w:sz="4"/>
                    <w:left w:val="none" w:color="000000" w:sz="4"/>
                    <w:bottom w:val="none" w:color="000000" w:sz="4"/>
                    <w:right w:val="single" w:color="000000" w:sz="4"/>
                  </w:tcBorders>
                </w:tcPr>
                <w:p/>
              </w:tc>
            </w:tr>
            <w:tr>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15</w:t>
                  </w:r>
                </w:p>
              </w:tc>
              <w:tc>
                <w:tcPr>
                  <w:tcW w:type="dxa" w:w="9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鲜牛腩</w:t>
                  </w:r>
                </w:p>
              </w:tc>
              <w:tc>
                <w:tcPr>
                  <w:tcW w:type="dxa" w:w="1122"/>
                  <w:vMerge/>
                  <w:tcBorders>
                    <w:top w:val="none" w:color="000000" w:sz="4"/>
                    <w:left w:val="none" w:color="000000" w:sz="4"/>
                    <w:bottom w:val="none" w:color="000000" w:sz="4"/>
                    <w:right w:val="single" w:color="000000" w:sz="4"/>
                  </w:tcBorders>
                </w:tcPr>
                <w:p/>
              </w:tc>
            </w:tr>
            <w:tr>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16</w:t>
                  </w:r>
                </w:p>
              </w:tc>
              <w:tc>
                <w:tcPr>
                  <w:tcW w:type="dxa" w:w="9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羊肉</w:t>
                  </w:r>
                </w:p>
              </w:tc>
              <w:tc>
                <w:tcPr>
                  <w:tcW w:type="dxa" w:w="1122"/>
                  <w:vMerge/>
                  <w:tcBorders>
                    <w:top w:val="none" w:color="000000" w:sz="4"/>
                    <w:left w:val="none" w:color="000000" w:sz="4"/>
                    <w:bottom w:val="none" w:color="000000" w:sz="4"/>
                    <w:right w:val="single" w:color="000000" w:sz="4"/>
                  </w:tcBorders>
                </w:tcPr>
                <w:p/>
              </w:tc>
            </w:tr>
            <w:tr>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17</w:t>
                  </w:r>
                </w:p>
              </w:tc>
              <w:tc>
                <w:tcPr>
                  <w:tcW w:type="dxa" w:w="9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皮冻</w:t>
                  </w:r>
                </w:p>
              </w:tc>
              <w:tc>
                <w:tcPr>
                  <w:tcW w:type="dxa" w:w="1122"/>
                  <w:vMerge/>
                  <w:tcBorders>
                    <w:top w:val="none" w:color="000000" w:sz="4"/>
                    <w:left w:val="none" w:color="000000" w:sz="4"/>
                    <w:bottom w:val="none" w:color="000000" w:sz="4"/>
                    <w:right w:val="single" w:color="000000" w:sz="4"/>
                  </w:tcBorders>
                </w:tcPr>
                <w:p/>
              </w:tc>
            </w:tr>
            <w:tr>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18</w:t>
                  </w:r>
                </w:p>
              </w:tc>
              <w:tc>
                <w:tcPr>
                  <w:tcW w:type="dxa" w:w="9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鸡架</w:t>
                  </w:r>
                </w:p>
              </w:tc>
              <w:tc>
                <w:tcPr>
                  <w:tcW w:type="dxa" w:w="1122"/>
                  <w:vMerge/>
                  <w:tcBorders>
                    <w:top w:val="none" w:color="000000" w:sz="4"/>
                    <w:left w:val="none" w:color="000000" w:sz="4"/>
                    <w:bottom w:val="none" w:color="000000" w:sz="4"/>
                    <w:right w:val="single" w:color="000000" w:sz="4"/>
                  </w:tcBorders>
                </w:tcPr>
                <w:p/>
              </w:tc>
            </w:tr>
            <w:tr>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19</w:t>
                  </w:r>
                </w:p>
              </w:tc>
              <w:tc>
                <w:tcPr>
                  <w:tcW w:type="dxa" w:w="9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生肘子</w:t>
                  </w:r>
                </w:p>
              </w:tc>
              <w:tc>
                <w:tcPr>
                  <w:tcW w:type="dxa" w:w="1122"/>
                  <w:vMerge/>
                  <w:tcBorders>
                    <w:top w:val="none" w:color="000000" w:sz="4"/>
                    <w:left w:val="none" w:color="000000" w:sz="4"/>
                    <w:bottom w:val="none" w:color="000000" w:sz="4"/>
                    <w:right w:val="single" w:color="000000" w:sz="4"/>
                  </w:tcBorders>
                </w:tcPr>
                <w:p/>
              </w:tc>
            </w:tr>
            <w:tr>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20</w:t>
                  </w:r>
                </w:p>
              </w:tc>
              <w:tc>
                <w:tcPr>
                  <w:tcW w:type="dxa" w:w="9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大骨头</w:t>
                  </w:r>
                </w:p>
              </w:tc>
              <w:tc>
                <w:tcPr>
                  <w:tcW w:type="dxa" w:w="1122"/>
                  <w:vMerge/>
                  <w:tcBorders>
                    <w:top w:val="none" w:color="000000" w:sz="4"/>
                    <w:left w:val="none" w:color="000000" w:sz="4"/>
                    <w:bottom w:val="none" w:color="000000" w:sz="4"/>
                    <w:right w:val="single" w:color="000000" w:sz="4"/>
                  </w:tcBorders>
                </w:tcPr>
                <w:p/>
              </w:tc>
            </w:tr>
            <w:tr>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21</w:t>
                  </w:r>
                </w:p>
              </w:tc>
              <w:tc>
                <w:tcPr>
                  <w:tcW w:type="dxa" w:w="9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鲈鱼</w:t>
                  </w:r>
                </w:p>
              </w:tc>
              <w:tc>
                <w:tcPr>
                  <w:tcW w:type="dxa" w:w="1122"/>
                  <w:vMerge/>
                  <w:tcBorders>
                    <w:top w:val="none" w:color="000000" w:sz="4"/>
                    <w:left w:val="none" w:color="000000" w:sz="4"/>
                    <w:bottom w:val="none" w:color="000000" w:sz="4"/>
                    <w:right w:val="single" w:color="000000" w:sz="4"/>
                  </w:tcBorders>
                </w:tcPr>
                <w:p/>
              </w:tc>
            </w:tr>
            <w:tr>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22</w:t>
                  </w:r>
                </w:p>
              </w:tc>
              <w:tc>
                <w:tcPr>
                  <w:tcW w:type="dxa" w:w="9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大草鱼</w:t>
                  </w:r>
                </w:p>
              </w:tc>
              <w:tc>
                <w:tcPr>
                  <w:tcW w:type="dxa" w:w="1122"/>
                  <w:vMerge/>
                  <w:tcBorders>
                    <w:top w:val="none" w:color="000000" w:sz="4"/>
                    <w:left w:val="none" w:color="000000" w:sz="4"/>
                    <w:bottom w:val="none" w:color="000000" w:sz="4"/>
                    <w:right w:val="single" w:color="000000" w:sz="4"/>
                  </w:tcBorders>
                </w:tcPr>
                <w:p/>
              </w:tc>
            </w:tr>
            <w:tr>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23</w:t>
                  </w:r>
                </w:p>
              </w:tc>
              <w:tc>
                <w:tcPr>
                  <w:tcW w:type="dxa" w:w="9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鲤鱼</w:t>
                  </w:r>
                </w:p>
              </w:tc>
              <w:tc>
                <w:tcPr>
                  <w:tcW w:type="dxa" w:w="1122"/>
                  <w:vMerge/>
                  <w:tcBorders>
                    <w:top w:val="none" w:color="000000" w:sz="4"/>
                    <w:left w:val="none" w:color="000000" w:sz="4"/>
                    <w:bottom w:val="none" w:color="000000" w:sz="4"/>
                    <w:right w:val="single" w:color="000000" w:sz="4"/>
                  </w:tcBorders>
                </w:tcPr>
                <w:p/>
              </w:tc>
            </w:tr>
            <w:tr>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24</w:t>
                  </w:r>
                </w:p>
              </w:tc>
              <w:tc>
                <w:tcPr>
                  <w:tcW w:type="dxa" w:w="9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多宝鱼</w:t>
                  </w:r>
                </w:p>
              </w:tc>
              <w:tc>
                <w:tcPr>
                  <w:tcW w:type="dxa" w:w="1122"/>
                  <w:vMerge/>
                  <w:tcBorders>
                    <w:top w:val="none" w:color="000000" w:sz="4"/>
                    <w:left w:val="none" w:color="000000" w:sz="4"/>
                    <w:bottom w:val="none" w:color="000000" w:sz="4"/>
                    <w:right w:val="single" w:color="000000" w:sz="4"/>
                  </w:tcBorders>
                </w:tcPr>
                <w:p/>
              </w:tc>
            </w:tr>
            <w:tr>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25</w:t>
                  </w:r>
                </w:p>
              </w:tc>
              <w:tc>
                <w:tcPr>
                  <w:tcW w:type="dxa" w:w="9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牛蛙</w:t>
                  </w:r>
                </w:p>
              </w:tc>
              <w:tc>
                <w:tcPr>
                  <w:tcW w:type="dxa" w:w="1122"/>
                  <w:vMerge/>
                  <w:tcBorders>
                    <w:top w:val="none" w:color="000000" w:sz="4"/>
                    <w:left w:val="none" w:color="000000" w:sz="4"/>
                    <w:bottom w:val="none" w:color="000000" w:sz="4"/>
                    <w:right w:val="single" w:color="000000" w:sz="4"/>
                  </w:tcBorders>
                </w:tcPr>
                <w:p/>
              </w:tc>
            </w:tr>
            <w:tr>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26</w:t>
                  </w:r>
                </w:p>
              </w:tc>
              <w:tc>
                <w:tcPr>
                  <w:tcW w:type="dxa" w:w="9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桂鱼</w:t>
                  </w:r>
                </w:p>
              </w:tc>
              <w:tc>
                <w:tcPr>
                  <w:tcW w:type="dxa" w:w="1122"/>
                  <w:vMerge/>
                  <w:tcBorders>
                    <w:top w:val="none" w:color="000000" w:sz="4"/>
                    <w:left w:val="none" w:color="000000" w:sz="4"/>
                    <w:bottom w:val="none" w:color="000000" w:sz="4"/>
                    <w:right w:val="single" w:color="000000" w:sz="4"/>
                  </w:tcBorders>
                </w:tcPr>
                <w:p/>
              </w:tc>
            </w:tr>
            <w:tr>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27</w:t>
                  </w:r>
                </w:p>
              </w:tc>
              <w:tc>
                <w:tcPr>
                  <w:tcW w:type="dxa" w:w="9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活虾</w:t>
                  </w:r>
                </w:p>
              </w:tc>
              <w:tc>
                <w:tcPr>
                  <w:tcW w:type="dxa" w:w="1122"/>
                  <w:vMerge/>
                  <w:tcBorders>
                    <w:top w:val="none" w:color="000000" w:sz="4"/>
                    <w:left w:val="none" w:color="000000" w:sz="4"/>
                    <w:bottom w:val="none" w:color="000000" w:sz="4"/>
                    <w:right w:val="single" w:color="000000" w:sz="4"/>
                  </w:tcBorders>
                </w:tcPr>
                <w:p/>
              </w:tc>
            </w:tr>
            <w:tr>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28</w:t>
                  </w:r>
                </w:p>
              </w:tc>
              <w:tc>
                <w:tcPr>
                  <w:tcW w:type="dxa" w:w="9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熟猪蹄</w:t>
                  </w:r>
                </w:p>
              </w:tc>
              <w:tc>
                <w:tcPr>
                  <w:tcW w:type="dxa" w:w="1122"/>
                  <w:vMerge/>
                  <w:tcBorders>
                    <w:top w:val="none" w:color="000000" w:sz="4"/>
                    <w:left w:val="none" w:color="000000" w:sz="4"/>
                    <w:bottom w:val="none" w:color="000000" w:sz="4"/>
                    <w:right w:val="single" w:color="000000" w:sz="4"/>
                  </w:tcBorders>
                </w:tcPr>
                <w:p/>
              </w:tc>
            </w:tr>
            <w:tr>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29</w:t>
                  </w:r>
                </w:p>
              </w:tc>
              <w:tc>
                <w:tcPr>
                  <w:tcW w:type="dxa" w:w="9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熟耳朵</w:t>
                  </w:r>
                </w:p>
              </w:tc>
              <w:tc>
                <w:tcPr>
                  <w:tcW w:type="dxa" w:w="1122"/>
                  <w:vMerge/>
                  <w:tcBorders>
                    <w:top w:val="none" w:color="000000" w:sz="4"/>
                    <w:left w:val="none" w:color="000000" w:sz="4"/>
                    <w:bottom w:val="none" w:color="000000" w:sz="4"/>
                    <w:right w:val="single" w:color="000000" w:sz="4"/>
                  </w:tcBorders>
                </w:tcPr>
                <w:p/>
              </w:tc>
            </w:tr>
            <w:tr>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30</w:t>
                  </w:r>
                </w:p>
              </w:tc>
              <w:tc>
                <w:tcPr>
                  <w:tcW w:type="dxa" w:w="9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熟猪心</w:t>
                  </w:r>
                </w:p>
              </w:tc>
              <w:tc>
                <w:tcPr>
                  <w:tcW w:type="dxa" w:w="1122"/>
                  <w:vMerge/>
                  <w:tcBorders>
                    <w:top w:val="none" w:color="000000" w:sz="4"/>
                    <w:left w:val="none" w:color="000000" w:sz="4"/>
                    <w:bottom w:val="none" w:color="000000" w:sz="4"/>
                    <w:right w:val="single" w:color="000000" w:sz="4"/>
                  </w:tcBorders>
                </w:tcPr>
                <w:p/>
              </w:tc>
            </w:tr>
            <w:tr>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31</w:t>
                  </w:r>
                </w:p>
              </w:tc>
              <w:tc>
                <w:tcPr>
                  <w:tcW w:type="dxa" w:w="9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熟猪肝</w:t>
                  </w:r>
                </w:p>
              </w:tc>
              <w:tc>
                <w:tcPr>
                  <w:tcW w:type="dxa" w:w="1122"/>
                  <w:vMerge/>
                  <w:tcBorders>
                    <w:top w:val="none" w:color="000000" w:sz="4"/>
                    <w:left w:val="none" w:color="000000" w:sz="4"/>
                    <w:bottom w:val="none" w:color="000000" w:sz="4"/>
                    <w:right w:val="single" w:color="000000" w:sz="4"/>
                  </w:tcBorders>
                </w:tcPr>
                <w:p/>
              </w:tc>
            </w:tr>
            <w:tr>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32</w:t>
                  </w:r>
                </w:p>
              </w:tc>
              <w:tc>
                <w:tcPr>
                  <w:tcW w:type="dxa" w:w="9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熟猪头肉</w:t>
                  </w:r>
                </w:p>
              </w:tc>
              <w:tc>
                <w:tcPr>
                  <w:tcW w:type="dxa" w:w="1122"/>
                  <w:vMerge/>
                  <w:tcBorders>
                    <w:top w:val="none" w:color="000000" w:sz="4"/>
                    <w:left w:val="none" w:color="000000" w:sz="4"/>
                    <w:bottom w:val="none" w:color="000000" w:sz="4"/>
                    <w:right w:val="single" w:color="000000" w:sz="4"/>
                  </w:tcBorders>
                </w:tcPr>
                <w:p/>
              </w:tc>
            </w:tr>
            <w:tr>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33</w:t>
                  </w:r>
                </w:p>
              </w:tc>
              <w:tc>
                <w:tcPr>
                  <w:tcW w:type="dxa" w:w="9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熟肘花</w:t>
                  </w:r>
                </w:p>
              </w:tc>
              <w:tc>
                <w:tcPr>
                  <w:tcW w:type="dxa" w:w="1122"/>
                  <w:vMerge/>
                  <w:tcBorders>
                    <w:top w:val="none" w:color="000000" w:sz="4"/>
                    <w:left w:val="none" w:color="000000" w:sz="4"/>
                    <w:bottom w:val="none" w:color="000000" w:sz="4"/>
                    <w:right w:val="single" w:color="000000" w:sz="4"/>
                  </w:tcBorders>
                </w:tcPr>
                <w:p/>
              </w:tc>
            </w:tr>
            <w:tr>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34</w:t>
                  </w:r>
                </w:p>
              </w:tc>
              <w:tc>
                <w:tcPr>
                  <w:tcW w:type="dxa" w:w="9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熟牛肉</w:t>
                  </w:r>
                </w:p>
              </w:tc>
              <w:tc>
                <w:tcPr>
                  <w:tcW w:type="dxa" w:w="1122"/>
                  <w:vMerge/>
                  <w:tcBorders>
                    <w:top w:val="none" w:color="000000" w:sz="4"/>
                    <w:left w:val="none" w:color="000000" w:sz="4"/>
                    <w:bottom w:val="none" w:color="000000" w:sz="4"/>
                    <w:right w:val="single" w:color="000000" w:sz="4"/>
                  </w:tcBorders>
                </w:tcPr>
                <w:p/>
              </w:tc>
            </w:tr>
            <w:tr>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35</w:t>
                  </w:r>
                </w:p>
              </w:tc>
              <w:tc>
                <w:tcPr>
                  <w:tcW w:type="dxa" w:w="9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熟牛肚</w:t>
                  </w:r>
                </w:p>
              </w:tc>
              <w:tc>
                <w:tcPr>
                  <w:tcW w:type="dxa" w:w="1122"/>
                  <w:vMerge/>
                  <w:tcBorders>
                    <w:top w:val="none" w:color="000000" w:sz="4"/>
                    <w:left w:val="none" w:color="000000" w:sz="4"/>
                    <w:bottom w:val="none" w:color="000000" w:sz="4"/>
                    <w:right w:val="single" w:color="000000" w:sz="4"/>
                  </w:tcBorders>
                </w:tcPr>
                <w:p/>
              </w:tc>
            </w:tr>
          </w:tbl>
          <w:p>
            <w:pPr>
              <w:pStyle w:val="null3"/>
            </w:pPr>
            <w:r>
              <w:rPr>
                <w:rFonts w:ascii="仿宋_GB2312" w:hAnsi="仿宋_GB2312" w:cs="仿宋_GB2312" w:eastAsia="仿宋_GB2312"/>
              </w:rPr>
              <w:t>注：</w:t>
            </w:r>
          </w:p>
          <w:p>
            <w:pPr>
              <w:pStyle w:val="null3"/>
            </w:pPr>
            <w:r>
              <w:rPr>
                <w:rFonts w:ascii="仿宋_GB2312" w:hAnsi="仿宋_GB2312" w:cs="仿宋_GB2312" w:eastAsia="仿宋_GB2312"/>
              </w:rPr>
              <w:t>1.</w:t>
            </w:r>
            <w:r>
              <w:rPr>
                <w:rFonts w:ascii="仿宋_GB2312" w:hAnsi="仿宋_GB2312" w:cs="仿宋_GB2312" w:eastAsia="仿宋_GB2312"/>
              </w:rPr>
              <w:t>投标产品必须符合国家相关标准和强制性规定要求，为质量合格产品。所列产品标准如国家有调整的，应以调整后的最新标准为准。产品生产（包括原料采购、加工、运输、贮存等）应满足《</w:t>
            </w:r>
            <w:r>
              <w:rPr>
                <w:rFonts w:ascii="仿宋_GB2312" w:hAnsi="仿宋_GB2312" w:cs="仿宋_GB2312" w:eastAsia="仿宋_GB2312"/>
              </w:rPr>
              <w:t>GB14881-2013</w:t>
            </w:r>
            <w:r>
              <w:rPr>
                <w:rFonts w:ascii="仿宋_GB2312" w:hAnsi="仿宋_GB2312" w:cs="仿宋_GB2312" w:eastAsia="仿宋_GB2312"/>
              </w:rPr>
              <w:t>食品安全国家标准食品生产通用卫生规范》及相应产品的标准要求。</w:t>
            </w:r>
          </w:p>
          <w:p>
            <w:pPr>
              <w:pStyle w:val="null3"/>
            </w:pPr>
            <w:r>
              <w:rPr>
                <w:rFonts w:ascii="仿宋_GB2312" w:hAnsi="仿宋_GB2312" w:cs="仿宋_GB2312" w:eastAsia="仿宋_GB2312"/>
              </w:rPr>
              <w:t>配送的生鲜肉类应为当日生产的冷鲜肉，保证肉质新鲜，及时配送。应符合</w:t>
            </w:r>
            <w:r>
              <w:rPr>
                <w:rFonts w:ascii="仿宋_GB2312" w:hAnsi="仿宋_GB2312" w:cs="仿宋_GB2312" w:eastAsia="仿宋_GB2312"/>
              </w:rPr>
              <w:t xml:space="preserve">GB 9959.1-2001 </w:t>
            </w:r>
            <w:r>
              <w:rPr>
                <w:rFonts w:ascii="仿宋_GB2312" w:hAnsi="仿宋_GB2312" w:cs="仿宋_GB2312" w:eastAsia="仿宋_GB2312"/>
              </w:rPr>
              <w:t>鲜、冻片猪肉、</w:t>
            </w:r>
            <w:r>
              <w:rPr>
                <w:rFonts w:ascii="仿宋_GB2312" w:hAnsi="仿宋_GB2312" w:cs="仿宋_GB2312" w:eastAsia="仿宋_GB2312"/>
              </w:rPr>
              <w:t xml:space="preserve">GB 16869-2005 </w:t>
            </w:r>
            <w:r>
              <w:rPr>
                <w:rFonts w:ascii="仿宋_GB2312" w:hAnsi="仿宋_GB2312" w:cs="仿宋_GB2312" w:eastAsia="仿宋_GB2312"/>
              </w:rPr>
              <w:t>鲜、冻禽产品等食品安全国家标准和相关强制性规定。</w:t>
            </w:r>
          </w:p>
          <w:p>
            <w:pPr>
              <w:pStyle w:val="null3"/>
            </w:pPr>
            <w:r>
              <w:rPr>
                <w:rFonts w:ascii="仿宋_GB2312" w:hAnsi="仿宋_GB2312" w:cs="仿宋_GB2312" w:eastAsia="仿宋_GB2312"/>
              </w:rPr>
              <w:t>鲜猪肉</w:t>
            </w:r>
            <w:r>
              <w:rPr>
                <w:rFonts w:ascii="仿宋_GB2312" w:hAnsi="仿宋_GB2312" w:cs="仿宋_GB2312" w:eastAsia="仿宋_GB2312"/>
              </w:rPr>
              <w:t>(</w:t>
            </w:r>
            <w:r>
              <w:rPr>
                <w:rFonts w:ascii="仿宋_GB2312" w:hAnsi="仿宋_GB2312" w:cs="仿宋_GB2312" w:eastAsia="仿宋_GB2312"/>
              </w:rPr>
              <w:t>应是当日生产</w:t>
            </w:r>
            <w:r>
              <w:rPr>
                <w:rFonts w:ascii="仿宋_GB2312" w:hAnsi="仿宋_GB2312" w:cs="仿宋_GB2312" w:eastAsia="仿宋_GB2312"/>
              </w:rPr>
              <w:t>)</w:t>
            </w:r>
            <w:r>
              <w:rPr>
                <w:rFonts w:ascii="仿宋_GB2312" w:hAnsi="仿宋_GB2312" w:cs="仿宋_GB2312" w:eastAsia="仿宋_GB2312"/>
              </w:rPr>
              <w:t>供应时应有产地动物卫生监督机构出具当日的《动物检疫合格证明》和动物产品检疫合格验讫印章以及生猪定点屠宰厂肉品品质检验合格验讫印章。</w:t>
            </w:r>
          </w:p>
          <w:p>
            <w:pPr>
              <w:pStyle w:val="null3"/>
            </w:pPr>
            <w:r>
              <w:rPr>
                <w:rFonts w:ascii="仿宋_GB2312" w:hAnsi="仿宋_GB2312" w:cs="仿宋_GB2312" w:eastAsia="仿宋_GB2312"/>
              </w:rPr>
              <w:t>散装生鲜禽肉</w:t>
            </w:r>
            <w:r>
              <w:rPr>
                <w:rFonts w:ascii="仿宋_GB2312" w:hAnsi="仿宋_GB2312" w:cs="仿宋_GB2312" w:eastAsia="仿宋_GB2312"/>
              </w:rPr>
              <w:t>(</w:t>
            </w:r>
            <w:r>
              <w:rPr>
                <w:rFonts w:ascii="仿宋_GB2312" w:hAnsi="仿宋_GB2312" w:cs="仿宋_GB2312" w:eastAsia="仿宋_GB2312"/>
              </w:rPr>
              <w:t>应是当日生产</w:t>
            </w:r>
            <w:r>
              <w:rPr>
                <w:rFonts w:ascii="仿宋_GB2312" w:hAnsi="仿宋_GB2312" w:cs="仿宋_GB2312" w:eastAsia="仿宋_GB2312"/>
              </w:rPr>
              <w:t>)</w:t>
            </w:r>
            <w:r>
              <w:rPr>
                <w:rFonts w:ascii="仿宋_GB2312" w:hAnsi="仿宋_GB2312" w:cs="仿宋_GB2312" w:eastAsia="仿宋_GB2312"/>
              </w:rPr>
              <w:t>供应时应提供当日的《动物产品检疫合格证明》或《出县境动物产品检疫合格证明》，外地生鲜禽肉应有其所在地农业部门的检疫合格证明或检疫验讫标识，生鲜禽肉类必须保证新鲜，应符合食品安全溯源管理要求。</w:t>
            </w:r>
          </w:p>
          <w:p>
            <w:pPr>
              <w:pStyle w:val="null3"/>
            </w:pPr>
            <w:r>
              <w:rPr>
                <w:rFonts w:ascii="仿宋_GB2312" w:hAnsi="仿宋_GB2312" w:cs="仿宋_GB2312" w:eastAsia="仿宋_GB2312"/>
              </w:rPr>
              <w:t>①生鲜猪肉类：无槽头肉和血刀肉；甲状腺、肾上腺、病变淋巴摘除干净；无残留毛绒，不准带长短毛；不带浮毛、凝血块、胆污、粪污及其他污染物；肌肉应有光泽，不粘手，有弹性，指压后凹陷立即恢复原状，并具有鲜肉的正常气味，排骨类无龙骨。</w:t>
            </w:r>
          </w:p>
          <w:p>
            <w:pPr>
              <w:pStyle w:val="null3"/>
            </w:pPr>
            <w:r>
              <w:rPr>
                <w:rFonts w:ascii="仿宋_GB2312" w:hAnsi="仿宋_GB2312" w:cs="仿宋_GB2312" w:eastAsia="仿宋_GB2312"/>
              </w:rPr>
              <w:t>②生鲜禽肉类：家禽鲜活原料应体壮，色泽正常，无病，无内脏，无异物，符合规格要求，达到使用标准。</w:t>
            </w:r>
          </w:p>
          <w:p>
            <w:pPr>
              <w:pStyle w:val="null3"/>
            </w:pPr>
            <w:r>
              <w:rPr>
                <w:rFonts w:ascii="仿宋_GB2312" w:hAnsi="仿宋_GB2312" w:cs="仿宋_GB2312" w:eastAsia="仿宋_GB2312"/>
              </w:rPr>
              <w:t>禽蛋类供应时应有产地动物卫生监督机构出具的《动物检疫合格证明》。</w:t>
            </w:r>
          </w:p>
          <w:p>
            <w:pPr>
              <w:pStyle w:val="null3"/>
            </w:pPr>
            <w:r>
              <w:rPr>
                <w:rFonts w:ascii="仿宋_GB2312" w:hAnsi="仿宋_GB2312" w:cs="仿宋_GB2312" w:eastAsia="仿宋_GB2312"/>
              </w:rPr>
              <w:t>严格禁止供应如下食品：</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）腐败变质、油脂酸败、霉变、生虫、污秽不洁、混有异物或其他感官性状异常，对人体有害的；</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）含有毒、有害物质或被有害物质污染，对人体身体健康有害的；含有严重超出标准限量的农药残留、兽药残留、重金属、污染物质以及其他危害人体健康的；</w:t>
            </w:r>
          </w:p>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）未经动物部门检疫、检验或者检疫、检验不合格的肉类及其制品；</w:t>
            </w:r>
          </w:p>
          <w:p>
            <w:pPr>
              <w:pStyle w:val="null3"/>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）病死、毒死或不明死因的禽、蓄、兽、水产动物等及其制品；</w:t>
            </w:r>
          </w:p>
          <w:p>
            <w:pPr>
              <w:pStyle w:val="null3"/>
            </w:pP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）用非食品原料加工的，加入非食品用化学物质或将非食品当作食品的。</w:t>
            </w:r>
          </w:p>
          <w:p>
            <w:pPr>
              <w:pStyle w:val="null3"/>
            </w:pPr>
            <w:r>
              <w:rPr>
                <w:rFonts w:ascii="仿宋_GB2312" w:hAnsi="仿宋_GB2312" w:cs="仿宋_GB2312" w:eastAsia="仿宋_GB2312"/>
              </w:rPr>
              <w:t>水产类：新鲜程度高，须保证鲜活（冻货除外）、大小基本统一。要求身体表面光洁有正常粘液，无异常色泽肉质，有弹性（有鳞鱼类还须鳞片完整或极少量脱落），眼球微凸，有光泽，不凹陷，无灰白色，鱼鳃鲜红，不乌，肉质结构紧密，肉刺不分离，无异味。</w:t>
            </w:r>
          </w:p>
          <w:p>
            <w:pPr>
              <w:pStyle w:val="null3"/>
            </w:pPr>
            <w:r>
              <w:rPr>
                <w:rFonts w:ascii="仿宋_GB2312" w:hAnsi="仿宋_GB2312" w:cs="仿宋_GB2312" w:eastAsia="仿宋_GB2312"/>
              </w:rPr>
              <w:t>水发类：颜色色泽正常，无腐败变质、无霉变、气味正常、无刺激性异味，无掺假掺杂，严禁使用非食品添加剂、保持食材原有特性、正常加热后不能化渣。</w:t>
            </w:r>
          </w:p>
          <w:p>
            <w:pPr>
              <w:pStyle w:val="null3"/>
            </w:pPr>
            <w:r>
              <w:rPr>
                <w:rFonts w:ascii="仿宋_GB2312" w:hAnsi="仿宋_GB2312" w:cs="仿宋_GB2312" w:eastAsia="仿宋_GB2312"/>
              </w:rPr>
              <w:t>冻肉制品类：冷冻肉要求肉体冻实而坚硬，无化冻现象，肉质紧密而有弹性，色泽均匀，不粘手，交货时干净、新鲜、无异味；冷冻鱼类要求鱼眼睛清亮，角膜透明，鳞片上覆有冻结的透明黏液层，皮肤天然色泽明显。冷冻肉类食品解冻后净重量不少于</w:t>
            </w:r>
            <w:r>
              <w:rPr>
                <w:rFonts w:ascii="仿宋_GB2312" w:hAnsi="仿宋_GB2312" w:cs="仿宋_GB2312" w:eastAsia="仿宋_GB2312"/>
              </w:rPr>
              <w:t>92%</w:t>
            </w:r>
            <w:r>
              <w:rPr>
                <w:rFonts w:ascii="仿宋_GB2312" w:hAnsi="仿宋_GB2312" w:cs="仿宋_GB2312" w:eastAsia="仿宋_GB2312"/>
              </w:rPr>
              <w:t>，所有冷冻食品要求清晰列出产品品牌、规格、类型、包装方式、包装净重、含冰量等相关参数。</w:t>
            </w:r>
          </w:p>
          <w:p>
            <w:pPr>
              <w:pStyle w:val="null3"/>
            </w:pPr>
            <w:r>
              <w:rPr>
                <w:rFonts w:ascii="仿宋_GB2312" w:hAnsi="仿宋_GB2312" w:cs="仿宋_GB2312" w:eastAsia="仿宋_GB2312"/>
                <w:sz w:val="21"/>
              </w:rPr>
              <w:t>2.</w:t>
            </w:r>
            <w:r>
              <w:rPr>
                <w:rFonts w:ascii="仿宋_GB2312" w:hAnsi="仿宋_GB2312" w:cs="仿宋_GB2312" w:eastAsia="仿宋_GB2312"/>
                <w:sz w:val="21"/>
              </w:rPr>
              <w:t>首次供应时提供《动物防疫条件合格证》等；首次配送时，应向甲方提供所有参与配送人员有效健康证；更换人员时需另附有效健康证；配送的每一批次货物，应附带检验检疫合格证。</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省临潼疗养院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省临潼疗养院</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省临潼疗养院</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省临潼疗养院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食材配送费用按月结算。结算前，由中标人于每月与采购人就供应数量进行核对，无误后由中标人出具全额发票，否则，采购人有权拒绝付款，无需承担任何责任，且中标人不得以此为由拒绝履行协议义务 ，达到付款条件起60个工作日内，支付合同总金额的100.0%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食材配送费用按月结算。结算前，由中标人于每月与采购人就供应数量进行核对，无误后由中标人出具全额发票，否则，采购人有权拒绝付款，无需承担任何责任，且中标人不得以此为由拒绝履行协议义务 ，达到付款条件起60个工作日内，支付合同总金额的100.0%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食材配送费用按月结算。结算前，由中标人于每月与采购人就供应数量进行核对，无误后由中标人出具全额发票，否则，采购人有权拒绝付款，无需承担任何责任，且中标人不得以此为由拒绝履行协议义务 ，达到付款条件起60个工作日内，支付合同总金额的100.0%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食材配送费用按月结算。结算前，由中标人于每月与采购人就供应数量进行核对，无误后由中标人出具全额发票，否则，采购人有权拒绝付款，无需承担任何责任，且中标人不得以此为由拒绝履行协议义务 ，达到付款条件起60个工作日内，支付合同总金额的100.0%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详见拟签订的合同文本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本项目每个投标供应商最多只能中两个包。若同一投标供应商在不同标包中综合得分排名第一时，确定其为包号顺序靠前一包的中标供应商，如两个包被推荐为第一中标候选人后，其他相关包推荐综合得分排名第二的投标供应商为该包的中标供应商。本项目标包号作为评标的先后顺序。 3.5.2基准价格确定流程 1)、每个自然周为一个询价周期，采购人派员组成3人以上单数询价小组进行市场询价确定下周基准价格；2)、询价对象：临潼区大型超市（华润万家、全都超市、大可超市）；3)、询价流程：由采购人根据实际需求制定询价表，至少询价3个不同品牌超市，选取同品牌型号同等质量前提下的最低价作为基准价，询价结束后询价小组成员签字确认。 4)、其他没有参考价格的特殊原材料产品本着互利共赢的原则，由双方议价确定供应价格；5)、遇大型活动、突发公共事件、不可抗力等特殊情况无法按期询价的，暂按上一期基准价执行，待询价完成，再执行新基准价。3.5.3结算价格 餐料结算价格=基准价格*（1-优惠率）。 实际结算费用=餐料结算价格×该价格餐料供应数量。 各供应商自行承担每期内的价格波动风险，合理报价，不接受调价申请。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供应商参加政府采购活动承诺书.docx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供应商参加政府采购活动承诺书.docx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供应商参加政府采购活动承诺书.docx 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供应商参加政府采购活动承诺书.docx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经审计的财务会计报告（成立时间至提交投标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提供2025年12月至今已缴纳的至少一个月的纳税证明或完税证明（任意税种），依法免税的单位应提供相关证明材料；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提供2025年12月至今已缴存的至少一个月的社会保障资金缴存单据或社保机构开具的社会保险参保缴费情况证明，依法不需要缴纳社会保障资金的单位应提供相关证明材料；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供应商为生产厂家的须具有《食品生产许可证》、《食品经营许可证》；供应商为代理商的须提供《食品经营许可证》；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资格审查阶段通过互联网或者相关系统查询，对列入失信被执行人、重大税收违法失信主体、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经审计的财务会计报告（成立时间至提交投标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提供2025年12月至今已缴纳的至少一个月的纳税证明或完税证明（任意税种），依法免税的单位应提供相关证明材料；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提供2025年12月至今已缴存的至少一个月的社会保障资金缴存单据或社保机构开具的社会保险参保缴费情况证明，依法不需要缴纳社会保障资金的单位应提供相关证明材料；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供应商为生产厂家的须具有《食品生产许可证》、《食品经营许可证》；供应商为代理商的须提供《食品经营许可证》；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资格审查阶段通过互联网或者相关系统查询，对列入失信被执行人、重大税收违法失信主体、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经审计的财务会计报告（成立时间至提交投标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提供2025年12月至今已缴纳的至少一个月的纳税证明或完税证明（任意税种），依法免税的单位应提供相关证明材料；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提供2025年12月至今已缴存的至少一个月的社会保障资金缴存单据或社保机构开具的社会保险参保缴费情况证明，依法不需要缴纳社会保障资金的单位应提供相关证明材料；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供应商为生产厂家的须具有《食品生产许可证》、《食品经营许可证》；供应商为代理商的须提供《食品经营许可证》；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资格审查阶段通过互联网或者相关系统查询，对列入失信被执行人、重大税收违法失信主体、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经审计的财务会计报告（成立时间至提交投标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提供2025年12月至今已缴纳的至少一个月的纳税证明或完税证明（任意税种），依法免税的单位应提供相关证明材料；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提供2025年12月至今已缴存的至少一个月的社会保障资金缴存单据或社保机构开具的社会保险参保缴费情况证明，依法不需要缴纳社会保障资金的单位应提供相关证明材料；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供应商为生产厂家的须具有《食品生产许可证》、《食品经营许可证》；供应商为代理商的须提供《食品经营许可证》；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资格审查阶段通过互联网或者相关系统查询，对列入失信被执行人、重大税收违法失信主体、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投标文件按照招标文件要求签署、盖章</w:t>
            </w:r>
          </w:p>
        </w:tc>
        <w:tc>
          <w:tcPr>
            <w:tcW w:type="dxa" w:w="1661"/>
          </w:tcPr>
          <w:p>
            <w:pPr>
              <w:pStyle w:val="null3"/>
            </w:pPr>
            <w:r>
              <w:rPr>
                <w:rFonts w:ascii="仿宋_GB2312" w:hAnsi="仿宋_GB2312" w:cs="仿宋_GB2312" w:eastAsia="仿宋_GB2312"/>
              </w:rPr>
              <w:t>供应商参加政府采购活动承诺书.docx 投标方案.docx 技术要求偏离表.docx 投标人应提交的相关资格证明材料.docx 投标函 残疾人福利性单位声明函 中小企业声明函 标的清单 投标文件封面 商务条款偏离表.docx 监狱企业的证明文件 优惠率确认表.docx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供应商参加政府采购活动承诺书.docx 技术要求偏离表.docx 投标方案.docx 投标人应提交的相关资格证明材料.docx 投标函 中小企业声明函 残疾人福利性单位声明函 标的清单 投标文件封面 商务条款偏离表.docx 监狱企业的证明文件 优惠率确认表.docx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投标文件按照招标文件要求签署、盖章</w:t>
            </w:r>
          </w:p>
        </w:tc>
        <w:tc>
          <w:tcPr>
            <w:tcW w:type="dxa" w:w="1661"/>
          </w:tcPr>
          <w:p>
            <w:pPr>
              <w:pStyle w:val="null3"/>
            </w:pPr>
            <w:r>
              <w:rPr>
                <w:rFonts w:ascii="仿宋_GB2312" w:hAnsi="仿宋_GB2312" w:cs="仿宋_GB2312" w:eastAsia="仿宋_GB2312"/>
              </w:rPr>
              <w:t>供应商参加政府采购活动承诺书.docx 投标方案.docx 技术要求偏离表.docx 投标人应提交的相关资格证明材料.docx 投标函 残疾人福利性单位声明函 中小企业声明函 标的清单 投标文件封面 商务条款偏离表.docx 监狱企业的证明文件 优惠率确认表.docx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供应商参加政府采购活动承诺书.docx 投标方案.docx 技术要求偏离表.docx 投标人应提交的相关资格证明材料.docx 投标函 中小企业声明函 残疾人福利性单位声明函 标的清单 投标文件封面 商务条款偏离表.docx 监狱企业的证明文件 优惠率确认表.docx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投标文件按照招标文件要求签署、盖章</w:t>
            </w:r>
          </w:p>
        </w:tc>
        <w:tc>
          <w:tcPr>
            <w:tcW w:type="dxa" w:w="1661"/>
          </w:tcPr>
          <w:p>
            <w:pPr>
              <w:pStyle w:val="null3"/>
            </w:pPr>
            <w:r>
              <w:rPr>
                <w:rFonts w:ascii="仿宋_GB2312" w:hAnsi="仿宋_GB2312" w:cs="仿宋_GB2312" w:eastAsia="仿宋_GB2312"/>
              </w:rPr>
              <w:t>供应商参加政府采购活动承诺书.docx 投标方案.docx 技术要求偏离表.docx 投标人应提交的相关资格证明材料.docx 投标函 残疾人福利性单位声明函 中小企业声明函 标的清单 投标文件封面 商务条款偏离表.docx 监狱企业的证明文件 优惠率确认表.docx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供应商参加政府采购活动承诺书.docx 投标方案.docx 技术要求偏离表.docx 投标人应提交的相关资格证明材料.docx 投标函 中小企业声明函 残疾人福利性单位声明函 标的清单 投标文件封面 商务条款偏离表.docx 监狱企业的证明文件 优惠率确认表.docx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投标文件按照招标文件要求签署、盖章</w:t>
            </w:r>
          </w:p>
        </w:tc>
        <w:tc>
          <w:tcPr>
            <w:tcW w:type="dxa" w:w="1661"/>
          </w:tcPr>
          <w:p>
            <w:pPr>
              <w:pStyle w:val="null3"/>
            </w:pPr>
            <w:r>
              <w:rPr>
                <w:rFonts w:ascii="仿宋_GB2312" w:hAnsi="仿宋_GB2312" w:cs="仿宋_GB2312" w:eastAsia="仿宋_GB2312"/>
              </w:rPr>
              <w:t>供应商参加政府采购活动承诺书.docx 投标方案.docx 技术要求偏离表.docx 投标人应提交的相关资格证明材料.docx 投标函 残疾人福利性单位声明函 中小企业声明函 标的清单 投标文件封面 商务条款偏离表.docx 监狱企业的证明文件 优惠率确认表.docx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供应商参加政府采购活动承诺书.docx 投标方案.docx 技术要求偏离表.docx 投标人应提交的相关资格证明材料.docx 投标函 中小企业声明函 残疾人福利性单位声明函 标的清单 投标文件封面 商务条款偏离表.docx 监狱企业的证明文件 优惠率确认表.docx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评审内容：供应商提供的配送服务方案内容包括①供货保障、②管理制度、③运行模式。 以上内容全面详细配送服务方案详细全面、思路清晰、科学合理、切实可行，完全满足采购人需求计6分。 评审内容缺每一项扣2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评审内容：供应商提供的质量保证方案内容包括①质量安全保证具体措施、②卫生安全、③货物的来源（提供必要的证明材料复印件或扫描件包括但不限于销售协议、代理商授权、检测报告等）、④采购环节控制、⑤加工包装保存运输等环节。以上内容全面详细、目标明确、科学合理 质量保证方案完整、详尽，证明文件齐全计5分； 评审内容缺每一项扣1分,评审内容有缺陷（缺陷是指：内容粗略、逻辑混乱、描述过于简单、与项目特点不匹配、凭空编造、逻辑漏洞、出现常识性错误、存在不适用项目实际情况的情形或只有标题没有实质性内容等）的任意一种情形扣0.5分，扣完为止，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应急配送方案</w:t>
            </w:r>
          </w:p>
        </w:tc>
        <w:tc>
          <w:tcPr>
            <w:tcW w:type="dxa" w:w="2492"/>
          </w:tcPr>
          <w:p>
            <w:pPr>
              <w:pStyle w:val="null3"/>
            </w:pPr>
            <w:r>
              <w:rPr>
                <w:rFonts w:ascii="仿宋_GB2312" w:hAnsi="仿宋_GB2312" w:cs="仿宋_GB2312" w:eastAsia="仿宋_GB2312"/>
              </w:rPr>
              <w:t>评审内容：供应商针对本项目的应急配送方案内容包括①采购人临时需求、②恶劣天气影响、③食材短缺。以上内容全面详细、阐述条理清晰详尽，符合本项目需求得6分。评审内容每缺一项扣2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货源保障</w:t>
            </w:r>
          </w:p>
        </w:tc>
        <w:tc>
          <w:tcPr>
            <w:tcW w:type="dxa" w:w="2492"/>
          </w:tcPr>
          <w:p>
            <w:pPr>
              <w:pStyle w:val="null3"/>
            </w:pPr>
            <w:r>
              <w:rPr>
                <w:rFonts w:ascii="仿宋_GB2312" w:hAnsi="仿宋_GB2312" w:cs="仿宋_GB2312" w:eastAsia="仿宋_GB2312"/>
              </w:rPr>
              <w:t>提供货源保障的承诺书，内容包括但不限于若后续中标，可完全满足采购人的日常供货需求，若无法满足的自愿接受罚款等处理。提供的承诺内容满足上述要求的得3分，不满足或未提供的不得分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提供售后服务的承诺书，内容包括但不限于因产品质量(过期等)或配送造成一切安全问题(运输途中产生的破损、胀袋等)和后果承担全部责任等。提供的承诺内容满足上述要求的得3分，不满足或未提供的不得分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仓储能力满足本项目需求，包括但不限于配送车间、保鲜仓库冷藏及冷冻仓库仓储等。(提供库房产权证明或租赁合同，附场地彩图)。库房面积≥100平方米得3分;库房面积≥200平方米得6分;库房面积≥500平方米得10分。未提供或提供不全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运输车辆</w:t>
            </w:r>
          </w:p>
        </w:tc>
        <w:tc>
          <w:tcPr>
            <w:tcW w:type="dxa" w:w="2492"/>
          </w:tcPr>
          <w:p>
            <w:pPr>
              <w:pStyle w:val="null3"/>
            </w:pPr>
            <w:r>
              <w:rPr>
                <w:rFonts w:ascii="仿宋_GB2312" w:hAnsi="仿宋_GB2312" w:cs="仿宋_GB2312" w:eastAsia="仿宋_GB2312"/>
              </w:rPr>
              <w:t>供应商应具有符合食品安全要求的运输车辆。如是企业名下或企业负责人名下车辆提供一辆合格车辆得5分，满分10分;(提供购车发票、车辆行驶证、车辆保险；如是租赁车辆提供一辆合格车辆得3分，满分6分;(提供车辆租赁合同、车辆行驶证、车辆保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配备人员</w:t>
            </w:r>
          </w:p>
        </w:tc>
        <w:tc>
          <w:tcPr>
            <w:tcW w:type="dxa" w:w="2492"/>
          </w:tcPr>
          <w:p>
            <w:pPr>
              <w:pStyle w:val="null3"/>
            </w:pPr>
            <w:r>
              <w:rPr>
                <w:rFonts w:ascii="仿宋_GB2312" w:hAnsi="仿宋_GB2312" w:cs="仿宋_GB2312" w:eastAsia="仿宋_GB2312"/>
              </w:rPr>
              <w:t>提供为本项目组建的服务团队(配送及分拣人员2人、司机2人等)人员共计4人，计8分。配备不齐不得分。每增加一人计2分，最高得6分。本项共计12分。(需提供人员健康证、劳动合同;司机还需提供驾驶证复印件)。</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评审内容：所供产品出现不合格、运输途中破损等问题时，供应商接到采购人通知后的响应时间及退换货方案评审。 以上内容全面详细、阐述条理清晰详尽，符合本项目需求得3分； 评审内容有缺陷（缺陷是指：内容粗略、逻辑混乱、描述过于简单、与项目特点不匹配、凭空编造、逻辑漏洞、出现常识性错误、存在不适用项目实际情况的情形或只有标题没有实质性内容等）的任意一种情形扣0.5分，扣完为止，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提供投标人2023年7月至今的类似项目业绩（业绩证明材料以甲乙双方签订的合同为依据），每提供一份计2分，满分10分,未提供的或内容、时间不符合要求的不得分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价格分统一采用低价优先法计算，即满足招标文件要求且优惠率最大的投标报价为评标基准价（即评标基准价=1-优惠率），其价格分为满分。其他投标人的价格分统一按照下列公式计算： 投标报价得分=(评标基准价／（1-其他投标人的优惠率）)×30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优惠率确认表.docx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评审内容：供应商提供的配送服务方案内容包括①供货保障、②管理制度、③运行模式。 以上内容全面详细配送服务方案详细全面、思路清晰、科学合理、切实可行，完全满足采购人需求计6分。 评审内容缺每一项扣2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评审内容：供应商提供的质量保证方案内容包括①质量安全保证具体措施、②卫生安全、③货物的来源（提供必要的证明材料复印件或扫描件包括但不限于销售协议、代理商授权、检测报告等）、④采购环节控制、⑤加工包装保存运输等环节。以上内容全面详细、目标明确、科学合理 质量保证方案完整、详尽，证明文件齐全计5分； 评审内容缺每一项扣1分,评审内容有缺陷（缺陷是指：内容粗略、逻辑混乱、描述过于简单、与项目特点不匹配、凭空编造、逻辑漏洞、出现常识性错误、存在不适用项目实际情况的情形或只有标题没有实质性内容等）的任意一种情形扣0.5分，扣完为止，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应急配送方案</w:t>
            </w:r>
          </w:p>
        </w:tc>
        <w:tc>
          <w:tcPr>
            <w:tcW w:type="dxa" w:w="2492"/>
          </w:tcPr>
          <w:p>
            <w:pPr>
              <w:pStyle w:val="null3"/>
            </w:pPr>
            <w:r>
              <w:rPr>
                <w:rFonts w:ascii="仿宋_GB2312" w:hAnsi="仿宋_GB2312" w:cs="仿宋_GB2312" w:eastAsia="仿宋_GB2312"/>
              </w:rPr>
              <w:t>评审内容：供应商针对本项目的应急配送方案内容包括①采购人临时需求、②恶劣天气影响、③食材短缺。以上内容全面详细、阐述条理清晰详尽，符合本项目需求得6分。评审内容每缺一项扣2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货源保障</w:t>
            </w:r>
          </w:p>
        </w:tc>
        <w:tc>
          <w:tcPr>
            <w:tcW w:type="dxa" w:w="2492"/>
          </w:tcPr>
          <w:p>
            <w:pPr>
              <w:pStyle w:val="null3"/>
            </w:pPr>
            <w:r>
              <w:rPr>
                <w:rFonts w:ascii="仿宋_GB2312" w:hAnsi="仿宋_GB2312" w:cs="仿宋_GB2312" w:eastAsia="仿宋_GB2312"/>
              </w:rPr>
              <w:t>提供货源保障的承诺书，内容包括但不限于若后续中标，可完全满足采购人的日常供货需求，若无法满足的自愿接受罚款等处理。提供的承诺内容满足上述要求的得3分，不满足或未提供的不得分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提供售后服务的承诺书，内容包括但不限于因产品质量(过期等)或配送造成一切安全问题(运输途中产生的破损、胀袋等)和后果承担全部责任等。提供的承诺内容满足上述要求的得3分，不满足或未提供的不得分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仓储能力满足本项目需求，包括但不限于配送车间、保鲜仓库冷藏及冷冻仓库仓储等。(提供库房产权证明或租赁合同，附场地彩图)。库房面积≥100平方米得3分;库房面积≥200平方米得6分;库房面积≥500平方米得10分。未提供或提供不全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运输车辆</w:t>
            </w:r>
          </w:p>
        </w:tc>
        <w:tc>
          <w:tcPr>
            <w:tcW w:type="dxa" w:w="2492"/>
          </w:tcPr>
          <w:p>
            <w:pPr>
              <w:pStyle w:val="null3"/>
            </w:pPr>
            <w:r>
              <w:rPr>
                <w:rFonts w:ascii="仿宋_GB2312" w:hAnsi="仿宋_GB2312" w:cs="仿宋_GB2312" w:eastAsia="仿宋_GB2312"/>
              </w:rPr>
              <w:t>供应商应具有符合食品安全要求的运输车辆。如是企业名下或企业负责人名下车辆提供一辆合格车辆得5分，满分10分;(提供购车发票、车辆行驶证、车辆保险；如是租赁车辆提供一辆合格车辆得3分，满分6分;(提供车辆租赁合同、车辆行驶证、车辆保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配备人员</w:t>
            </w:r>
          </w:p>
        </w:tc>
        <w:tc>
          <w:tcPr>
            <w:tcW w:type="dxa" w:w="2492"/>
          </w:tcPr>
          <w:p>
            <w:pPr>
              <w:pStyle w:val="null3"/>
            </w:pPr>
            <w:r>
              <w:rPr>
                <w:rFonts w:ascii="仿宋_GB2312" w:hAnsi="仿宋_GB2312" w:cs="仿宋_GB2312" w:eastAsia="仿宋_GB2312"/>
              </w:rPr>
              <w:t>提供为本项目组建的服务团队(配送及分拣人员2人、司机2人等)人员共计4人，计8分。配备不齐不得分。每增加一人计2分，最高得6分。本项共计12分。(需提供人员健康证、劳动合同;司机还需提供驾驶证复印件)。</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评审内容：所供产品出现不合格、运输途中破损等问题时，供应商接到采购人通知后的响应时间及退换货方案评审。 以上内容全面详细、阐述条理清晰详尽，符合本项目需求得3分； 评审内容有缺陷（缺陷是指：内容粗略、逻辑混乱、描述过于简单、与项目特点不匹配、凭空编造、逻辑漏洞、出现常识性错误、存在不适用项目实际情况的情形或只有标题没有实质性内容等）的任意一种情形扣0.5分，扣完为止，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提供投标人2023年7月至今的类似项目业绩（业绩证明材料以甲乙双方签订的合同为依据），每提供一份计2分，满分10分,未提供的或内容、时间不符合要求的不得分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价格分统一采用低价优先法计算，即满足招标文件要求且优惠率最大的投标报价为评标基准价（即评标基准价=1-优惠率），其价格分为满分。其他投标人的价格分统一按照下列公式计算： 投标报价得分=(评标基准价／（1-其他投标人的优惠率）)×30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优惠率确认表.docx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评审内容：供应商提供的配送服务方案内容包括①供货保障、②管理制度、③运行模式。 以上内容全面详细配送服务方案详细全面、思路清晰、科学合理、切实可行，完全满足采购人需求计6分。 评审内容缺每一项扣2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评审内容：供应商提供的质量保证方案内容包括①质量安全保证具体措施、②卫生安全、③货物的来源（提供必要的证明材料复印件或扫描件包括但不限于销售协议、代理商授权、检测报告等）、④采购环节控制、⑤加工包装保存运输等环节。以上内容全面详细、目标明确、科学合理 质量保证方案完整、详尽，证明文件齐全计5分； 评审内容缺每一项扣1分,评审内容有缺陷（缺陷是指：内容粗略、逻辑混乱、描述过于简单、与项目特点不匹配、凭空编造、逻辑漏洞、出现常识性错误、存在不适用项目实际情况的情形或只有标题没有实质性内容等）的任意一种情形扣0.5分，扣完为止，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应急配送方案</w:t>
            </w:r>
          </w:p>
        </w:tc>
        <w:tc>
          <w:tcPr>
            <w:tcW w:type="dxa" w:w="2492"/>
          </w:tcPr>
          <w:p>
            <w:pPr>
              <w:pStyle w:val="null3"/>
            </w:pPr>
            <w:r>
              <w:rPr>
                <w:rFonts w:ascii="仿宋_GB2312" w:hAnsi="仿宋_GB2312" w:cs="仿宋_GB2312" w:eastAsia="仿宋_GB2312"/>
              </w:rPr>
              <w:t>评审内容：供应商针对本项目的应急配送方案内容包括①采购人临时需求、②恶劣天气影响、③食材短缺。以上内容全面详细、阐述条理清晰详尽，符合本项目需求得6分。评审内容每缺一项扣2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货源保障</w:t>
            </w:r>
          </w:p>
        </w:tc>
        <w:tc>
          <w:tcPr>
            <w:tcW w:type="dxa" w:w="2492"/>
          </w:tcPr>
          <w:p>
            <w:pPr>
              <w:pStyle w:val="null3"/>
            </w:pPr>
            <w:r>
              <w:rPr>
                <w:rFonts w:ascii="仿宋_GB2312" w:hAnsi="仿宋_GB2312" w:cs="仿宋_GB2312" w:eastAsia="仿宋_GB2312"/>
              </w:rPr>
              <w:t>提供货源保障的承诺书，内容包括但不限于若后续中标，可完全满足采购人的日常供货需求，若无法满足的自愿接受罚款等处理。提供的承诺内容满足上述要求的得3分，不满足或未提供的不得分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提供售后服务的承诺书，内容包括但不限于因产品质量(过期等)或配送造成一切安全问题(运输途中产生的破损、胀袋等)和后果承担全部责任等。提供的承诺内容满足上述要求的得3分，不满足或未提供的不得分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仓储能力满足本项目需求，包括但不限于配送车间、保鲜仓库冷藏及冷冻仓库仓储等。(提供库房产权证明或租赁合同，附场地彩图)。库房面积≥100平方米得3分;库房面积≥200平方米得6分;库房面积≥500平方米得10分。未提供或提供不全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运输车辆</w:t>
            </w:r>
          </w:p>
        </w:tc>
        <w:tc>
          <w:tcPr>
            <w:tcW w:type="dxa" w:w="2492"/>
          </w:tcPr>
          <w:p>
            <w:pPr>
              <w:pStyle w:val="null3"/>
            </w:pPr>
            <w:r>
              <w:rPr>
                <w:rFonts w:ascii="仿宋_GB2312" w:hAnsi="仿宋_GB2312" w:cs="仿宋_GB2312" w:eastAsia="仿宋_GB2312"/>
              </w:rPr>
              <w:t>供应商应具有符合食品安全要求的运输车辆。如是企业名下或企业负责人名下车辆提供一辆合格车辆得5分，满分10分;(提供购车发票、车辆行驶证、车辆保险；如是租赁车辆提供一辆合格车辆得3分，满分6分;(提供车辆租赁合同、车辆行驶证、车辆保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配备人员</w:t>
            </w:r>
          </w:p>
        </w:tc>
        <w:tc>
          <w:tcPr>
            <w:tcW w:type="dxa" w:w="2492"/>
          </w:tcPr>
          <w:p>
            <w:pPr>
              <w:pStyle w:val="null3"/>
            </w:pPr>
            <w:r>
              <w:rPr>
                <w:rFonts w:ascii="仿宋_GB2312" w:hAnsi="仿宋_GB2312" w:cs="仿宋_GB2312" w:eastAsia="仿宋_GB2312"/>
              </w:rPr>
              <w:t>提供为本项目组建的服务团队(配送及分拣人员2人、司机2人等)人员共计4人，计8分。配备不齐不得分。每增加一人计2分，最高得6分。本项共计12分。(需提供人员健康证、劳动合同;司机还需提供驾驶证复印件)。</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评审内容：所供产品出现不合格、运输途中破损等问题时，供应商接到采购人通知后的响应时间及退换货方案评审。 以上内容全面详细、阐述条理清晰详尽，符合本项目需求得3分； 评审内容有缺陷（缺陷是指：内容粗略、逻辑混乱、描述过于简单、与项目特点不匹配、凭空编造、逻辑漏洞、出现常识性错误、存在不适用项目实际情况的情形或只有标题没有实质性内容等）的任意一种情形扣0.5分，扣完为止，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提供投标人2023年7月至今的类似项目业绩（业绩证明材料以甲乙双方签订的合同为依据），每提供一份计2分，满分10分,未提供的或内容、时间不符合要求的不得分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价格分统一采用低价优先法计算，即满足招标文件要求且优惠率最大的投标报价为评标基准价（即评标基准价=1-优惠率），其价格分为满分。其他投标人的价格分统一按照下列公式计算： 投标报价得分=(评标基准价／（1-其他投标人的优惠率）)×30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优惠率确认表.docx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评审内容：供应商提供的配送服务方案内容包括①供货保障、②管理制度、③运行模式。 以上内容全面详细配送服务方案详细全面、思路清晰、科学合理、切实可行，完全满足采购人需求计6分。 评审内容缺每一项扣2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评审内容：供应商提供的质量保证方案内容包括①质量安全保证具体措施、②卫生安全、③货物的来源（提供必要的证明材料复印件或扫描件包括但不限于销售协议、代理商授权、检测报告等）、④采购环节控制、⑤加工包装保存运输等环节。以上内容全面详细、目标明确、科学合理 质量保证方案完整、详尽，证明文件齐全计5分； 评审内容缺每一项扣1分,评审内容有缺陷（缺陷是指：内容粗略、逻辑混乱、描述过于简单、与项目特点不匹配、凭空编造、逻辑漏洞、出现常识性错误、存在不适用项目实际情况的情形或只有标题没有实质性内容等）的任意一种情形扣0.5分，扣完为止，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应急配送方案</w:t>
            </w:r>
          </w:p>
        </w:tc>
        <w:tc>
          <w:tcPr>
            <w:tcW w:type="dxa" w:w="2492"/>
          </w:tcPr>
          <w:p>
            <w:pPr>
              <w:pStyle w:val="null3"/>
            </w:pPr>
            <w:r>
              <w:rPr>
                <w:rFonts w:ascii="仿宋_GB2312" w:hAnsi="仿宋_GB2312" w:cs="仿宋_GB2312" w:eastAsia="仿宋_GB2312"/>
              </w:rPr>
              <w:t>评审内容：供应商针对本项目的应急配送方案内容包括①采购人临时需求、②恶劣天气影响、③食材短缺。以上内容全面详细、阐述条理清晰详尽，符合本项目需求得6分。评审内容每缺一项扣2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货源保障</w:t>
            </w:r>
          </w:p>
        </w:tc>
        <w:tc>
          <w:tcPr>
            <w:tcW w:type="dxa" w:w="2492"/>
          </w:tcPr>
          <w:p>
            <w:pPr>
              <w:pStyle w:val="null3"/>
            </w:pPr>
            <w:r>
              <w:rPr>
                <w:rFonts w:ascii="仿宋_GB2312" w:hAnsi="仿宋_GB2312" w:cs="仿宋_GB2312" w:eastAsia="仿宋_GB2312"/>
              </w:rPr>
              <w:t>提供货源保障的承诺书，内容包括但不限于若后续中标，可完全满足采购人的日常供货需求，若无法满足的自愿接受罚款等处理。提供的承诺内容满足上述要求的得3分，不满足或未提供的不得分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提供售后服务的承诺书，内容包括但不限于因产品质量(过期等)或配送造成一切安全问题(运输途中产生的破损、胀袋等)和后果承担全部责任等。提供的承诺内容满足上述要求的得3分，不满足或未提供的不得分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仓储能力满足本项目需求，包括但不限于配送车间、保鲜仓库冷藏及冷冻仓库仓储等。(提供库房产权证明或租赁合同，附场地彩图)。库房面积≥100平方米得3分;库房面积≥200平方米得6分;库房面积≥500平方米得10分。未提供或提供不全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运输车辆</w:t>
            </w:r>
          </w:p>
        </w:tc>
        <w:tc>
          <w:tcPr>
            <w:tcW w:type="dxa" w:w="2492"/>
          </w:tcPr>
          <w:p>
            <w:pPr>
              <w:pStyle w:val="null3"/>
            </w:pPr>
            <w:r>
              <w:rPr>
                <w:rFonts w:ascii="仿宋_GB2312" w:hAnsi="仿宋_GB2312" w:cs="仿宋_GB2312" w:eastAsia="仿宋_GB2312"/>
              </w:rPr>
              <w:t>供应商应具有符合食品安全要求的运输车辆。如是企业名下或企业负责人名下车辆提供一辆合格车辆得5分，满分10分;(提供购车发票、车辆行驶证、车辆保险；如是租赁车辆提供一辆合格车辆得3分，满分6分;(提供车辆租赁合同、车辆行驶证、车辆保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配备人员</w:t>
            </w:r>
          </w:p>
        </w:tc>
        <w:tc>
          <w:tcPr>
            <w:tcW w:type="dxa" w:w="2492"/>
          </w:tcPr>
          <w:p>
            <w:pPr>
              <w:pStyle w:val="null3"/>
            </w:pPr>
            <w:r>
              <w:rPr>
                <w:rFonts w:ascii="仿宋_GB2312" w:hAnsi="仿宋_GB2312" w:cs="仿宋_GB2312" w:eastAsia="仿宋_GB2312"/>
              </w:rPr>
              <w:t>提供为本项目组建的服务团队(配送及分拣人员2人、司机2人等)人员共计4人，计8分。配备不齐不得分。每增加一人计2分，最高得6分。本项共计12分。(需提供人员健康证、劳动合同;司机还需提供驾驶证复印件)。</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评审内容：所供产品出现不合格、运输途中破损等问题时，供应商接到采购人通知后的响应时间及退换货方案评审。 以上内容全面详细、阐述条理清晰详尽，符合本项目需求得3分； 评审内容有缺陷（缺陷是指：内容粗略、逻辑混乱、描述过于简单、与项目特点不匹配、凭空编造、逻辑漏洞、出现常识性错误、存在不适用项目实际情况的情形或只有标题没有实质性内容等）的任意一种情形扣0.5分，扣完为止，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提供投标人2023年7月至今的类似项目业绩（业绩证明材料以甲乙双方签订的合同为依据），每提供一份计2分，满分10分,未提供的或内容、时间不符合要求的不得分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价格分统一采用低价优先法计算，即满足招标文件要求且优惠率最大的投标报价为评标基准价（即评标基准价=1-优惠率），其价格分为满分。其他投标人的价格分统一按照下列公式计算： 投标报价得分=(评标基准价／（1-其他投标人的优惠率）)×30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优惠率确认表.docx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详见附件：优惠率确认表.docx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详见附件：技术要求偏离表.docx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详见附件：供应商参加政府采购活动承诺书.docx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详见附件：优惠率确认表.docx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详见附件：技术要求偏离表.docx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详见附件：供应商参加政府采购活动承诺书.docx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详见附件：优惠率确认表.docx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详见附件：技术要求偏离表.docx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详见附件：供应商参加政府采购活动承诺书.docx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详见附件：优惠率确认表.docx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详见附件：技术要求偏离表.docx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详见附件：供应商参加政府采购活动承诺书.docx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