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版本号：SXJB-SLS-202601320260527001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秦岭传奇2026丹江龙舟公开赛赛事组织采购项目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SXJB-SLS-2026013</w:t>
      </w:r>
      <w:r>
        <w:br/>
      </w:r>
      <w:r>
        <w:br/>
      </w:r>
      <w:r>
        <w:br/>
      </w:r>
    </w:p>
    <w:p>
      <w:pPr>
        <w:pStyle w:val="null3"/>
        <w:jc w:val="center"/>
        <w:outlineLvl w:val="2"/>
      </w:pPr>
      <w:r>
        <w:rPr>
          <w:rFonts w:ascii="仿宋_GB2312" w:hAnsi="仿宋_GB2312" w:cs="仿宋_GB2312" w:eastAsia="仿宋_GB2312"/>
          <w:sz w:val="28"/>
          <w:b/>
        </w:rPr>
        <w:t>商洛市体育局</w:t>
      </w:r>
    </w:p>
    <w:p>
      <w:pPr>
        <w:pStyle w:val="null3"/>
        <w:jc w:val="center"/>
        <w:outlineLvl w:val="2"/>
      </w:pPr>
      <w:r>
        <w:rPr>
          <w:rFonts w:ascii="仿宋_GB2312" w:hAnsi="仿宋_GB2312" w:cs="仿宋_GB2312" w:eastAsia="仿宋_GB2312"/>
          <w:sz w:val="28"/>
          <w:b/>
        </w:rPr>
        <w:t>陕西省九标项目管理有限责任公司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陕西省九标项目管理有限责任公司</w:t>
      </w:r>
      <w:r>
        <w:rPr>
          <w:rFonts w:ascii="仿宋_GB2312" w:hAnsi="仿宋_GB2312" w:cs="仿宋_GB2312" w:eastAsia="仿宋_GB2312"/>
        </w:rPr>
        <w:t>（以下简称“代理机构”）受</w:t>
      </w:r>
      <w:r>
        <w:rPr>
          <w:rFonts w:ascii="仿宋_GB2312" w:hAnsi="仿宋_GB2312" w:cs="仿宋_GB2312" w:eastAsia="仿宋_GB2312"/>
        </w:rPr>
        <w:t>商洛市体育局</w:t>
      </w:r>
      <w:r>
        <w:rPr>
          <w:rFonts w:ascii="仿宋_GB2312" w:hAnsi="仿宋_GB2312" w:cs="仿宋_GB2312" w:eastAsia="仿宋_GB2312"/>
        </w:rPr>
        <w:t>委托，拟对</w:t>
      </w:r>
      <w:r>
        <w:rPr>
          <w:rFonts w:ascii="仿宋_GB2312" w:hAnsi="仿宋_GB2312" w:cs="仿宋_GB2312" w:eastAsia="仿宋_GB2312"/>
        </w:rPr>
        <w:t>秦岭传奇2026丹江龙舟公开赛赛事组织采购项目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SXJB-SLS-2026013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秦岭传奇2026丹江龙舟公开赛赛事组织采购项目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为持续擦亮商洛“中国康养之都”城市名⽚，培育壮⼤赛事经济新业态，推动体育产业与城市发展深度融合，举办秦岭传奇2026丹江⻰⾈公开赛，按期完成本次赛事服务的全部内容。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采购包1（秦岭传奇2026丹江龙舟公开赛赛事组织采购项目）：属于专门面向中小企业采购。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5月至今已缴纳的任意1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3、税收缴纳证明：供应商提供2025年5月至今已缴纳的任意1个月纳税证明或完税证明，依法免税的单位应提供相关证明材料；</w:t>
      </w:r>
    </w:p>
    <w:p>
      <w:pPr>
        <w:pStyle w:val="null3"/>
      </w:pPr>
      <w:r>
        <w:rPr>
          <w:rFonts w:ascii="仿宋_GB2312" w:hAnsi="仿宋_GB2312" w:cs="仿宋_GB2312" w:eastAsia="仿宋_GB2312"/>
        </w:rPr>
        <w:t>4、财务状况证明：供应商提供本单位经会计师事务所审计的2024年度或2025年度财务审计报告，或在开标日期前6个月内其基本开户银行出具的资信证明并提供基本户证明材料；</w:t>
      </w:r>
    </w:p>
    <w:p>
      <w:pPr>
        <w:pStyle w:val="null3"/>
      </w:pPr>
      <w:r>
        <w:rPr>
          <w:rFonts w:ascii="仿宋_GB2312" w:hAnsi="仿宋_GB2312" w:cs="仿宋_GB2312" w:eastAsia="仿宋_GB2312"/>
        </w:rPr>
        <w:t>5、无重大违法记录声明：供应商应出具参加本次政府采购活动前3年内在经营活动中没有重大违法违纪的书面声明；</w:t>
      </w:r>
    </w:p>
    <w:p>
      <w:pPr>
        <w:pStyle w:val="null3"/>
      </w:pPr>
      <w:r>
        <w:rPr>
          <w:rFonts w:ascii="仿宋_GB2312" w:hAnsi="仿宋_GB2312" w:cs="仿宋_GB2312" w:eastAsia="仿宋_GB2312"/>
        </w:rPr>
        <w:t>6、法定代表人（主要负责人）委托授权书\身份证明：提供法定代表人授权委托书（附法定代表人或负责人身份证复印件及被授权人身份证复印件）及被授权代表人近三个月内任意一个月社保缴纳证明（磋商当月不计入）；法定代表人或负责人直接参加磋商只须提供法定代表人证明书（附法定代表人或负责人身份证复印件）；</w:t>
      </w:r>
    </w:p>
    <w:p>
      <w:pPr>
        <w:pStyle w:val="null3"/>
      </w:pPr>
      <w:r>
        <w:rPr>
          <w:rFonts w:ascii="仿宋_GB2312" w:hAnsi="仿宋_GB2312" w:cs="仿宋_GB2312" w:eastAsia="仿宋_GB2312"/>
        </w:rPr>
        <w:t>7、专业技术能力声明：提供具有履行赛事所必需的设备和专业技术能力；</w:t>
      </w:r>
    </w:p>
    <w:p>
      <w:pPr>
        <w:pStyle w:val="null3"/>
      </w:pPr>
      <w:r>
        <w:rPr>
          <w:rFonts w:ascii="仿宋_GB2312" w:hAnsi="仿宋_GB2312" w:cs="仿宋_GB2312" w:eastAsia="仿宋_GB2312"/>
        </w:rPr>
        <w:t>8、信誉情况：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9、供应商非联合体声明及控股管理关系声明：本项目不接受联合体磋商，不允许分包，单位负责人为同一人或者存在直接控股、管理关系的不同供应商，不得参加同一合同项下的政府采购活动；</w:t>
      </w:r>
    </w:p>
    <w:p>
      <w:pPr>
        <w:pStyle w:val="null3"/>
      </w:pPr>
      <w:r>
        <w:rPr>
          <w:rFonts w:ascii="仿宋_GB2312" w:hAnsi="仿宋_GB2312" w:cs="仿宋_GB2312" w:eastAsia="仿宋_GB2312"/>
        </w:rPr>
        <w:t>10、磋商保证金：磋商保证金缴纳（磋商保证金须为基本户转出）或财政部门指定的担保公司保函形式；</w:t>
      </w:r>
    </w:p>
    <w:p>
      <w:pPr>
        <w:pStyle w:val="null3"/>
      </w:pPr>
      <w:r>
        <w:rPr>
          <w:rFonts w:ascii="仿宋_GB2312" w:hAnsi="仿宋_GB2312" w:cs="仿宋_GB2312" w:eastAsia="仿宋_GB2312"/>
        </w:rPr>
        <w:t>11、中小企业声明：提供《中小企业声明函》；供应商为监狱企业的，应提供监狱企业相关资格证明材料；供应商为残疾人福利性单位的，应提供《残疾人福利性单位声明函》；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陕西省商洛市商州区丹南大道体育运动中心西区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余锦洋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0914-2329572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陕西省九标项目管理有限责任公司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陕西省商洛市商州区江滨北路公园天下商铺11栋2层201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采购包1：1,099,752.00元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开户名称：陕西省九标项目管理有限责任公司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银行账号：2608070319100112845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代理服务费收费标准：参照国家发展计划委员会颁发的[2002]1980号文《招标代理服务收费管理暂行办法》的有关规定执行。 代理服务费交费账户 开户名称：陕西省九标项目管理有限责任公司 开户银行：中国工商银行股份有限公司商洛商州支行 银行账号：2608070319100112845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商洛市体育局</w:t>
      </w:r>
      <w:r>
        <w:rPr>
          <w:rFonts w:ascii="仿宋_GB2312" w:hAnsi="仿宋_GB2312" w:cs="仿宋_GB2312" w:eastAsia="仿宋_GB2312"/>
        </w:rPr>
        <w:t>和</w:t>
      </w:r>
      <w:r>
        <w:rPr>
          <w:rFonts w:ascii="仿宋_GB2312" w:hAnsi="仿宋_GB2312" w:cs="仿宋_GB2312" w:eastAsia="仿宋_GB2312"/>
        </w:rPr>
        <w:t>陕西省九标项目管理有限责任公司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陕西省九标项目管理有限责任公司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陕西省九标项目管理有限责任公司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（1）应有成果文件、发票、及其他相关资料； （2）符合国家法律法规、竞争性磋商文件、竞争性磋商响应文件的要求。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联系人：陈利娜</w:t>
      </w:r>
    </w:p>
    <w:p>
      <w:pPr>
        <w:pStyle w:val="null3"/>
      </w:pPr>
      <w:r>
        <w:rPr>
          <w:rFonts w:ascii="仿宋_GB2312" w:hAnsi="仿宋_GB2312" w:cs="仿宋_GB2312" w:eastAsia="仿宋_GB2312"/>
        </w:rPr>
        <w:t>联系电话：0914-2335089</w:t>
      </w:r>
    </w:p>
    <w:p>
      <w:pPr>
        <w:pStyle w:val="null3"/>
      </w:pPr>
      <w:r>
        <w:rPr>
          <w:rFonts w:ascii="仿宋_GB2312" w:hAnsi="仿宋_GB2312" w:cs="仿宋_GB2312" w:eastAsia="仿宋_GB2312"/>
        </w:rPr>
        <w:t>地址：陕西省商洛市商州区江滨北路公园天下商铺11栋2层201</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联系人：余锦洋</w:t>
      </w:r>
    </w:p>
    <w:p>
      <w:pPr>
        <w:pStyle w:val="null3"/>
      </w:pPr>
      <w:r>
        <w:rPr>
          <w:rFonts w:ascii="仿宋_GB2312" w:hAnsi="仿宋_GB2312" w:cs="仿宋_GB2312" w:eastAsia="仿宋_GB2312"/>
        </w:rPr>
        <w:t>联系电话：0914-2329572</w:t>
      </w:r>
    </w:p>
    <w:p>
      <w:pPr>
        <w:pStyle w:val="null3"/>
      </w:pPr>
      <w:r>
        <w:rPr>
          <w:rFonts w:ascii="仿宋_GB2312" w:hAnsi="仿宋_GB2312" w:cs="仿宋_GB2312" w:eastAsia="仿宋_GB2312"/>
        </w:rPr>
        <w:t>地址：陕西省商洛市商州区丹南大道体育运动中心西区</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持续擦亮商洛“中国康养之都”城市名片，培育壮大赛事经济新业态，推动体育产业与城市发展深度融合，我市拟于2026年6月19日至21日在市区立交桥至望江楼段丹江水域举办秦岭传奇2026丹江龙舟公开赛，按期完成本次赛事服务的全部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1,099,752.00</w:t>
      </w:r>
    </w:p>
    <w:p>
      <w:pPr>
        <w:pStyle w:val="null3"/>
      </w:pPr>
      <w:r>
        <w:rPr>
          <w:rFonts w:ascii="仿宋_GB2312" w:hAnsi="仿宋_GB2312" w:cs="仿宋_GB2312" w:eastAsia="仿宋_GB2312"/>
        </w:rPr>
        <w:t>采购包最高限价（元）: 1,099,752.00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秦岭传奇2026丹江龙舟公开赛赛事组织采购项目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1,099,752.00</w:t>
            </w:r>
          </w:p>
        </w:tc>
        <w:tc>
          <w:tcPr>
            <w:tcW w:type="dxa" w:w="755"/>
          </w:tcPr>
          <w:p>
            <w:pPr>
              <w:pStyle w:val="null3"/>
            </w:pPr>
            <w:r>
              <w:rPr>
                <w:rFonts w:ascii="仿宋_GB2312" w:hAnsi="仿宋_GB2312" w:cs="仿宋_GB2312" w:eastAsia="仿宋_GB2312"/>
              </w:rPr>
              <w:t>p</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标的名称：秦岭传奇2026丹江龙舟公开赛赛事组织采购项目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12"/>
              <w:gridCol w:w="1836"/>
            </w:tblGrid>
            <w:tr>
              <w:tc>
                <w:tcPr>
                  <w:tcW w:type="dxa" w:w="7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主要服务内容</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采购需求及要求</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项目名称</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秦岭传奇2026丹江龙舟公开赛赛事组织采购项目</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比赛时间、地点</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拟定于2026年6月17日至19日在商洛市市区立交桥至望江楼段丹江水域举办</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赛事规模</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计划邀请国内各省16支龙舟队伍，地方组接受全市七个县区和各部门单位约20支队伍，100支皮划艇队伍参加皮艇公开组比赛；组织商洛市内，赛期2天，参赛总人数约600人。</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服务标准</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比赛规格、竞赛组织、奖项设置等均参照中国龙舟公开赛标准执行。</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竞赛组织</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赛事总体工作方案、安保工作方案、突发公共事件应急预案、宣传工作方案、市场开发工作方案、经费使用管理方案），并协助主办方实施；协助组委会、竞委会邀请队伍、统计数据，制定竞赛规程；负责比赛系统设计、编印秩序册，聘请足够的专业技术官员、裁判团队、工作人员组织和执裁比赛；负责比赛成绩统计、公布、成绩册和比赛画册编印、奖牌制作；负责商务接待、开幕式、颁奖仪式、闭幕式等策划组织工作。</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场地布置</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负责提供比赛所需龙舟、皮艇、计时记分等相关设备、材料、器材；按照龙舟比赛的标准进行赛场布置，具体包括但不限于上下水码头、起航码头、终点码头、主背景墙、拱门、主席台和颁奖台、音响、比赛检录区、运动员休息区、媒体休息区、成绩统计区、导引提示牌、地贴指示、饮用水、隔离带、A 字牌、活动桌椅、各类宣传广告牌和道旗、注水旗等。场地布置方案要包含形象设计、赛场平面布置图、饮用水布置图、开幕式主席台效果图、颁奖台效果图等，以及各类物品的数量和总体施工计划安排。</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接待保障</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负责公开组龙舟代表队、皮艇选手往返赛区的交通及当地食宿，嘉宾、技术官员、裁判员、工作人员劳务费和往返赛区的交通及赛期食宿。</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赛事安保</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负责制定赛事安保工作方案、交通管制工作方案，并协助实施；为赛事工作人员购买人身意外伤害保险；负责所有工作人员的安全责任和比赛所购置、搭建物以及竞赛组织的总体安全及相关法律责任。</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宣传推广</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赛前制作不少于1分钟的宣传推广视频，赛后制作不少于3分钟的赛事集锦，并在不少于15家媒体进行宣传；赛前、赛中、赛后根据活动需求，邀请媒体进行专题报道，不断提高赛事知名度和影响力。</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应急救援</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制定水上救援工作方案，安排专职安全员和水上救援船艇、救援人员，随时待命、全天候负责水上救援工作；制定医疗救援工作方案和赛事突发事件应急预案，并协助实施。详细列出比赛期间医疗点的位置和所需提供的医疗服务内容（如救护车点位、医护人员、联系电话、所需医疗设备、药品等）；详细列出比赛中所需的消防、电力、通信等应急救援设施设备、保障人员及工作要求等。</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赛前训练</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负责组织地方组龙舟队进行赛前40天集中训练，提供训练所需的码头、龙舟、桨、救生衣等设施器材和教练员、工作人员、水上救援、训练安排等服务。</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资料编印</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负责编印赛事工作方案、竞赛规程、参赛指南、秩序册、成绩册、回顾画册等系统资料，规范赛事运行。</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预期效果</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通过赛前、赛中、赛后宣传与推广，线上线下点击关注赛事人数不少于5000万人次。</w:t>
                  </w:r>
                </w:p>
              </w:tc>
            </w:tr>
            <w:tr>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总体要求</w:t>
                  </w:r>
                </w:p>
              </w:tc>
              <w:tc>
                <w:tcPr>
                  <w:tcW w:type="dxa" w:w="1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赛事安全、有序、精彩、圆满。</w:t>
                  </w:r>
                </w:p>
              </w:tc>
            </w:tr>
          </w:tbl>
          <w:tbl>
            <w:tblPr>
              <w:tblInd w:type="dxa" w:w="90"/>
              <w:tblBorders>
                <w:top w:val="none" w:color="000000" w:sz="4"/>
                <w:left w:val="none" w:color="000000" w:sz="4"/>
                <w:bottom w:val="none" w:color="000000" w:sz="4"/>
                <w:right w:val="none" w:color="000000" w:sz="4"/>
                <w:insideH w:val="none"/>
                <w:insideV w:val="none"/>
              </w:tblBorders>
            </w:tblPr>
            <w:tblGrid>
              <w:gridCol w:w="241"/>
              <w:gridCol w:w="461"/>
              <w:gridCol w:w="511"/>
              <w:gridCol w:w="365"/>
              <w:gridCol w:w="548"/>
              <w:gridCol w:w="415"/>
            </w:tblGrid>
            <w:tr>
              <w:tc>
                <w:tcPr>
                  <w:tcW w:type="dxa" w:w="254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服务清单</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内容</w:t>
                  </w:r>
                </w:p>
              </w:tc>
              <w:tc>
                <w:tcPr>
                  <w:tcW w:type="dxa" w:w="3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5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4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一、陆地场地搭建</w:t>
                  </w:r>
                </w:p>
              </w:tc>
            </w:tr>
            <w:tr>
              <w:tc>
                <w:tcPr>
                  <w:tcW w:type="dxa" w:w="2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6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音响及搭建</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背景桁架</w:t>
                  </w:r>
                  <w:r>
                    <w:rPr>
                      <w:rFonts w:ascii="仿宋_GB2312" w:hAnsi="仿宋_GB2312" w:cs="仿宋_GB2312" w:eastAsia="仿宋_GB2312"/>
                      <w:sz w:val="22"/>
                      <w:color w:val="000000"/>
                    </w:rPr>
                    <w:t>20*5</w:t>
                  </w:r>
                </w:p>
              </w:tc>
              <w:tc>
                <w:tcPr>
                  <w:tcW w:type="dxa" w:w="3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5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4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r>
                    <w:rPr>
                      <w:rFonts w:ascii="仿宋_GB2312" w:hAnsi="仿宋_GB2312" w:cs="仿宋_GB2312" w:eastAsia="仿宋_GB2312"/>
                      <w:sz w:val="22"/>
                      <w:color w:val="000000"/>
                    </w:rPr>
                    <w:t>/次</w:t>
                  </w:r>
                </w:p>
              </w:tc>
            </w:tr>
            <w:tr>
              <w:tc>
                <w:tcPr>
                  <w:tcW w:type="dxa" w:w="241"/>
                  <w:vMerge/>
                  <w:tcBorders>
                    <w:top w:val="none" w:color="000000" w:sz="4"/>
                    <w:left w:val="single" w:color="000000" w:sz="4"/>
                    <w:bottom w:val="none" w:color="000000" w:sz="4"/>
                    <w:right w:val="single" w:color="000000" w:sz="4"/>
                  </w:tcBorders>
                </w:tcPr>
                <w:p/>
              </w:tc>
              <w:tc>
                <w:tcPr>
                  <w:tcW w:type="dxa" w:w="461"/>
                  <w:vMerge/>
                  <w:tcBorders>
                    <w:top w:val="single" w:color="000000" w:sz="4"/>
                    <w:left w:val="none" w:color="000000" w:sz="4"/>
                    <w:bottom w:val="none" w:color="000000" w:sz="4"/>
                    <w:right w:val="single" w:color="000000" w:sz="4"/>
                  </w:tcBorders>
                </w:tc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背景喷绘</w:t>
                  </w:r>
                  <w:r>
                    <w:rPr>
                      <w:rFonts w:ascii="仿宋_GB2312" w:hAnsi="仿宋_GB2312" w:cs="仿宋_GB2312" w:eastAsia="仿宋_GB2312"/>
                      <w:sz w:val="22"/>
                      <w:color w:val="000000"/>
                    </w:rPr>
                    <w:t>20*5</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喷绘布</w:t>
                  </w:r>
                </w:p>
              </w:tc>
            </w:tr>
            <w:tr>
              <w:tc>
                <w:tcPr>
                  <w:tcW w:type="dxa" w:w="241"/>
                  <w:vMerge/>
                  <w:tcBorders>
                    <w:top w:val="none" w:color="000000" w:sz="4"/>
                    <w:left w:val="single" w:color="000000" w:sz="4"/>
                    <w:bottom w:val="none" w:color="000000" w:sz="4"/>
                    <w:right w:val="single" w:color="000000" w:sz="4"/>
                  </w:tcBorders>
                </w:tcPr>
                <w:p/>
              </w:tc>
              <w:tc>
                <w:tcPr>
                  <w:tcW w:type="dxa" w:w="461"/>
                  <w:vMerge/>
                  <w:tcBorders>
                    <w:top w:val="singl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主题宣传口号</w:t>
                  </w:r>
                  <w:r>
                    <w:rPr>
                      <w:rFonts w:ascii="仿宋_GB2312" w:hAnsi="仿宋_GB2312" w:cs="仿宋_GB2312" w:eastAsia="仿宋_GB2312"/>
                      <w:sz w:val="22"/>
                      <w:color w:val="000000"/>
                    </w:rPr>
                    <w:t>1.5M*1.5M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none" w:color="000000" w:sz="4"/>
                    <w:right w:val="single" w:color="000000" w:sz="4"/>
                  </w:tcBorders>
                </w:tcPr>
                <w:p/>
              </w:tc>
              <w:tc>
                <w:tcPr>
                  <w:tcW w:type="dxa" w:w="461"/>
                  <w:vMerge/>
                  <w:tcBorders>
                    <w:top w:val="singl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r>
                    <w:rPr>
                      <w:rFonts w:ascii="仿宋_GB2312" w:hAnsi="仿宋_GB2312" w:cs="仿宋_GB2312" w:eastAsia="仿宋_GB2312"/>
                      <w:sz w:val="22"/>
                      <w:color w:val="000000"/>
                    </w:rPr>
                    <w:t>4天</w:t>
                  </w:r>
                </w:p>
              </w:tc>
            </w:tr>
            <w:tr>
              <w:tc>
                <w:tcPr>
                  <w:tcW w:type="dxa" w:w="241"/>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46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检录音响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租赁</w:t>
                  </w:r>
                  <w:r>
                    <w:rPr>
                      <w:rFonts w:ascii="仿宋_GB2312" w:hAnsi="仿宋_GB2312" w:cs="仿宋_GB2312" w:eastAsia="仿宋_GB2312"/>
                      <w:sz w:val="22"/>
                      <w:color w:val="000000"/>
                    </w:rPr>
                    <w:t>4天</w:t>
                  </w:r>
                </w:p>
              </w:tc>
            </w:tr>
            <w:tr>
              <w:tc>
                <w:tcPr>
                  <w:tcW w:type="dxa" w:w="254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二、代表队及人员</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12人龙舟代表队</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交通及训练补贴</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仲裁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劳务费补贴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技术代表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技术指导</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8天</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总裁判长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劳务费补贴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60"/>
                    <w:jc w:val="both"/>
                  </w:pPr>
                  <w:r>
                    <w:rPr>
                      <w:rFonts w:ascii="仿宋_GB2312" w:hAnsi="仿宋_GB2312" w:cs="仿宋_GB2312" w:eastAsia="仿宋_GB2312"/>
                      <w:sz w:val="22"/>
                      <w:color w:val="000000"/>
                    </w:rPr>
                    <w:t>8天</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副总裁判长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劳务费补贴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裁判长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登舟、检录、器材等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裁判员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劳务费补贴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解说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主持人、现场解说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赛事管理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赛事管理人员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5天</w:t>
                  </w:r>
                </w:p>
              </w:tc>
            </w:tr>
            <w:tr>
              <w:tc>
                <w:tcPr>
                  <w:tcW w:type="dxa" w:w="241"/>
                  <w:vMerge/>
                  <w:tcBorders>
                    <w:top w:val="none" w:color="000000" w:sz="4"/>
                    <w:left w:val="single" w:color="000000" w:sz="4"/>
                    <w:bottom w:val="single" w:color="000000" w:sz="4"/>
                    <w:right w:val="single" w:color="000000" w:sz="4"/>
                  </w:tcBorders>
                </w:tcP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仲裁、技术代表、裁判长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往返</w:t>
                  </w:r>
                </w:p>
              </w:tc>
            </w:tr>
            <w:tr>
              <w:tc>
                <w:tcPr>
                  <w:tcW w:type="dxa" w:w="241"/>
                  <w:vMerge/>
                  <w:tcBorders>
                    <w:top w:val="none" w:color="000000" w:sz="4"/>
                    <w:left w:val="single" w:color="000000" w:sz="4"/>
                    <w:bottom w:val="single" w:color="000000" w:sz="4"/>
                    <w:right w:val="single" w:color="000000" w:sz="4"/>
                  </w:tcBorders>
                </w:tcPr>
                <w:p/>
              </w:tc>
              <w:tc>
                <w:tcPr>
                  <w:tcW w:type="dxa" w:w="46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裁判员及赛事管理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15"/>
                  <w:vMerge/>
                  <w:tcBorders>
                    <w:top w:val="none" w:color="000000" w:sz="4"/>
                    <w:left w:val="none" w:color="000000" w:sz="4"/>
                    <w:bottom w:val="none" w:color="000000" w:sz="4"/>
                    <w:right w:val="single" w:color="000000" w:sz="4"/>
                  </w:tcBorders>
                </w:tcP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三、竞赛器材</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12人龙舟</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国标</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救生艇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含</w:t>
                  </w:r>
                  <w:r>
                    <w:rPr>
                      <w:rFonts w:ascii="仿宋_GB2312" w:hAnsi="仿宋_GB2312" w:cs="仿宋_GB2312" w:eastAsia="仿宋_GB2312"/>
                      <w:sz w:val="22"/>
                      <w:color w:val="000000"/>
                    </w:rPr>
                    <w:t>8人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含</w:t>
                  </w:r>
                  <w:r>
                    <w:rPr>
                      <w:rFonts w:ascii="仿宋_GB2312" w:hAnsi="仿宋_GB2312" w:cs="仿宋_GB2312" w:eastAsia="仿宋_GB2312"/>
                      <w:sz w:val="22"/>
                      <w:color w:val="000000"/>
                    </w:rPr>
                    <w:t>4人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5天</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备用桨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备用救生衣</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救生衣</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四、场地器材</w:t>
                  </w:r>
                </w:p>
              </w:tc>
            </w:tr>
            <w:tr>
              <w:tc>
                <w:tcPr>
                  <w:tcW w:type="dxa" w:w="2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赛道布置</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500米5线4道</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登舟码头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2mX6m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m²</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起航平台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2mX6m</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m²</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发令平台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码头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地毯</w:t>
                  </w:r>
                  <w:r>
                    <w:rPr>
                      <w:rFonts w:ascii="仿宋_GB2312" w:hAnsi="仿宋_GB2312" w:cs="仿宋_GB2312" w:eastAsia="仿宋_GB2312"/>
                      <w:sz w:val="22"/>
                      <w:color w:val="000000"/>
                    </w:rPr>
                    <w:t>25*12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代表队及功能休息区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嘉宾、媒体、运动员、检录区、器材区等区域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凳子等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奖金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公开组、本地组</w:t>
                  </w:r>
                  <w:r>
                    <w:rPr>
                      <w:rFonts w:ascii="仿宋_GB2312" w:hAnsi="仿宋_GB2312" w:cs="仿宋_GB2312" w:eastAsia="仿宋_GB2312"/>
                      <w:sz w:val="22"/>
                      <w:color w:val="000000"/>
                    </w:rPr>
                    <w:t>12人龙各前六名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完赛补贴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公开组代表队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成绩公告栏搭建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各区域标示牌及道路指引牌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non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终点计时平台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54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五、裁判器材</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对讲机、裁判辅材、卡膜等</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竞赛器材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裁判竞赛器材、监控、计时等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六、宣传及广告制作</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媒体宣传</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新闻媒体报道</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single" w:color="000000" w:sz="4"/>
                    <w:right w:val="single" w:color="000000" w:sz="4"/>
                  </w:tcBorders>
                </w:tcPr>
                <w:p/>
              </w:tc>
              <w:tc>
                <w:tcPr>
                  <w:tcW w:type="dxa" w:w="461"/>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平台直播</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气氛渲染</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代表队队旗、水座旗等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制作队旗</w:t>
                  </w:r>
                  <w:r>
                    <w:rPr>
                      <w:rFonts w:ascii="仿宋_GB2312" w:hAnsi="仿宋_GB2312" w:cs="仿宋_GB2312" w:eastAsia="仿宋_GB2312"/>
                      <w:sz w:val="22"/>
                      <w:color w:val="000000"/>
                    </w:rPr>
                    <w:t>/租赁</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秩序册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秩序册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设计制作</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奖杯、证书</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奖杯、奖牌、荣誉证书等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设计制作</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嘉宾、代表队、裁判、媒体、工作人员等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设计制作</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七、其它</w:t>
                  </w:r>
                </w:p>
              </w:tc>
            </w:tr>
            <w:tr>
              <w:tc>
                <w:tcPr>
                  <w:tcW w:type="dxa" w:w="2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开幕式节目</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节目表演</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团体保险</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转场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设备运输、吊车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10天</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赛事评估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安全评估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single" w:color="000000" w:sz="4"/>
                    <w:right w:val="single" w:color="000000" w:sz="4"/>
                  </w:tcBorders>
                </w:tcP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食宿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代表队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2天</w:t>
                  </w:r>
                </w:p>
              </w:tc>
            </w:tr>
            <w:tr>
              <w:tc>
                <w:tcPr>
                  <w:tcW w:type="dxa" w:w="241"/>
                  <w:vMerge/>
                  <w:tcBorders>
                    <w:top w:val="none" w:color="000000" w:sz="4"/>
                    <w:left w:val="single" w:color="000000" w:sz="4"/>
                    <w:bottom w:val="single" w:color="000000" w:sz="4"/>
                    <w:right w:val="single" w:color="000000" w:sz="4"/>
                  </w:tcBorders>
                </w:tcPr>
                <w:p/>
              </w:tc>
              <w:tc>
                <w:tcPr>
                  <w:tcW w:type="dxa" w:w="46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裁判及赛事人员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4天</w:t>
                  </w:r>
                </w:p>
              </w:tc>
            </w:tr>
            <w:tr>
              <w:tc>
                <w:tcPr>
                  <w:tcW w:type="dxa" w:w="241"/>
                  <w:vMerge/>
                  <w:tcBorders>
                    <w:top w:val="none" w:color="000000" w:sz="4"/>
                    <w:left w:val="single" w:color="000000" w:sz="4"/>
                    <w:bottom w:val="single" w:color="000000" w:sz="4"/>
                    <w:right w:val="single" w:color="000000" w:sz="4"/>
                  </w:tcBorders>
                </w:tcP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裁判、运动员等短途接待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3天</w:t>
                  </w:r>
                </w:p>
              </w:tc>
            </w:tr>
            <w:tr>
              <w:tc>
                <w:tcPr>
                  <w:tcW w:type="dxa" w:w="241"/>
                  <w:vMerge/>
                  <w:tcBorders>
                    <w:top w:val="none" w:color="000000" w:sz="4"/>
                    <w:left w:val="single" w:color="000000" w:sz="4"/>
                    <w:bottom w:val="single" w:color="000000" w:sz="4"/>
                    <w:right w:val="single" w:color="000000" w:sz="4"/>
                  </w:tcBorders>
                </w:tcPr>
                <w:p/>
              </w:tc>
              <w:tc>
                <w:tcPr>
                  <w:tcW w:type="dxa" w:w="46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落地接待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往返</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志愿者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场地志愿者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2天</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救护车</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3天</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赛事保障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水域搭建及管理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10天</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嘉宾及接待等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241"/>
                  <w:vMerge/>
                  <w:tcBorders>
                    <w:top w:val="none" w:color="000000" w:sz="4"/>
                    <w:left w:val="singl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税</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按项目要求配置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商务要求 1.报价包含完成本项目全部工作的人工、材料、租赁、运输、安装、调试、运维、拆除、设计、会务、接待、宣传、检测、保险、管理费、不可预见费、税金等所有费用，招标内涵盖的采购内容招标人不再另行支付任何其他费用。 2.中标人不得转包、违法分包本项目，须组建专属赛事运营、现场施工、后勤保障固定团队全程驻场履约。 3.付款方式： 分两次付款：第一笔：合同签订生效并满足付款条件起10个工作日内，支付合同总金额的60%； 第二笔：赛事圆满结束、场地全部复原清场完毕且双方完成竣工结算审核，达到付款条件起10个工作日内，支付至结算总金额的40%。  4.服务期限：自合同签订之日起至赛事结束。</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合同签订之日起至赛事结束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（1）阶段性验收（如需）：甲方对乙方的阶段性工作进行验收，验收合格后方可进入下一阶段工作； （2）最终验收：项目结束后，甲方组织相关单位对乙方的全部服务内容、项目收尾情况等进行最终验收，验收合格后签署验收报告；验收不合格的，乙方应在甲方指定期限内整改，整改后仍不合格的，甲方有权解除合同，乙方退还甲方已支付的全部款项，并承担违约责任。 3.验收过程中，双方应共同做好验收记录，验收报告由双方签字盖章后生效，作为竣工结算的重要依据。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预付款，分两次付款，第一笔，达到付款条件起10个工作日内，支付合同总金额的60.0%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进度款，分两次付款，第二笔，达到付款条件起10个工作日内，支付合同总金额的40.0%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2、甲方违反合同规定拒绝接收系统的，应当承担由此对乙方造成的损失。 乙方的违约责任 1、乙方不能按期完成的，每逾期1日，乙方应向甲方赔付合同总价的0.1%作为违约金。 2、乙方所交成果不符合国家法律法规和合同规定的，甲方有权拒收，并由乙方承担一切费用。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为顺利推进政府采购电子化交易平台应用工作，供应商需要在线上提交所有通过电子化交易平台实施的政府采购项目的响应文件，同时，线下提交纸质版响应文件，正本壹份、副本贰份，电子版文件两份（u盘储存）(标明项目名称、供应商名称，日期密封递交)。若线上电子响应文件与纸质响应文件不一致的，以线上电子响应文件为准；若正本和副本不符，以正本为准。②线下递交文件截止时间:详见本项目竞争性磋商文件递交截止时间。 ③.其他未尽事宜按国家相关规定执行。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服务方案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5月至今已缴纳的任意1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供应商提供2025年5月至今已缴纳的任意1个月纳税证明或完税证明，依法免税的单位应提供相关证明材料；</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供应商提供本单位经会计师事务所审计的2024年度或2025年度财务审计报告，或在开标日期前6个月内其基本开户银行出具的资信证明并提供基本户证明材料；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内任意一个月社保缴纳证明（磋商当月不计入）；法定代表人或负责人直接参加磋商只须提供法定代表人证明书（附法定代表人或负责人身份证复印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提供具有履行赛事所必需的设备和专业技术能力；</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供应商非联合体声明及控股管理关系声明</w:t>
            </w:r>
          </w:p>
        </w:tc>
        <w:tc>
          <w:tcPr>
            <w:tcW w:type="dxa" w:w="3322"/>
          </w:tcPr>
          <w:p>
            <w:pPr>
              <w:pStyle w:val="null3"/>
            </w:pPr>
            <w:r>
              <w:rPr>
                <w:rFonts w:ascii="仿宋_GB2312" w:hAnsi="仿宋_GB2312" w:cs="仿宋_GB2312" w:eastAsia="仿宋_GB2312"/>
              </w:rPr>
              <w:t>本项目不接受联合体磋商，不允许分包，单位负责人为同一人或者存在直接控股、管理关系的不同供应商，不得参加同一合同项下的政府采购活动；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磋商保证金缴纳（磋商保证金须为基本户转出）或财政部门指定的担保公司保函形式；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提供《中小企业声明函》；供应商为监狱企业的，应提供监狱企业相关资格证明材料；供应商为残疾人福利性单位的，应提供《残疾人福利性单位声明函》；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签字盖章要求</w:t>
            </w:r>
          </w:p>
        </w:tc>
        <w:tc>
          <w:tcPr>
            <w:tcW w:type="dxa" w:w="3322"/>
          </w:tcPr>
          <w:p>
            <w:pPr>
              <w:pStyle w:val="null3"/>
            </w:pPr>
            <w:r>
              <w:rPr>
                <w:rFonts w:ascii="仿宋_GB2312" w:hAnsi="仿宋_GB2312" w:cs="仿宋_GB2312" w:eastAsia="仿宋_GB2312"/>
              </w:rPr>
              <w:t>响应文件、响应函未加盖单位公章、未经法定代表人或被授权委托人签字或盖章的；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响应文件无投标有效期或有效期达不到磋商文件的要求；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响应报价要求</w:t>
            </w:r>
          </w:p>
        </w:tc>
        <w:tc>
          <w:tcPr>
            <w:tcW w:type="dxa" w:w="3322"/>
          </w:tcPr>
          <w:p>
            <w:pPr>
              <w:pStyle w:val="null3"/>
            </w:pPr>
            <w:r>
              <w:rPr>
                <w:rFonts w:ascii="仿宋_GB2312" w:hAnsi="仿宋_GB2312" w:cs="仿宋_GB2312" w:eastAsia="仿宋_GB2312"/>
              </w:rPr>
              <w:t>响应报价超过本项目预算金额的；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偏离情况</w:t>
            </w:r>
          </w:p>
        </w:tc>
        <w:tc>
          <w:tcPr>
            <w:tcW w:type="dxa" w:w="3322"/>
          </w:tcPr>
          <w:p>
            <w:pPr>
              <w:pStyle w:val="null3"/>
            </w:pPr>
            <w:r>
              <w:rPr>
                <w:rFonts w:ascii="仿宋_GB2312" w:hAnsi="仿宋_GB2312" w:cs="仿宋_GB2312" w:eastAsia="仿宋_GB2312"/>
              </w:rPr>
              <w:t>明显不符合商务、技术要求，存在重大负偏离的；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是否违反相关法律、法规的规定</w:t>
            </w:r>
          </w:p>
        </w:tc>
        <w:tc>
          <w:tcPr>
            <w:tcW w:type="dxa" w:w="3322"/>
          </w:tcPr>
          <w:p>
            <w:pPr>
              <w:pStyle w:val="null3"/>
            </w:pPr>
            <w:r>
              <w:rPr>
                <w:rFonts w:ascii="仿宋_GB2312" w:hAnsi="仿宋_GB2312" w:cs="仿宋_GB2312" w:eastAsia="仿宋_GB2312"/>
              </w:rPr>
              <w:t>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通过资格和符合性审查的供应商，对商务要求完全响应磋商文件要求的得2分；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提供针对本项目的服务方案</w:t>
            </w:r>
          </w:p>
        </w:tc>
        <w:tc>
          <w:tcPr>
            <w:tcW w:type="dxa" w:w="2492"/>
          </w:tcPr>
          <w:p>
            <w:pPr>
              <w:pStyle w:val="null3"/>
            </w:pPr>
            <w:r>
              <w:rPr>
                <w:rFonts w:ascii="仿宋_GB2312" w:hAnsi="仿宋_GB2312" w:cs="仿宋_GB2312" w:eastAsia="仿宋_GB2312"/>
              </w:rPr>
              <w:t>供应商所提供的服务方案符合使用者的特点，思路清晰明确，方案内容完整，计14～21分；服务方案较完整、思路较清晰，计7～14分；方案不完整、成果目标欠缺，计1～7分。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提供针对本项目的策划方案</w:t>
            </w:r>
          </w:p>
        </w:tc>
        <w:tc>
          <w:tcPr>
            <w:tcW w:type="dxa" w:w="2492"/>
          </w:tcPr>
          <w:p>
            <w:pPr>
              <w:pStyle w:val="null3"/>
            </w:pPr>
            <w:r>
              <w:rPr>
                <w:rFonts w:ascii="仿宋_GB2312" w:hAnsi="仿宋_GB2312" w:cs="仿宋_GB2312" w:eastAsia="仿宋_GB2312"/>
              </w:rPr>
              <w:t>供应商提供针对本项目的策划方案（包括但不限于赛事策划运营、竞赛组织、赛事整体宣传、拍摄及直播策划脚本方案、宣传版面设计、媒体宣推、开、闭幕式、奖牌制作、商务接待等策划方案）。所提供的方案满足磋商文件要求，内容新颖完整、主题鲜明、思路清晰明确，形式活跃、节俭务实，可实施性强，计10～15分；方案基本满足磋商文件要求，内容较完整、思路较清晰、形式较活跃，计5～10分；方案不完整、成果目标欠缺，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提供实施本项目所需的设备</w:t>
            </w:r>
          </w:p>
        </w:tc>
        <w:tc>
          <w:tcPr>
            <w:tcW w:type="dxa" w:w="2492"/>
          </w:tcPr>
          <w:p>
            <w:pPr>
              <w:pStyle w:val="null3"/>
            </w:pPr>
            <w:r>
              <w:rPr>
                <w:rFonts w:ascii="仿宋_GB2312" w:hAnsi="仿宋_GB2312" w:cs="仿宋_GB2312" w:eastAsia="仿宋_GB2312"/>
              </w:rPr>
              <w:t>供应商提供实施本项目所需的设备、器具配置齐全、合理，参数能满足项目进度和服务质量要求，计10～15分；设备、器具配置较齐全、较合理，能基本满足项目进度和服务质量要求，计5～10分；设备、器具配置较齐全、不合理，不能满足项目进度和服务质量要求，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确保本项目质量的保证措施</w:t>
            </w:r>
          </w:p>
        </w:tc>
        <w:tc>
          <w:tcPr>
            <w:tcW w:type="dxa" w:w="2492"/>
          </w:tcPr>
          <w:p>
            <w:pPr>
              <w:pStyle w:val="null3"/>
            </w:pPr>
            <w:r>
              <w:rPr>
                <w:rFonts w:ascii="仿宋_GB2312" w:hAnsi="仿宋_GB2312" w:cs="仿宋_GB2312" w:eastAsia="仿宋_GB2312"/>
              </w:rPr>
              <w:t>确保本项目质量保证措施方案有效可行、具备完善的内部管理架构、工作流程、信息反馈渠道，计5～10分；质量保证措施方案较合理、内部管理架构较完善，措施一般，计1～5分。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提供拟派本项目工作人员组成情况</w:t>
            </w:r>
          </w:p>
        </w:tc>
        <w:tc>
          <w:tcPr>
            <w:tcW w:type="dxa" w:w="2492"/>
          </w:tcPr>
          <w:p>
            <w:pPr>
              <w:pStyle w:val="null3"/>
            </w:pPr>
            <w:r>
              <w:rPr>
                <w:rFonts w:ascii="仿宋_GB2312" w:hAnsi="仿宋_GB2312" w:cs="仿宋_GB2312" w:eastAsia="仿宋_GB2312"/>
              </w:rPr>
              <w:t>提供拟派本项目工作人员服务队伍应配备合理，有针对本项目的专项服务小组，项目负责人、工作人员分工明确，计5～10分，服务队伍配备比较合理，项目负责人、工作人员分工比较明确，计1～5分（有具体成员名单，包括姓名、工作经验、工作职责、联系方式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安全救生及应急预案</w:t>
            </w:r>
          </w:p>
        </w:tc>
        <w:tc>
          <w:tcPr>
            <w:tcW w:type="dxa" w:w="2492"/>
          </w:tcPr>
          <w:p>
            <w:pPr>
              <w:pStyle w:val="null3"/>
            </w:pPr>
            <w:r>
              <w:rPr>
                <w:rFonts w:ascii="仿宋_GB2312" w:hAnsi="仿宋_GB2312" w:cs="仿宋_GB2312" w:eastAsia="仿宋_GB2312"/>
              </w:rPr>
              <w:t>安全救生及应急预案齐全且安全落地得3～5 分；内容简略 2～3分；内容缺失无针对性 0～2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提供2022年1月1日以来供应商服务过的类似项目的业绩合同（以合同签订日期为准），附业绩合同清晰的扫描件并加盖单位公章，每提供1份完整合同得1分，满分4分。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完全承诺磋商文件的要求，对服务期限、质量、人员到位情况、响应时间、后期服务等做出实质性承诺（内容应当包含不能完全履行承诺时愿意接受相关处罚的相关承诺），根据响应程度，计1～8分。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 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详见附件：秦岭传奇2026丹江龙舟公开赛赛事组织采购项目-服务合同.docx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