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1"/>
        <w:gridCol w:w="7118"/>
      </w:tblGrid>
      <w:tr w14:paraId="774B2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35FC7C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bookmarkStart w:id="0" w:name="_Toc27165"/>
            <w:bookmarkStart w:id="1" w:name="_Toc15797"/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主要服务内容</w:t>
            </w:r>
            <w:bookmarkEnd w:id="0"/>
            <w:bookmarkEnd w:id="1"/>
          </w:p>
        </w:tc>
        <w:tc>
          <w:tcPr>
            <w:tcW w:w="7118" w:type="dxa"/>
            <w:noWrap w:val="0"/>
            <w:vAlign w:val="center"/>
          </w:tcPr>
          <w:p w14:paraId="63C94C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bookmarkStart w:id="2" w:name="_Toc30768"/>
            <w:bookmarkStart w:id="3" w:name="_Toc26289"/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采购需求及要求</w:t>
            </w:r>
            <w:bookmarkEnd w:id="2"/>
            <w:bookmarkEnd w:id="3"/>
          </w:p>
        </w:tc>
      </w:tr>
      <w:tr w14:paraId="6D131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70539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7118" w:type="dxa"/>
            <w:noWrap w:val="0"/>
            <w:vAlign w:val="center"/>
          </w:tcPr>
          <w:p w14:paraId="600268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360" w:lineRule="auto"/>
              <w:ind w:firstLine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秦岭传奇2026丹江龙舟公开赛赛事组织采购项目</w:t>
            </w:r>
          </w:p>
        </w:tc>
      </w:tr>
      <w:tr w14:paraId="5DBEE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52FA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比赛时间、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7118" w:type="dxa"/>
            <w:noWrap w:val="0"/>
            <w:vAlign w:val="center"/>
          </w:tcPr>
          <w:p w14:paraId="4B312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拟定于2026年6月17日至19日在商洛市市区立交桥至望江楼段丹江水域举办</w:t>
            </w:r>
          </w:p>
        </w:tc>
      </w:tr>
      <w:tr w14:paraId="3B3F4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75D83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赛事规模</w:t>
            </w:r>
          </w:p>
        </w:tc>
        <w:tc>
          <w:tcPr>
            <w:tcW w:w="7118" w:type="dxa"/>
            <w:noWrap w:val="0"/>
            <w:vAlign w:val="center"/>
          </w:tcPr>
          <w:p w14:paraId="513F1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计划邀请国内各省16支龙舟队伍，地方组接受全市七个县区和各部门单位约20支队伍，100支皮划艇队伍参加皮艇公开组比赛；组织商洛市内，赛期2天，参赛总人数约600人。</w:t>
            </w:r>
            <w:bookmarkStart w:id="18" w:name="_GoBack"/>
            <w:bookmarkEnd w:id="18"/>
          </w:p>
        </w:tc>
      </w:tr>
      <w:tr w14:paraId="1D682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1D16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服务标准</w:t>
            </w:r>
          </w:p>
        </w:tc>
        <w:tc>
          <w:tcPr>
            <w:tcW w:w="7118" w:type="dxa"/>
            <w:noWrap w:val="0"/>
            <w:vAlign w:val="center"/>
          </w:tcPr>
          <w:p w14:paraId="6F465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比赛规格、竞赛组织、奖项设置等均参照中国龙舟公开赛标准执行。</w:t>
            </w:r>
          </w:p>
        </w:tc>
      </w:tr>
      <w:tr w14:paraId="381BF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7F675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竞赛组织</w:t>
            </w:r>
          </w:p>
        </w:tc>
        <w:tc>
          <w:tcPr>
            <w:tcW w:w="7118" w:type="dxa"/>
            <w:noWrap w:val="0"/>
            <w:vAlign w:val="center"/>
          </w:tcPr>
          <w:p w14:paraId="7D27E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赛事总体工作方案、安保工作方案、突发公共事件应急预案、宣传工作方案、市场开发工作方案、经费使用管理方案），并协助主办方实施；协助组委会、竞委会邀请队伍、统计数据，制定竞赛规程；负责比赛系统设计、编印秩序册，聘请足够的专业技术官员、裁判团队、工作人员组织和执裁比赛；负责比赛成绩统计、公布、成绩册和比赛画册编印、奖牌制作；负责商务接待、开幕式、颁奖仪式、闭幕式等策划组织工作。</w:t>
            </w:r>
          </w:p>
        </w:tc>
      </w:tr>
      <w:tr w14:paraId="29051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1C3D5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场地布置</w:t>
            </w:r>
          </w:p>
        </w:tc>
        <w:tc>
          <w:tcPr>
            <w:tcW w:w="7118" w:type="dxa"/>
            <w:noWrap w:val="0"/>
            <w:vAlign w:val="center"/>
          </w:tcPr>
          <w:p w14:paraId="66251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负责提供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比赛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所需龙舟、皮艇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计时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记分等相关设备、材料、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器材；按照龙舟比赛的标准进行赛场布置，具体包括但不限于上下水码头、起航码头、终点码头、主背景墙、拱门、主席台和颁奖台、音响、比赛检录区、运动员休息区、媒体休息区、成绩统计区、导引提示牌、地贴指示、饮用水、隔离带、A 字牌、活动桌椅、各类宣传广告牌和道旗、注水旗等。场地布置方案要包含形象设计、赛场平面布置图、饮用水布置图、开幕式主席台效果图、颁奖台效果图等，以及各类物品的数量和总体施工计划安排。</w:t>
            </w:r>
          </w:p>
        </w:tc>
      </w:tr>
      <w:tr w14:paraId="0B339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66EDFD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bookmarkStart w:id="4" w:name="_Toc15725"/>
            <w:bookmarkStart w:id="5" w:name="_Toc21935"/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接待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保障</w:t>
            </w:r>
            <w:bookmarkEnd w:id="4"/>
            <w:bookmarkEnd w:id="5"/>
          </w:p>
        </w:tc>
        <w:tc>
          <w:tcPr>
            <w:tcW w:w="7118" w:type="dxa"/>
            <w:noWrap w:val="0"/>
            <w:vAlign w:val="center"/>
          </w:tcPr>
          <w:p w14:paraId="7B574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负责公开组龙舟代表队、皮艇选手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往返赛区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交通及当地食宿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嘉宾、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技术官员、裁判员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工作人员劳务费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和往返赛区的交通及赛期食宿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。</w:t>
            </w:r>
          </w:p>
        </w:tc>
      </w:tr>
      <w:tr w14:paraId="337A0D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3FBF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</w:pPr>
            <w:bookmarkStart w:id="6" w:name="_Toc3671"/>
            <w:bookmarkStart w:id="7" w:name="_Toc2830"/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赛事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安保</w:t>
            </w:r>
            <w:bookmarkEnd w:id="6"/>
            <w:bookmarkEnd w:id="7"/>
          </w:p>
        </w:tc>
        <w:tc>
          <w:tcPr>
            <w:tcW w:w="7118" w:type="dxa"/>
            <w:noWrap w:val="0"/>
            <w:vAlign w:val="center"/>
          </w:tcPr>
          <w:p w14:paraId="47D03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制定赛事安保工作方案、交通管制工作方案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并协助实施；为赛事工作人员购买人身意外伤害保险；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  <w:t>负责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  <w:t>所有工作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人员的安全责任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和比赛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所购置、搭建物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以及竞赛组织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总体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安全及相关法律责任。</w:t>
            </w:r>
          </w:p>
        </w:tc>
      </w:tr>
      <w:tr w14:paraId="44AFC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585F1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宣传推广</w:t>
            </w:r>
          </w:p>
        </w:tc>
        <w:tc>
          <w:tcPr>
            <w:tcW w:w="7118" w:type="dxa"/>
            <w:noWrap w:val="0"/>
            <w:vAlign w:val="center"/>
          </w:tcPr>
          <w:p w14:paraId="7605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赛前制作不少于1分钟的宣传推广视频，赛后制作不少于3分钟的赛事集锦，并在不少于15家媒体进行宣传；赛前、赛中、赛后根据活动需求，邀请媒体进行专题报道，不断提高赛事知名度和影响力。</w:t>
            </w:r>
          </w:p>
        </w:tc>
      </w:tr>
      <w:tr w14:paraId="5EAF3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435C8F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napToGrid w:val="0"/>
                <w:color w:val="auto"/>
                <w:spacing w:val="-7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bookmarkStart w:id="8" w:name="_Toc32169"/>
            <w:bookmarkStart w:id="9" w:name="_Toc9369"/>
            <w:r>
              <w:rPr>
                <w:rFonts w:hint="eastAsia" w:ascii="仿宋" w:hAnsi="仿宋" w:eastAsia="仿宋" w:cs="仿宋"/>
                <w:snapToGrid w:val="0"/>
                <w:color w:val="auto"/>
                <w:spacing w:val="-4"/>
                <w:kern w:val="0"/>
                <w:sz w:val="28"/>
                <w:szCs w:val="28"/>
                <w:highlight w:val="none"/>
                <w:lang w:val="en-US" w:eastAsia="zh-CN" w:bidi="ar-SA"/>
              </w:rPr>
              <w:t>应急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pacing w:val="-4"/>
                <w:kern w:val="0"/>
                <w:sz w:val="28"/>
                <w:szCs w:val="28"/>
                <w:highlight w:val="none"/>
                <w:lang w:val="en-US" w:eastAsia="en-US" w:bidi="ar-SA"/>
              </w:rPr>
              <w:t>救援</w:t>
            </w:r>
            <w:bookmarkEnd w:id="8"/>
            <w:bookmarkEnd w:id="9"/>
          </w:p>
        </w:tc>
        <w:tc>
          <w:tcPr>
            <w:tcW w:w="7118" w:type="dxa"/>
            <w:noWrap w:val="0"/>
            <w:vAlign w:val="center"/>
          </w:tcPr>
          <w:p w14:paraId="6F4CD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制定水上救援工作方案，安排专职安全员和水上救援船艇、救援人员，随时待命、全天候负责水上救援工作；制定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医疗救援工作方案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和赛事突发事件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应急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预案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并协助实施。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详细列出比赛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期间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医疗点的位置和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所需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提供的医疗服务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内容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救护车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点位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医护人员、联系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电话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所需医疗设备、药品等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详细列出比赛中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所需的消防、电力、通信等应急救援设施设备、保障人员及工作要求等。</w:t>
            </w:r>
          </w:p>
        </w:tc>
      </w:tr>
      <w:tr w14:paraId="45EED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0ADFEE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</w:pPr>
            <w:bookmarkStart w:id="10" w:name="_Toc10482"/>
            <w:bookmarkStart w:id="11" w:name="_Toc32181"/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  <w:t>赛前训练</w:t>
            </w:r>
            <w:bookmarkEnd w:id="10"/>
            <w:bookmarkEnd w:id="11"/>
          </w:p>
        </w:tc>
        <w:tc>
          <w:tcPr>
            <w:tcW w:w="7118" w:type="dxa"/>
            <w:noWrap w:val="0"/>
            <w:vAlign w:val="center"/>
          </w:tcPr>
          <w:p w14:paraId="48EC7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  <w:t>负责组织地方组龙舟队进行赛前40天集中训练，提供训练所需的码头、龙舟、桨、救生衣等设施器材和教练员、工作人员、水上救援、训练安排等服务。</w:t>
            </w:r>
          </w:p>
        </w:tc>
      </w:tr>
      <w:tr w14:paraId="696BD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2E7F48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</w:pPr>
            <w:bookmarkStart w:id="12" w:name="_Toc28452"/>
            <w:bookmarkStart w:id="13" w:name="_Toc30458"/>
            <w:r>
              <w:rPr>
                <w:rFonts w:hint="eastAsia" w:ascii="仿宋" w:hAnsi="仿宋" w:eastAsia="仿宋" w:cs="仿宋"/>
                <w:color w:val="auto"/>
                <w:spacing w:val="-7"/>
                <w:sz w:val="28"/>
                <w:szCs w:val="28"/>
                <w:highlight w:val="none"/>
              </w:rPr>
              <w:t>资料编印</w:t>
            </w:r>
            <w:bookmarkEnd w:id="12"/>
            <w:bookmarkEnd w:id="13"/>
          </w:p>
        </w:tc>
        <w:tc>
          <w:tcPr>
            <w:tcW w:w="7118" w:type="dxa"/>
            <w:noWrap w:val="0"/>
            <w:vAlign w:val="center"/>
          </w:tcPr>
          <w:p w14:paraId="67340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负责编印赛事工作方案、竞赛规程、参赛指南、秩序册、成绩册、回顾画册等系统资料，规范赛事运行。</w:t>
            </w:r>
          </w:p>
        </w:tc>
      </w:tr>
      <w:tr w14:paraId="0FB9A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229C94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</w:pPr>
            <w:bookmarkStart w:id="14" w:name="_Toc13469"/>
            <w:bookmarkStart w:id="15" w:name="_Toc4170"/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预期效果</w:t>
            </w:r>
            <w:bookmarkEnd w:id="14"/>
            <w:bookmarkEnd w:id="15"/>
          </w:p>
        </w:tc>
        <w:tc>
          <w:tcPr>
            <w:tcW w:w="7118" w:type="dxa"/>
            <w:noWrap w:val="0"/>
            <w:vAlign w:val="center"/>
          </w:tcPr>
          <w:p w14:paraId="08595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-4"/>
                <w:kern w:val="0"/>
                <w:sz w:val="28"/>
                <w:szCs w:val="28"/>
                <w:highlight w:val="none"/>
                <w:lang w:val="en-US" w:eastAsia="zh-CN" w:bidi="ar-SA"/>
              </w:rPr>
              <w:t>通过赛前、赛中、赛后宣传与推广，线上线下点击关注赛事人数不少于5000万人次。</w:t>
            </w:r>
          </w:p>
        </w:tc>
      </w:tr>
      <w:tr w14:paraId="607B1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761" w:type="dxa"/>
            <w:noWrap w:val="0"/>
            <w:vAlign w:val="center"/>
          </w:tcPr>
          <w:p w14:paraId="5AE4820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</w:pPr>
            <w:bookmarkStart w:id="16" w:name="_Toc18778"/>
            <w:bookmarkStart w:id="17" w:name="_Toc32332"/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总体要求</w:t>
            </w:r>
            <w:bookmarkEnd w:id="16"/>
            <w:bookmarkEnd w:id="17"/>
          </w:p>
        </w:tc>
        <w:tc>
          <w:tcPr>
            <w:tcW w:w="7118" w:type="dxa"/>
            <w:noWrap w:val="0"/>
            <w:vAlign w:val="center"/>
          </w:tcPr>
          <w:p w14:paraId="277F3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  <w:t>赛事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  <w:t>安全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val="en-US" w:eastAsia="zh-CN"/>
              </w:rPr>
              <w:t>有序、精彩、圆满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</w:tbl>
    <w:p w14:paraId="350EDB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350CC"/>
    <w:rsid w:val="26D6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1213</Words>
  <Characters>1232</Characters>
  <Lines>0</Lines>
  <Paragraphs>0</Paragraphs>
  <TotalTime>5</TotalTime>
  <ScaleCrop>false</ScaleCrop>
  <LinksUpToDate>false</LinksUpToDate>
  <CharactersWithSpaces>1233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2026-05-27T04:18:00Z</dcterms:created>
  <dc:creator>Administrator</dc:creator>
  <cp:lastModifiedBy>清风</cp:lastModifiedBy>
  <dcterms:modified xsi:type="dcterms:W3CDTF">2026-05-27T06:51:18Z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69E06F741A0F47DCBB38D3C839201C0C_12</vt:lpwstr>
  </property>
</Properties>
</file>