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A8651">
      <w:pPr>
        <w:pStyle w:val="10"/>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color w:val="auto"/>
          <w:sz w:val="44"/>
          <w:szCs w:val="44"/>
          <w:highlight w:val="none"/>
          <w:lang w:eastAsia="zh-CN"/>
        </w:rPr>
      </w:pPr>
    </w:p>
    <w:p w14:paraId="728C2CE4">
      <w:pPr>
        <w:pStyle w:val="10"/>
        <w:keepNext w:val="0"/>
        <w:keepLines w:val="0"/>
        <w:pageBreakBefore w:val="0"/>
        <w:widowControl/>
        <w:kinsoku/>
        <w:wordWrap/>
        <w:overflowPunct/>
        <w:topLinePunct w:val="0"/>
        <w:autoSpaceDE/>
        <w:autoSpaceDN/>
        <w:bidi w:val="0"/>
        <w:adjustRightInd w:val="0"/>
        <w:snapToGrid w:val="0"/>
        <w:spacing w:before="0" w:after="0" w:line="360" w:lineRule="auto"/>
        <w:ind w:firstLine="0"/>
        <w:jc w:val="center"/>
        <w:textAlignment w:val="auto"/>
        <w:outlineLvl w:val="9"/>
        <w:rPr>
          <w:rFonts w:hint="eastAsia" w:ascii="仿宋" w:hAnsi="仿宋" w:eastAsia="仿宋" w:cs="仿宋"/>
          <w:b/>
          <w:color w:val="auto"/>
          <w:sz w:val="48"/>
          <w:szCs w:val="48"/>
          <w:highlight w:val="none"/>
          <w:lang w:eastAsia="zh-CN"/>
        </w:rPr>
      </w:pPr>
      <w:r>
        <w:rPr>
          <w:rFonts w:hint="eastAsia" w:ascii="仿宋" w:hAnsi="仿宋" w:eastAsia="仿宋" w:cs="仿宋"/>
          <w:b/>
          <w:color w:val="auto"/>
          <w:sz w:val="44"/>
          <w:szCs w:val="44"/>
          <w:highlight w:val="none"/>
          <w:lang w:eastAsia="zh-CN"/>
        </w:rPr>
        <w:t>秦岭传奇2026丹江龙舟公开赛赛事组织采购项目</w:t>
      </w:r>
    </w:p>
    <w:p w14:paraId="4AD67113">
      <w:pPr>
        <w:pStyle w:val="10"/>
        <w:pageBreakBefore w:val="0"/>
        <w:kinsoku/>
        <w:overflowPunct/>
        <w:bidi w:val="0"/>
        <w:spacing w:line="500" w:lineRule="exact"/>
        <w:ind w:firstLine="0"/>
        <w:jc w:val="both"/>
        <w:outlineLvl w:val="9"/>
        <w:rPr>
          <w:rFonts w:hint="eastAsia" w:ascii="仿宋" w:hAnsi="仿宋" w:eastAsia="仿宋" w:cs="仿宋"/>
          <w:b/>
          <w:color w:val="auto"/>
          <w:sz w:val="24"/>
          <w:highlight w:val="none"/>
        </w:rPr>
      </w:pPr>
    </w:p>
    <w:p w14:paraId="3E73CB68">
      <w:pPr>
        <w:pStyle w:val="10"/>
        <w:pageBreakBefore w:val="0"/>
        <w:kinsoku/>
        <w:overflowPunct/>
        <w:bidi w:val="0"/>
        <w:spacing w:line="500" w:lineRule="exact"/>
        <w:ind w:firstLine="0"/>
        <w:jc w:val="both"/>
        <w:outlineLvl w:val="9"/>
        <w:rPr>
          <w:rFonts w:hint="eastAsia" w:ascii="仿宋" w:hAnsi="仿宋" w:eastAsia="仿宋" w:cs="仿宋"/>
          <w:b/>
          <w:color w:val="auto"/>
          <w:sz w:val="24"/>
          <w:highlight w:val="none"/>
        </w:rPr>
      </w:pPr>
    </w:p>
    <w:p w14:paraId="64A4BE0D">
      <w:pPr>
        <w:pageBreakBefore w:val="0"/>
        <w:kinsoku/>
        <w:overflowPunct/>
        <w:bidi w:val="0"/>
        <w:spacing w:line="500" w:lineRule="exact"/>
        <w:jc w:val="center"/>
        <w:outlineLvl w:val="9"/>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bookmarkStart w:id="0" w:name="_GoBack"/>
      <w:bookmarkEnd w:id="0"/>
    </w:p>
    <w:p w14:paraId="600BB4D0">
      <w:pPr>
        <w:pStyle w:val="6"/>
        <w:pageBreakBefore w:val="0"/>
        <w:kinsoku/>
        <w:overflowPunct/>
        <w:bidi w:val="0"/>
        <w:spacing w:line="500" w:lineRule="exact"/>
        <w:outlineLvl w:val="9"/>
        <w:rPr>
          <w:color w:val="auto"/>
          <w:highlight w:val="none"/>
        </w:rPr>
      </w:pPr>
    </w:p>
    <w:p w14:paraId="5C140883">
      <w:pPr>
        <w:pageBreakBefore w:val="0"/>
        <w:kinsoku/>
        <w:overflowPunct/>
        <w:bidi w:val="0"/>
        <w:spacing w:line="500" w:lineRule="exact"/>
        <w:outlineLvl w:val="9"/>
        <w:rPr>
          <w:color w:val="auto"/>
          <w:highlight w:val="none"/>
        </w:rPr>
      </w:pPr>
    </w:p>
    <w:p w14:paraId="4491A503">
      <w:pPr>
        <w:pageBreakBefore w:val="0"/>
        <w:kinsoku/>
        <w:overflowPunct/>
        <w:bidi w:val="0"/>
        <w:spacing w:line="500" w:lineRule="exact"/>
        <w:outlineLvl w:val="9"/>
        <w:rPr>
          <w:color w:val="auto"/>
          <w:highlight w:val="none"/>
        </w:rPr>
      </w:pPr>
    </w:p>
    <w:p w14:paraId="0B4F5530">
      <w:pPr>
        <w:keepNext w:val="0"/>
        <w:keepLines w:val="0"/>
        <w:pageBreakBefore w:val="0"/>
        <w:widowControl w:val="0"/>
        <w:kinsoku/>
        <w:wordWrap/>
        <w:overflowPunct/>
        <w:topLinePunct w:val="0"/>
        <w:autoSpaceDE/>
        <w:autoSpaceDN/>
        <w:bidi w:val="0"/>
        <w:adjustRightInd/>
        <w:snapToGrid/>
        <w:spacing w:line="500" w:lineRule="exact"/>
        <w:jc w:val="center"/>
        <w:textAlignment w:val="auto"/>
        <w:outlineLvl w:val="9"/>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1D19DA1A">
      <w:pPr>
        <w:pStyle w:val="2"/>
        <w:keepNext w:val="0"/>
        <w:keepLines w:val="0"/>
        <w:pageBreakBefore w:val="0"/>
        <w:widowControl w:val="0"/>
        <w:kinsoku/>
        <w:wordWrap/>
        <w:overflowPunct/>
        <w:topLinePunct w:val="0"/>
        <w:autoSpaceDE/>
        <w:autoSpaceDN/>
        <w:bidi w:val="0"/>
        <w:adjustRightInd/>
        <w:snapToGrid/>
        <w:spacing w:after="0" w:line="500" w:lineRule="exact"/>
        <w:textAlignment w:val="auto"/>
        <w:outlineLvl w:val="9"/>
        <w:rPr>
          <w:b/>
          <w:bCs/>
          <w:color w:val="auto"/>
          <w:highlight w:val="none"/>
        </w:rPr>
      </w:pPr>
      <w:r>
        <w:rPr>
          <w:rFonts w:hint="eastAsia"/>
          <w:b/>
          <w:bCs/>
          <w:color w:val="auto"/>
          <w:sz w:val="28"/>
          <w:szCs w:val="22"/>
          <w:highlight w:val="none"/>
          <w:lang w:eastAsia="zh-CN"/>
        </w:rPr>
        <w:t>（</w:t>
      </w:r>
      <w:r>
        <w:rPr>
          <w:rFonts w:hint="eastAsia"/>
          <w:b/>
          <w:bCs/>
          <w:color w:val="auto"/>
          <w:sz w:val="28"/>
          <w:szCs w:val="22"/>
          <w:highlight w:val="none"/>
          <w:lang w:val="en-US" w:eastAsia="zh-CN"/>
        </w:rPr>
        <w:t>本格式条款为合同基础条款，甲乙双方可根据项目实际情况增加条款和内容</w:t>
      </w:r>
      <w:r>
        <w:rPr>
          <w:rFonts w:hint="eastAsia"/>
          <w:b/>
          <w:bCs/>
          <w:color w:val="auto"/>
          <w:sz w:val="28"/>
          <w:szCs w:val="22"/>
          <w:highlight w:val="none"/>
          <w:lang w:eastAsia="zh-CN"/>
        </w:rPr>
        <w:t>）</w:t>
      </w:r>
    </w:p>
    <w:p w14:paraId="2826A9F7">
      <w:pPr>
        <w:pStyle w:val="4"/>
        <w:pageBreakBefore w:val="0"/>
        <w:kinsoku/>
        <w:overflowPunct/>
        <w:bidi w:val="0"/>
        <w:spacing w:line="500" w:lineRule="exact"/>
        <w:ind w:left="0" w:leftChars="0"/>
        <w:outlineLvl w:val="9"/>
        <w:rPr>
          <w:color w:val="auto"/>
          <w:highlight w:val="none"/>
        </w:rPr>
      </w:pPr>
    </w:p>
    <w:p w14:paraId="158CB95B">
      <w:pPr>
        <w:pageBreakBefore w:val="0"/>
        <w:kinsoku/>
        <w:overflowPunct/>
        <w:bidi w:val="0"/>
        <w:spacing w:line="500" w:lineRule="exact"/>
        <w:outlineLvl w:val="9"/>
        <w:rPr>
          <w:color w:val="auto"/>
          <w:highlight w:val="none"/>
        </w:rPr>
      </w:pPr>
    </w:p>
    <w:p w14:paraId="78F07477">
      <w:pPr>
        <w:pStyle w:val="2"/>
        <w:pageBreakBefore w:val="0"/>
        <w:kinsoku/>
        <w:overflowPunct/>
        <w:bidi w:val="0"/>
        <w:spacing w:line="500" w:lineRule="exact"/>
        <w:outlineLvl w:val="9"/>
        <w:rPr>
          <w:color w:val="auto"/>
          <w:highlight w:val="none"/>
        </w:rPr>
      </w:pPr>
    </w:p>
    <w:p w14:paraId="3FE11AF0">
      <w:pPr>
        <w:rPr>
          <w:color w:val="auto"/>
          <w:highlight w:val="none"/>
        </w:rPr>
      </w:pPr>
    </w:p>
    <w:p w14:paraId="6BA279D3">
      <w:pPr>
        <w:rPr>
          <w:color w:val="auto"/>
          <w:highlight w:val="none"/>
        </w:rPr>
      </w:pPr>
    </w:p>
    <w:p w14:paraId="0EDAA7A7">
      <w:pPr>
        <w:rPr>
          <w:color w:val="auto"/>
          <w:highlight w:val="none"/>
        </w:rPr>
      </w:pPr>
    </w:p>
    <w:p w14:paraId="3E4AA854">
      <w:pPr>
        <w:rPr>
          <w:color w:val="auto"/>
          <w:highlight w:val="none"/>
        </w:rPr>
      </w:pPr>
    </w:p>
    <w:p w14:paraId="26E3869B">
      <w:pPr>
        <w:pageBreakBefore w:val="0"/>
        <w:kinsoku/>
        <w:overflowPunct/>
        <w:bidi w:val="0"/>
        <w:spacing w:line="500" w:lineRule="exact"/>
        <w:outlineLvl w:val="9"/>
        <w:rPr>
          <w:color w:val="auto"/>
          <w:highlight w:val="none"/>
        </w:rPr>
      </w:pPr>
    </w:p>
    <w:p w14:paraId="25ABF72E">
      <w:pPr>
        <w:pageBreakBefore w:val="0"/>
        <w:kinsoku/>
        <w:overflowPunct/>
        <w:bidi w:val="0"/>
        <w:spacing w:line="500" w:lineRule="exact"/>
        <w:outlineLvl w:val="9"/>
        <w:rPr>
          <w:color w:val="auto"/>
          <w:highlight w:val="none"/>
        </w:rPr>
      </w:pPr>
    </w:p>
    <w:p w14:paraId="7839A9E3">
      <w:pPr>
        <w:pageBreakBefore w:val="0"/>
        <w:kinsoku/>
        <w:overflowPunct/>
        <w:bidi w:val="0"/>
        <w:spacing w:line="500" w:lineRule="exact"/>
        <w:ind w:left="1469" w:hanging="1469" w:hangingChars="400"/>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9"/>
          <w:rFonts w:hint="default"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p>
    <w:p w14:paraId="0A584478">
      <w:pPr>
        <w:pageBreakBefore w:val="0"/>
        <w:kinsoku/>
        <w:overflowPunct/>
        <w:bidi w:val="0"/>
        <w:spacing w:line="500" w:lineRule="exact"/>
        <w:ind w:left="1469" w:hanging="1469" w:hangingChars="400"/>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9"/>
          <w:rFonts w:hint="default"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p>
    <w:p w14:paraId="74E223DB">
      <w:pPr>
        <w:pStyle w:val="5"/>
        <w:pageBreakBefore w:val="0"/>
        <w:kinsoku/>
        <w:overflowPunct/>
        <w:bidi w:val="0"/>
        <w:adjustRightInd w:val="0"/>
        <w:spacing w:line="500" w:lineRule="exact"/>
        <w:outlineLvl w:val="9"/>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u w:val="single"/>
          <w:lang w:val="en-US" w:eastAsia="zh-CN" w:bidi="ar"/>
        </w:rPr>
        <w:t xml:space="preserve"> </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1E2A3D95">
      <w:pPr>
        <w:pageBreakBefore w:val="0"/>
        <w:widowControl/>
        <w:kinsoku/>
        <w:overflowPunct/>
        <w:bidi w:val="0"/>
        <w:spacing w:line="500" w:lineRule="exact"/>
        <w:jc w:val="center"/>
        <w:outlineLvl w:val="9"/>
        <w:rPr>
          <w:rFonts w:hint="eastAsia" w:ascii="仿宋" w:hAnsi="仿宋" w:eastAsia="仿宋" w:cs="仿宋"/>
          <w:b/>
          <w:color w:val="auto"/>
          <w:sz w:val="32"/>
          <w:szCs w:val="32"/>
          <w:highlight w:val="none"/>
          <w:lang w:bidi="ar"/>
        </w:rPr>
        <w:sectPr>
          <w:footnotePr>
            <w:numFmt w:val="decimalEnclosedCircleChinese"/>
          </w:footnotePr>
          <w:pgSz w:w="11906" w:h="16838"/>
          <w:pgMar w:top="1440" w:right="1080" w:bottom="1440" w:left="1080" w:header="850" w:footer="964" w:gutter="0"/>
          <w:cols w:space="720" w:num="1"/>
          <w:docGrid w:linePitch="312" w:charSpace="0"/>
        </w:sectPr>
      </w:pPr>
    </w:p>
    <w:p w14:paraId="42BFACAE">
      <w:pPr>
        <w:pageBreakBefore w:val="0"/>
        <w:widowControl/>
        <w:kinsoku/>
        <w:overflowPunct/>
        <w:bidi w:val="0"/>
        <w:spacing w:line="500" w:lineRule="exact"/>
        <w:jc w:val="center"/>
        <w:outlineLvl w:val="9"/>
        <w:rPr>
          <w:rFonts w:hint="eastAsia" w:ascii="仿宋" w:hAnsi="仿宋" w:eastAsia="仿宋" w:cs="仿宋"/>
          <w:bCs/>
          <w:color w:val="auto"/>
          <w:sz w:val="28"/>
          <w:szCs w:val="28"/>
          <w:highlight w:val="none"/>
          <w:lang w:bidi="ar"/>
        </w:rPr>
      </w:pPr>
      <w:r>
        <w:rPr>
          <w:rFonts w:hint="eastAsia" w:ascii="仿宋" w:hAnsi="仿宋" w:eastAsia="仿宋" w:cs="仿宋"/>
          <w:b/>
          <w:color w:val="auto"/>
          <w:sz w:val="32"/>
          <w:szCs w:val="32"/>
          <w:highlight w:val="none"/>
          <w:lang w:bidi="ar"/>
        </w:rPr>
        <w:t>合同范本</w:t>
      </w:r>
    </w:p>
    <w:p w14:paraId="68926F26">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w:t>
      </w:r>
    </w:p>
    <w:p w14:paraId="4EB78A3A">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乙方（供应商）：</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w:t>
      </w:r>
    </w:p>
    <w:p w14:paraId="3EEC277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政府采购项目（项目编号：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）采购结果及相关竞争性磋商文件、竞争性磋商响应文件，经协商一致，订立本合同，供双方共同遵守：</w:t>
      </w:r>
    </w:p>
    <w:p w14:paraId="697CFC5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项目概况</w:t>
      </w:r>
    </w:p>
    <w:p w14:paraId="36B5D6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服务内容：</w:t>
      </w:r>
      <w:r>
        <w:rPr>
          <w:rFonts w:hint="eastAsia" w:ascii="仿宋" w:hAnsi="仿宋" w:eastAsia="仿宋" w:cs="仿宋"/>
          <w:b w:val="0"/>
          <w:bCs/>
          <w:color w:val="auto"/>
          <w:sz w:val="28"/>
          <w:szCs w:val="28"/>
          <w:highlight w:val="none"/>
          <w:u w:val="single"/>
          <w:lang w:eastAsia="zh-CN" w:bidi="ar"/>
        </w:rPr>
        <w:t xml:space="preserve">                      .</w:t>
      </w:r>
    </w:p>
    <w:p w14:paraId="53B9653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成交价格（含税）：</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(金额单位：人民币元)</w:t>
      </w:r>
    </w:p>
    <w:p w14:paraId="7C3F59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val="0"/>
          <w:bCs/>
          <w:color w:val="auto"/>
          <w:sz w:val="28"/>
          <w:szCs w:val="28"/>
          <w:highlight w:val="none"/>
          <w:lang w:eastAsia="zh-CN" w:bidi="ar"/>
        </w:rPr>
      </w:pPr>
      <w:r>
        <w:rPr>
          <w:rFonts w:hint="eastAsia" w:ascii="仿宋" w:hAnsi="仿宋" w:eastAsia="仿宋" w:cs="仿宋"/>
          <w:b w:val="0"/>
          <w:bCs/>
          <w:color w:val="auto"/>
          <w:sz w:val="28"/>
          <w:szCs w:val="28"/>
          <w:highlight w:val="none"/>
          <w:lang w:eastAsia="zh-CN" w:bidi="ar"/>
        </w:rPr>
        <w:t>乙方负责项目实施过程中的所有费用，甲方不再另付任何费用。</w:t>
      </w:r>
    </w:p>
    <w:p w14:paraId="68F0319A">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 w:val="0"/>
          <w:bCs/>
          <w:color w:val="auto"/>
          <w:sz w:val="28"/>
          <w:szCs w:val="28"/>
          <w:highlight w:val="none"/>
          <w:lang w:eastAsia="zh-CN" w:bidi="ar"/>
        </w:rPr>
        <w:t>拟派本项目负责人姓名：</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，身份证号：</w:t>
      </w:r>
      <w:r>
        <w:rPr>
          <w:rFonts w:hint="eastAsia" w:ascii="仿宋" w:hAnsi="仿宋" w:eastAsia="仿宋" w:cs="仿宋"/>
          <w:b w:val="0"/>
          <w:bCs/>
          <w:color w:val="auto"/>
          <w:sz w:val="28"/>
          <w:szCs w:val="28"/>
          <w:highlight w:val="none"/>
          <w:u w:val="single"/>
          <w:lang w:eastAsia="zh-CN" w:bidi="ar"/>
        </w:rPr>
        <w:t xml:space="preserve">              </w:t>
      </w:r>
      <w:r>
        <w:rPr>
          <w:rFonts w:hint="eastAsia" w:ascii="仿宋" w:hAnsi="仿宋" w:eastAsia="仿宋" w:cs="仿宋"/>
          <w:b w:val="0"/>
          <w:bCs/>
          <w:color w:val="auto"/>
          <w:sz w:val="28"/>
          <w:szCs w:val="28"/>
          <w:highlight w:val="none"/>
          <w:lang w:eastAsia="zh-CN" w:bidi="ar"/>
        </w:rPr>
        <w:t>。</w:t>
      </w:r>
    </w:p>
    <w:p w14:paraId="43B00327">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eastAsia="zh-CN" w:bidi="ar"/>
        </w:rPr>
        <w:t>第二条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成果及</w:t>
      </w:r>
      <w:r>
        <w:rPr>
          <w:rFonts w:hint="eastAsia" w:ascii="仿宋" w:hAnsi="仿宋" w:eastAsia="仿宋" w:cs="仿宋"/>
          <w:b/>
          <w:color w:val="auto"/>
          <w:sz w:val="28"/>
          <w:szCs w:val="28"/>
          <w:highlight w:val="none"/>
          <w:lang w:eastAsia="zh-CN" w:bidi="ar"/>
        </w:rPr>
        <w:t>售后</w:t>
      </w:r>
      <w:r>
        <w:rPr>
          <w:rFonts w:hint="eastAsia" w:ascii="仿宋" w:hAnsi="仿宋" w:eastAsia="仿宋" w:cs="仿宋"/>
          <w:b/>
          <w:color w:val="auto"/>
          <w:sz w:val="28"/>
          <w:szCs w:val="28"/>
          <w:highlight w:val="none"/>
          <w:lang w:bidi="ar"/>
        </w:rPr>
        <w:t>要求</w:t>
      </w:r>
    </w:p>
    <w:p w14:paraId="159CBFC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Cs/>
          <w:color w:val="auto"/>
          <w:sz w:val="28"/>
          <w:szCs w:val="28"/>
          <w:highlight w:val="none"/>
          <w:lang w:eastAsia="zh-CN" w:bidi="ar"/>
        </w:rPr>
      </w:pPr>
      <w:r>
        <w:rPr>
          <w:rFonts w:hint="eastAsia" w:ascii="仿宋" w:hAnsi="仿宋" w:eastAsia="仿宋" w:cs="仿宋"/>
          <w:bCs/>
          <w:color w:val="auto"/>
          <w:sz w:val="28"/>
          <w:szCs w:val="28"/>
          <w:highlight w:val="none"/>
          <w:lang w:val="en-US" w:eastAsia="zh-CN" w:bidi="ar"/>
        </w:rPr>
        <w:t>1、成果提交：按照甲方要求提供。</w:t>
      </w:r>
    </w:p>
    <w:p w14:paraId="5C2EBC2D">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2</w:t>
      </w:r>
      <w:r>
        <w:rPr>
          <w:rFonts w:hint="eastAsia" w:ascii="仿宋" w:hAnsi="仿宋" w:eastAsia="仿宋" w:cs="仿宋"/>
          <w:bCs/>
          <w:color w:val="auto"/>
          <w:sz w:val="28"/>
          <w:szCs w:val="28"/>
          <w:highlight w:val="none"/>
          <w:lang w:bidi="ar"/>
        </w:rPr>
        <w:t>、乙方服务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每天24小时及时响应，4小时内到现场提供服务</w:t>
      </w:r>
      <w:r>
        <w:rPr>
          <w:rFonts w:hint="eastAsia" w:ascii="仿宋" w:hAnsi="仿宋" w:eastAsia="仿宋" w:cs="仿宋"/>
          <w:bCs/>
          <w:color w:val="auto"/>
          <w:sz w:val="28"/>
          <w:szCs w:val="28"/>
          <w:highlight w:val="none"/>
          <w:lang w:bidi="ar"/>
        </w:rPr>
        <w:t>，费用由</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负责。如</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在接到通知工作日的24小时内没有答复和处理问题，则视为</w:t>
      </w:r>
      <w:r>
        <w:rPr>
          <w:rFonts w:hint="eastAsia" w:ascii="仿宋" w:hAnsi="仿宋" w:eastAsia="仿宋" w:cs="仿宋"/>
          <w:bCs/>
          <w:color w:val="auto"/>
          <w:sz w:val="28"/>
          <w:szCs w:val="28"/>
          <w:highlight w:val="none"/>
          <w:lang w:eastAsia="zh-CN" w:bidi="ar"/>
        </w:rPr>
        <w:t>乙方</w:t>
      </w:r>
      <w:r>
        <w:rPr>
          <w:rFonts w:hint="eastAsia" w:ascii="仿宋" w:hAnsi="仿宋" w:eastAsia="仿宋" w:cs="仿宋"/>
          <w:bCs/>
          <w:color w:val="auto"/>
          <w:sz w:val="28"/>
          <w:szCs w:val="28"/>
          <w:highlight w:val="none"/>
          <w:lang w:bidi="ar"/>
        </w:rPr>
        <w:t>承认</w:t>
      </w:r>
      <w:r>
        <w:rPr>
          <w:rFonts w:hint="eastAsia" w:ascii="仿宋" w:hAnsi="仿宋" w:eastAsia="仿宋" w:cs="仿宋"/>
          <w:bCs/>
          <w:color w:val="auto"/>
          <w:sz w:val="28"/>
          <w:szCs w:val="28"/>
          <w:highlight w:val="none"/>
          <w:lang w:eastAsia="zh-CN" w:bidi="ar"/>
        </w:rPr>
        <w:t>方案</w:t>
      </w:r>
      <w:r>
        <w:rPr>
          <w:rFonts w:hint="eastAsia" w:ascii="仿宋" w:hAnsi="仿宋" w:eastAsia="仿宋" w:cs="仿宋"/>
          <w:bCs/>
          <w:color w:val="auto"/>
          <w:sz w:val="28"/>
          <w:szCs w:val="28"/>
          <w:highlight w:val="none"/>
          <w:lang w:bidi="ar"/>
        </w:rPr>
        <w:t>问题并承担由此而发生的一切费用。如因方案原因出现事故情况应由乙方承担全部责任。</w:t>
      </w:r>
    </w:p>
    <w:p w14:paraId="1A3CEBF1">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3、项目完成后，继续提供后续支持服务。</w:t>
      </w:r>
    </w:p>
    <w:p w14:paraId="77961450">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
          <w:color w:val="auto"/>
          <w:sz w:val="28"/>
          <w:szCs w:val="28"/>
          <w:highlight w:val="none"/>
          <w:lang w:bidi="ar"/>
        </w:rPr>
      </w:pPr>
      <w:r>
        <w:rPr>
          <w:rFonts w:hint="eastAsia" w:ascii="仿宋" w:hAnsi="仿宋" w:eastAsia="仿宋" w:cs="仿宋"/>
          <w:bCs/>
          <w:color w:val="auto"/>
          <w:sz w:val="28"/>
          <w:szCs w:val="28"/>
          <w:highlight w:val="none"/>
          <w:lang w:val="en-US" w:eastAsia="zh-CN" w:bidi="ar"/>
        </w:rPr>
        <w:t>4</w:t>
      </w:r>
      <w:r>
        <w:rPr>
          <w:rFonts w:hint="eastAsia" w:ascii="仿宋" w:hAnsi="仿宋" w:eastAsia="仿宋" w:cs="仿宋"/>
          <w:bCs/>
          <w:color w:val="auto"/>
          <w:sz w:val="28"/>
          <w:szCs w:val="28"/>
          <w:highlight w:val="none"/>
          <w:lang w:bidi="ar"/>
        </w:rPr>
        <w:t>、知识产权：本项目的知识产权归甲方所有，乙方应保证甲方不承担任何涉及知识产权引发的法律责任。</w:t>
      </w:r>
    </w:p>
    <w:p w14:paraId="1EFEB2E7">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二</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val="zh-CN" w:bidi="ar"/>
        </w:rPr>
        <w:t>服务期限</w:t>
      </w:r>
    </w:p>
    <w:p w14:paraId="5AAE9EA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宋体" w:hAnsi="宋体" w:eastAsia="宋体"/>
          <w:color w:val="auto"/>
          <w:sz w:val="28"/>
          <w:szCs w:val="28"/>
          <w:highlight w:val="none"/>
        </w:rPr>
      </w:pPr>
      <w:r>
        <w:rPr>
          <w:rFonts w:hint="eastAsia" w:ascii="仿宋" w:hAnsi="仿宋" w:eastAsia="仿宋" w:cs="仿宋"/>
          <w:color w:val="auto"/>
          <w:sz w:val="28"/>
          <w:szCs w:val="28"/>
          <w:highlight w:val="none"/>
          <w:lang w:bidi="ar"/>
        </w:rPr>
        <w:t>合同签订之日起至赛事结束</w:t>
      </w:r>
    </w:p>
    <w:p w14:paraId="7EE2796F">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费用的结算</w:t>
      </w:r>
    </w:p>
    <w:p w14:paraId="68F80864">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eastAsia="zh-CN" w:bidi="ar"/>
        </w:rPr>
        <w:t>竞争性磋商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eastAsia="zh-CN" w:bidi="ar"/>
        </w:rPr>
        <w:t>竞争性磋商响应</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销售发票</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、甲方出具的验收报告。</w:t>
      </w:r>
    </w:p>
    <w:p w14:paraId="3B764182">
      <w:pPr>
        <w:keepNext w:val="0"/>
        <w:keepLines w:val="0"/>
        <w:pageBreakBefore w:val="0"/>
        <w:widowControl w:val="0"/>
        <w:kinsoku/>
        <w:wordWrap/>
        <w:overflowPunct/>
        <w:topLinePunct w:val="0"/>
        <w:autoSpaceDE/>
        <w:autoSpaceDN/>
        <w:bidi w:val="0"/>
        <w:spacing w:line="520" w:lineRule="exact"/>
        <w:ind w:firstLine="560" w:firstLineChars="200"/>
        <w:jc w:val="left"/>
        <w:outlineLvl w:val="9"/>
        <w:rPr>
          <w:rFonts w:hint="eastAsia" w:ascii="仿宋" w:hAnsi="仿宋" w:eastAsia="仿宋" w:cs="仿宋"/>
          <w:bCs/>
          <w:color w:val="0000FF"/>
          <w:sz w:val="28"/>
          <w:szCs w:val="28"/>
          <w:highlight w:val="none"/>
          <w:lang w:eastAsia="zh-CN" w:bidi="ar"/>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0000FF"/>
          <w:sz w:val="28"/>
          <w:szCs w:val="28"/>
          <w:highlight w:val="none"/>
          <w:lang w:eastAsia="zh-CN" w:bidi="ar"/>
        </w:rPr>
        <w:t>分两次付款：第一笔合同签订生效并满足付款条件起10个工作日内，支付合同总金额的60%； 第二笔：赛事圆满结束、场地全部复原清场完毕且双方完成竣工结算审核，达到付款条件起10个工作日内，支付至结算总金额的40%。</w:t>
      </w:r>
    </w:p>
    <w:p w14:paraId="169BB73C">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3、验收标准</w:t>
      </w:r>
    </w:p>
    <w:p w14:paraId="58668313">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（1）应有</w:t>
      </w:r>
      <w:r>
        <w:rPr>
          <w:rFonts w:hint="eastAsia" w:ascii="仿宋" w:hAnsi="仿宋" w:eastAsia="仿宋" w:cs="仿宋"/>
          <w:b w:val="0"/>
          <w:bCs/>
          <w:color w:val="auto"/>
          <w:sz w:val="28"/>
          <w:szCs w:val="28"/>
          <w:highlight w:val="none"/>
          <w:lang w:eastAsia="zh-CN" w:bidi="ar"/>
        </w:rPr>
        <w:t>成果文件</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lang w:eastAsia="zh-CN" w:bidi="ar"/>
        </w:rPr>
        <w:t>发票</w:t>
      </w: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lang w:eastAsia="zh-CN" w:bidi="ar"/>
        </w:rPr>
        <w:t>及其他相关资料</w:t>
      </w:r>
      <w:r>
        <w:rPr>
          <w:rFonts w:hint="eastAsia" w:ascii="仿宋" w:hAnsi="仿宋" w:eastAsia="仿宋" w:cs="仿宋"/>
          <w:b w:val="0"/>
          <w:bCs/>
          <w:color w:val="auto"/>
          <w:sz w:val="28"/>
          <w:szCs w:val="28"/>
          <w:highlight w:val="none"/>
          <w:lang w:bidi="ar"/>
        </w:rPr>
        <w:t>；</w:t>
      </w:r>
    </w:p>
    <w:p w14:paraId="0D53B64D">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rPr>
          <w:rFonts w:hint="eastAsia" w:ascii="仿宋" w:hAnsi="仿宋" w:eastAsia="仿宋" w:cs="仿宋"/>
          <w:b/>
          <w:color w:val="auto"/>
          <w:sz w:val="28"/>
          <w:szCs w:val="28"/>
          <w:highlight w:val="none"/>
          <w:lang w:eastAsia="zh-CN" w:bidi="ar"/>
        </w:rPr>
      </w:pPr>
      <w:r>
        <w:rPr>
          <w:rFonts w:hint="eastAsia" w:ascii="仿宋" w:hAnsi="仿宋" w:eastAsia="仿宋" w:cs="仿宋"/>
          <w:b w:val="0"/>
          <w:bCs/>
          <w:color w:val="auto"/>
          <w:sz w:val="28"/>
          <w:szCs w:val="28"/>
          <w:highlight w:val="none"/>
          <w:lang w:bidi="ar"/>
        </w:rPr>
        <w:t>（</w:t>
      </w:r>
      <w:r>
        <w:rPr>
          <w:rFonts w:hint="eastAsia" w:ascii="仿宋" w:hAnsi="仿宋" w:eastAsia="仿宋" w:cs="仿宋"/>
          <w:b w:val="0"/>
          <w:bCs/>
          <w:color w:val="auto"/>
          <w:sz w:val="28"/>
          <w:szCs w:val="28"/>
          <w:highlight w:val="none"/>
          <w:lang w:val="en-US" w:eastAsia="zh-CN" w:bidi="ar"/>
        </w:rPr>
        <w:t>2</w:t>
      </w:r>
      <w:r>
        <w:rPr>
          <w:rFonts w:hint="eastAsia" w:ascii="仿宋" w:hAnsi="仿宋" w:eastAsia="仿宋" w:cs="仿宋"/>
          <w:b w:val="0"/>
          <w:bCs/>
          <w:color w:val="auto"/>
          <w:sz w:val="28"/>
          <w:szCs w:val="28"/>
          <w:highlight w:val="none"/>
          <w:lang w:bidi="ar"/>
        </w:rPr>
        <w:t>）符合国家法律法规、</w:t>
      </w:r>
      <w:r>
        <w:rPr>
          <w:rFonts w:hint="eastAsia" w:ascii="仿宋" w:hAnsi="仿宋" w:eastAsia="仿宋" w:cs="仿宋"/>
          <w:b w:val="0"/>
          <w:bCs/>
          <w:color w:val="auto"/>
          <w:sz w:val="28"/>
          <w:szCs w:val="28"/>
          <w:highlight w:val="none"/>
          <w:lang w:eastAsia="zh-CN" w:bidi="ar"/>
        </w:rPr>
        <w:t>竞争性磋商</w:t>
      </w:r>
      <w:r>
        <w:rPr>
          <w:rFonts w:hint="eastAsia" w:ascii="仿宋" w:hAnsi="仿宋" w:eastAsia="仿宋" w:cs="仿宋"/>
          <w:b w:val="0"/>
          <w:bCs/>
          <w:color w:val="auto"/>
          <w:sz w:val="28"/>
          <w:szCs w:val="28"/>
          <w:highlight w:val="none"/>
          <w:lang w:bidi="ar"/>
        </w:rPr>
        <w:t>文件、</w:t>
      </w:r>
      <w:r>
        <w:rPr>
          <w:rFonts w:hint="eastAsia" w:ascii="仿宋" w:hAnsi="仿宋" w:eastAsia="仿宋" w:cs="仿宋"/>
          <w:b w:val="0"/>
          <w:bCs/>
          <w:color w:val="auto"/>
          <w:sz w:val="28"/>
          <w:szCs w:val="28"/>
          <w:highlight w:val="none"/>
          <w:lang w:eastAsia="zh-CN" w:bidi="ar"/>
        </w:rPr>
        <w:t>竞争性磋商响应</w:t>
      </w:r>
      <w:r>
        <w:rPr>
          <w:rFonts w:hint="eastAsia" w:ascii="仿宋" w:hAnsi="仿宋" w:eastAsia="仿宋" w:cs="仿宋"/>
          <w:b w:val="0"/>
          <w:bCs/>
          <w:color w:val="auto"/>
          <w:sz w:val="28"/>
          <w:szCs w:val="28"/>
          <w:highlight w:val="none"/>
          <w:lang w:bidi="ar"/>
        </w:rPr>
        <w:t>文件的要求。</w:t>
      </w:r>
    </w:p>
    <w:p w14:paraId="6A689A74">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甲方的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5E5E223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1、</w:t>
      </w:r>
      <w:r>
        <w:rPr>
          <w:rFonts w:hint="eastAsia" w:ascii="仿宋" w:hAnsi="仿宋" w:eastAsia="仿宋" w:cs="仿宋"/>
          <w:color w:val="auto"/>
          <w:kern w:val="0"/>
          <w:sz w:val="28"/>
          <w:szCs w:val="28"/>
          <w:highlight w:val="none"/>
        </w:rPr>
        <w:t>甲方逾期付款，应就逾期部分向乙方支付按照中国人民银行规定的同期贷款基准利率计算的逾期付款违约金。</w:t>
      </w:r>
    </w:p>
    <w:p w14:paraId="37FF4A2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2、甲方违反合同规定拒绝接收系统的，应当承担由此对乙方造成的损失。</w:t>
      </w:r>
    </w:p>
    <w:p w14:paraId="3A45F586">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val="en-US" w:eastAsia="zh-CN" w:bidi="ar"/>
        </w:rPr>
        <w:t xml:space="preserve"> </w:t>
      </w:r>
      <w:r>
        <w:rPr>
          <w:rFonts w:hint="eastAsia" w:ascii="仿宋" w:hAnsi="仿宋" w:eastAsia="仿宋" w:cs="仿宋"/>
          <w:b/>
          <w:color w:val="auto"/>
          <w:sz w:val="28"/>
          <w:szCs w:val="28"/>
          <w:highlight w:val="none"/>
          <w:lang w:bidi="ar"/>
        </w:rPr>
        <w:t xml:space="preserve"> 乙方的</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违约责任</w:t>
      </w:r>
      <w:r>
        <w:rPr>
          <w:rFonts w:hint="eastAsia" w:ascii="仿宋" w:hAnsi="仿宋" w:eastAsia="仿宋" w:cs="仿宋"/>
          <w:b/>
          <w:color w:val="auto"/>
          <w:sz w:val="28"/>
          <w:szCs w:val="28"/>
          <w:highlight w:val="none"/>
          <w:lang w:bidi="ar"/>
        </w:rPr>
        <w:fldChar w:fldCharType="end"/>
      </w:r>
    </w:p>
    <w:p w14:paraId="4BE5844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1、乙方不能按期完成的，每逾期1日，乙方应向甲方赔付合同总价的0.1%作为违约金。</w:t>
      </w:r>
    </w:p>
    <w:p w14:paraId="739CD30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w:t>
      </w:r>
      <w:r>
        <w:rPr>
          <w:rFonts w:hint="eastAsia" w:ascii="仿宋" w:hAnsi="仿宋" w:eastAsia="仿宋" w:cs="仿宋"/>
          <w:bCs/>
          <w:color w:val="auto"/>
          <w:sz w:val="28"/>
          <w:szCs w:val="28"/>
          <w:highlight w:val="none"/>
          <w:lang w:val="en-US" w:eastAsia="zh-CN" w:bidi="ar"/>
        </w:rPr>
        <w:t>成果</w:t>
      </w:r>
      <w:r>
        <w:rPr>
          <w:rFonts w:hint="eastAsia" w:ascii="仿宋" w:hAnsi="仿宋" w:eastAsia="仿宋" w:cs="仿宋"/>
          <w:bCs/>
          <w:color w:val="auto"/>
          <w:sz w:val="28"/>
          <w:szCs w:val="28"/>
          <w:highlight w:val="none"/>
          <w:lang w:bidi="ar"/>
        </w:rPr>
        <w:t>不符合国家法律法规和合同规定的，甲方有权拒收，并由乙方承担一切费用。</w:t>
      </w:r>
    </w:p>
    <w:p w14:paraId="09744034">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073B52C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B8ED85B">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条  争议解决</w:t>
      </w:r>
    </w:p>
    <w:p w14:paraId="2B9DC3DB">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170B883C">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八</w:t>
      </w:r>
      <w:r>
        <w:rPr>
          <w:rFonts w:hint="eastAsia" w:ascii="仿宋" w:hAnsi="仿宋" w:eastAsia="仿宋" w:cs="仿宋"/>
          <w:b/>
          <w:color w:val="auto"/>
          <w:sz w:val="28"/>
          <w:szCs w:val="28"/>
          <w:highlight w:val="none"/>
          <w:lang w:bidi="ar"/>
        </w:rPr>
        <w:t>条  监督和管理</w:t>
      </w:r>
    </w:p>
    <w:p w14:paraId="1A362BB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59DEEC3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08A43C23">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7CDCE3B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color w:val="auto"/>
          <w:highlight w:val="none"/>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的，一切责任概由过错方自行承担。</w:t>
      </w:r>
    </w:p>
    <w:p w14:paraId="4EA62062">
      <w:pPr>
        <w:keepNext w:val="0"/>
        <w:keepLines w:val="0"/>
        <w:pageBreakBefore w:val="0"/>
        <w:widowControl w:val="0"/>
        <w:kinsoku/>
        <w:wordWrap/>
        <w:overflowPunct/>
        <w:topLinePunct w:val="0"/>
        <w:autoSpaceDE/>
        <w:autoSpaceDN/>
        <w:bidi w:val="0"/>
        <w:spacing w:line="500" w:lineRule="exact"/>
        <w:jc w:val="left"/>
        <w:outlineLvl w:val="9"/>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十</w:t>
      </w:r>
      <w:r>
        <w:rPr>
          <w:rFonts w:hint="eastAsia" w:ascii="仿宋" w:hAnsi="仿宋" w:eastAsia="仿宋" w:cs="仿宋"/>
          <w:b/>
          <w:color w:val="auto"/>
          <w:sz w:val="28"/>
          <w:szCs w:val="28"/>
          <w:highlight w:val="none"/>
          <w:lang w:bidi="ar"/>
        </w:rPr>
        <w:t>条附则</w:t>
      </w:r>
    </w:p>
    <w:p w14:paraId="79A28052">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竞争性磋商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竞争性磋商响应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5D5A633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val="en-US"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val="en-US" w:eastAsia="zh-CN" w:bidi="ar"/>
        </w:rPr>
        <w:t>两</w:t>
      </w:r>
      <w:r>
        <w:rPr>
          <w:rFonts w:hint="eastAsia" w:ascii="仿宋" w:hAnsi="仿宋" w:eastAsia="仿宋" w:cs="仿宋"/>
          <w:bCs/>
          <w:color w:val="auto"/>
          <w:sz w:val="28"/>
          <w:szCs w:val="28"/>
          <w:highlight w:val="none"/>
          <w:lang w:bidi="ar"/>
        </w:rPr>
        <w:t>份,政府采购代理机构两份。</w:t>
      </w:r>
    </w:p>
    <w:p w14:paraId="41D51D35">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55269D2F">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lang w:bidi="ar"/>
        </w:rPr>
        <w:t>4、附件：</w:t>
      </w:r>
      <w:r>
        <w:rPr>
          <w:rFonts w:hint="eastAsia" w:ascii="仿宋" w:hAnsi="仿宋" w:eastAsia="仿宋" w:cs="仿宋"/>
          <w:color w:val="auto"/>
          <w:sz w:val="28"/>
          <w:szCs w:val="28"/>
          <w:highlight w:val="none"/>
        </w:rPr>
        <w:t>（包含但不限于</w:t>
      </w:r>
      <w:r>
        <w:rPr>
          <w:rFonts w:hint="eastAsia" w:ascii="仿宋" w:hAnsi="仿宋" w:eastAsia="仿宋" w:cs="仿宋"/>
          <w:color w:val="auto"/>
          <w:sz w:val="28"/>
          <w:szCs w:val="28"/>
          <w:highlight w:val="none"/>
          <w:lang w:eastAsia="zh-CN"/>
        </w:rPr>
        <w:t>实施</w:t>
      </w:r>
      <w:r>
        <w:rPr>
          <w:rFonts w:hint="eastAsia" w:ascii="仿宋" w:hAnsi="仿宋" w:eastAsia="仿宋" w:cs="仿宋"/>
          <w:color w:val="auto"/>
          <w:sz w:val="28"/>
          <w:szCs w:val="28"/>
          <w:highlight w:val="none"/>
        </w:rPr>
        <w:t>方案）</w:t>
      </w:r>
    </w:p>
    <w:p w14:paraId="645B8CC1">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4DC68A4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CFA22B0">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0A1FD7CE">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F1D01F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14:paraId="5F382AB8">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0A12877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22047AC9">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color w:val="auto"/>
          <w:kern w:val="0"/>
          <w:sz w:val="28"/>
          <w:szCs w:val="28"/>
          <w:highlight w:val="none"/>
        </w:rPr>
      </w:pPr>
      <w:r>
        <w:rPr>
          <w:rFonts w:hint="eastAsia" w:ascii="仿宋" w:hAnsi="仿宋" w:eastAsia="仿宋" w:cs="仿宋"/>
          <w:bCs/>
          <w:color w:val="auto"/>
          <w:sz w:val="28"/>
          <w:szCs w:val="28"/>
          <w:highlight w:val="none"/>
          <w:lang w:bidi="ar"/>
        </w:rPr>
        <w:t>时    间：  年月日    时    间： 年月日</w:t>
      </w:r>
    </w:p>
    <w:p w14:paraId="33D56A74">
      <w:r>
        <w:rPr>
          <w:rFonts w:hint="eastAsia" w:ascii="仿宋" w:hAnsi="仿宋" w:eastAsia="仿宋" w:cs="仿宋"/>
          <w:color w:val="auto"/>
          <w:kern w:val="0"/>
          <w:sz w:val="28"/>
          <w:szCs w:val="28"/>
          <w:highlight w:val="none"/>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906CF2"/>
    <w:rsid w:val="55597F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Body Text Indent"/>
    <w:basedOn w:val="1"/>
    <w:unhideWhenUsed/>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4">
    <w:name w:val="toc 9"/>
    <w:basedOn w:val="1"/>
    <w:next w:val="1"/>
    <w:unhideWhenUsed/>
    <w:qFormat/>
    <w:uiPriority w:val="39"/>
    <w:pPr>
      <w:ind w:left="3360" w:leftChars="1600"/>
    </w:pPr>
  </w:style>
  <w:style w:type="paragraph" w:styleId="5">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styleId="6">
    <w:name w:val="Body Text First Indent 2"/>
    <w:basedOn w:val="3"/>
    <w:next w:val="1"/>
    <w:qFormat/>
    <w:uiPriority w:val="0"/>
    <w:pPr>
      <w:ind w:leftChars="0" w:firstLine="420"/>
    </w:pPr>
    <w:rPr>
      <w:szCs w:val="24"/>
    </w:rPr>
  </w:style>
  <w:style w:type="character" w:styleId="9">
    <w:name w:val="Hyperlink"/>
    <w:unhideWhenUsed/>
    <w:qFormat/>
    <w:uiPriority w:val="99"/>
    <w:rPr>
      <w:rFonts w:hint="eastAsia" w:ascii="宋体" w:hAnsi="宋体" w:eastAsia="宋体" w:cs="宋体"/>
      <w:color w:val="000000"/>
      <w:sz w:val="14"/>
      <w:szCs w:val="14"/>
      <w:u w:val="none"/>
    </w:rPr>
  </w:style>
  <w:style w:type="paragraph" w:customStyle="1" w:styleId="10">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1594</Words>
  <Characters>1614</Characters>
  <Lines>0</Lines>
  <Paragraphs>0</Paragraphs>
  <TotalTime>0</TotalTime>
  <ScaleCrop>false</ScaleCrop>
  <LinksUpToDate>false</LinksUpToDate>
  <CharactersWithSpaces>1848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2026-05-27T00:32:00Z</dcterms:created>
  <dc:creator>Administrator</dc:creator>
  <cp:lastModifiedBy>清风</cp:lastModifiedBy>
  <dcterms:modified xsi:type="dcterms:W3CDTF">2026-05-27T02:57:04Z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eyJoZGlkIjoiY2NiMTlmMDE4MzRlNzY5NjBlMzJiM2I3MmNhMzZmZGUiLCJ1c2VySWQiOiIxMTgzNTQ3MjYxIn0=</vt:lpwstr>
  </property>
  <property fmtid="{D5CDD505-2E9C-101B-9397-08002B2CF9AE}" pid="4" name="ICV">
    <vt:lpwstr>24985266CEEE4FCB9E183F461A00C277_12</vt:lpwstr>
  </property>
</Properties>
</file>